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1264">
      <w:pPr>
        <w:spacing w:before="156" w:beforeLines="50" w:after="156" w:afterLines="50" w:line="400" w:lineRule="exact"/>
        <w:rPr>
          <w:rFonts w:hint="eastAsia" w:ascii="宋体" w:hAnsi="宋体"/>
          <w:bCs/>
          <w:iCs/>
          <w:color w:val="000000"/>
          <w:sz w:val="24"/>
          <w:szCs w:val="22"/>
        </w:rPr>
      </w:pPr>
      <w:r>
        <w:rPr>
          <w:rFonts w:hint="eastAsia" w:ascii="宋体" w:hAnsi="宋体"/>
          <w:bCs/>
          <w:iCs/>
          <w:color w:val="000000"/>
          <w:sz w:val="24"/>
          <w:szCs w:val="22"/>
        </w:rPr>
        <w:t>证券代码：</w:t>
      </w:r>
      <w:r>
        <w:rPr>
          <w:rFonts w:ascii="宋体" w:hAnsi="宋体"/>
          <w:bCs/>
          <w:iCs/>
          <w:color w:val="000000"/>
          <w:sz w:val="24"/>
          <w:szCs w:val="22"/>
        </w:rPr>
        <w:t>688361</w:t>
      </w:r>
      <w:r>
        <w:rPr>
          <w:rFonts w:hint="eastAsia" w:ascii="宋体" w:hAnsi="宋体"/>
          <w:bCs/>
          <w:iCs/>
          <w:color w:val="000000"/>
          <w:sz w:val="24"/>
          <w:szCs w:val="22"/>
        </w:rPr>
        <w:t xml:space="preserve">                         </w:t>
      </w:r>
      <w:r>
        <w:rPr>
          <w:rFonts w:ascii="宋体" w:hAnsi="宋体"/>
          <w:bCs/>
          <w:iCs/>
          <w:color w:val="000000"/>
          <w:sz w:val="24"/>
          <w:szCs w:val="22"/>
        </w:rPr>
        <w:t xml:space="preserve">        </w:t>
      </w:r>
      <w:r>
        <w:rPr>
          <w:rFonts w:hint="eastAsia" w:ascii="宋体" w:hAnsi="宋体"/>
          <w:bCs/>
          <w:iCs/>
          <w:color w:val="000000"/>
          <w:sz w:val="24"/>
          <w:szCs w:val="22"/>
        </w:rPr>
        <w:t>证券简称：中科飞测</w:t>
      </w:r>
    </w:p>
    <w:p w14:paraId="1F7D584D">
      <w:pPr>
        <w:spacing w:line="360" w:lineRule="auto"/>
        <w:ind w:firstLine="482" w:firstLineChars="200"/>
        <w:jc w:val="center"/>
        <w:rPr>
          <w:rFonts w:hint="eastAsia" w:ascii="宋体" w:hAnsi="宋体"/>
          <w:b/>
          <w:bCs/>
          <w:iCs/>
          <w:color w:val="000000"/>
          <w:sz w:val="24"/>
        </w:rPr>
      </w:pPr>
      <w:r>
        <w:rPr>
          <w:rFonts w:hint="eastAsia" w:ascii="宋体" w:hAnsi="宋体"/>
          <w:b/>
          <w:bCs/>
          <w:iCs/>
          <w:color w:val="000000"/>
          <w:sz w:val="24"/>
        </w:rPr>
        <w:t>深圳中科飞测科技股份有限公司投资者关系活动记录表</w:t>
      </w:r>
    </w:p>
    <w:p w14:paraId="26B150E0">
      <w:pPr>
        <w:spacing w:line="400" w:lineRule="exact"/>
        <w:ind w:firstLine="480" w:firstLineChars="200"/>
        <w:jc w:val="center"/>
        <w:rPr>
          <w:bCs/>
          <w:iCs/>
          <w:color w:val="000000"/>
          <w:sz w:val="24"/>
        </w:rPr>
      </w:pPr>
      <w:r>
        <w:rPr>
          <w:bCs/>
          <w:iCs/>
          <w:color w:val="000000"/>
          <w:sz w:val="24"/>
        </w:rPr>
        <w:t>编号：202</w:t>
      </w:r>
      <w:r>
        <w:rPr>
          <w:rFonts w:hint="eastAsia"/>
          <w:bCs/>
          <w:iCs/>
          <w:color w:val="000000"/>
          <w:sz w:val="24"/>
        </w:rPr>
        <w:t>5</w:t>
      </w:r>
      <w:r>
        <w:rPr>
          <w:bCs/>
          <w:iCs/>
          <w:color w:val="000000"/>
          <w:sz w:val="24"/>
        </w:rPr>
        <w:t>-00</w:t>
      </w:r>
      <w:r>
        <w:rPr>
          <w:rFonts w:hint="eastAsia"/>
          <w:bCs/>
          <w:iCs/>
          <w:color w:val="000000"/>
          <w:sz w:val="24"/>
        </w:rPr>
        <w:t>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6185"/>
      </w:tblGrid>
      <w:tr w14:paraId="318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7B785F1D">
            <w:pPr>
              <w:rPr>
                <w:bCs/>
                <w:iCs/>
                <w:color w:val="000000"/>
                <w:szCs w:val="21"/>
              </w:rPr>
            </w:pPr>
            <w:r>
              <w:rPr>
                <w:rFonts w:hint="eastAsia"/>
                <w:bCs/>
                <w:iCs/>
                <w:color w:val="000000"/>
                <w:szCs w:val="21"/>
              </w:rPr>
              <w:t>投资者关系活动类别</w:t>
            </w:r>
          </w:p>
        </w:tc>
        <w:tc>
          <w:tcPr>
            <w:tcW w:w="6185" w:type="dxa"/>
            <w:tcBorders>
              <w:top w:val="single" w:color="auto" w:sz="4" w:space="0"/>
              <w:left w:val="single" w:color="auto" w:sz="4" w:space="0"/>
              <w:bottom w:val="single" w:color="auto" w:sz="4" w:space="0"/>
              <w:right w:val="single" w:color="auto" w:sz="4" w:space="0"/>
            </w:tcBorders>
          </w:tcPr>
          <w:p w14:paraId="53E5CF26">
            <w:pPr>
              <w:spacing w:line="480" w:lineRule="atLeast"/>
              <w:rPr>
                <w:bCs/>
                <w:iCs/>
                <w:color w:val="000000"/>
                <w:szCs w:val="21"/>
              </w:rPr>
            </w:pPr>
            <w:r>
              <w:rPr>
                <w:rFonts w:hint="eastAsia"/>
                <w:bCs/>
                <w:iCs/>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3248C92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2D58FF82">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4A4EF61E">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5244B936">
            <w:pPr>
              <w:tabs>
                <w:tab w:val="center" w:pos="3199"/>
              </w:tabs>
              <w:spacing w:line="480" w:lineRule="atLeast"/>
              <w:rPr>
                <w:bCs/>
                <w:iCs/>
                <w:color w:val="000000"/>
                <w:szCs w:val="21"/>
              </w:rPr>
            </w:pPr>
            <w:r>
              <w:rPr>
                <w:rFonts w:hint="eastAsia"/>
                <w:bCs/>
                <w:iCs/>
                <w:color w:val="000000"/>
                <w:szCs w:val="21"/>
              </w:rPr>
              <w:t>□</w:t>
            </w:r>
            <w:r>
              <w:rPr>
                <w:rFonts w:hint="eastAsia"/>
                <w:szCs w:val="21"/>
              </w:rPr>
              <w:t xml:space="preserve">其他 </w:t>
            </w:r>
            <w:r>
              <w:rPr>
                <w:rFonts w:hint="eastAsia"/>
                <w:szCs w:val="21"/>
                <w:u w:val="single"/>
              </w:rPr>
              <w:t>（电话会议）</w:t>
            </w:r>
          </w:p>
        </w:tc>
      </w:tr>
      <w:tr w14:paraId="38C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67C836A8">
            <w:pPr>
              <w:spacing w:line="360" w:lineRule="auto"/>
              <w:rPr>
                <w:bCs/>
                <w:iCs/>
                <w:color w:val="000000"/>
                <w:szCs w:val="21"/>
              </w:rPr>
            </w:pPr>
            <w:r>
              <w:rPr>
                <w:rFonts w:hint="eastAsia"/>
                <w:bCs/>
                <w:iCs/>
                <w:color w:val="000000"/>
                <w:szCs w:val="21"/>
              </w:rPr>
              <w:t>参与单位名称</w:t>
            </w:r>
          </w:p>
        </w:tc>
        <w:tc>
          <w:tcPr>
            <w:tcW w:w="6185" w:type="dxa"/>
            <w:tcBorders>
              <w:top w:val="single" w:color="auto" w:sz="4" w:space="0"/>
              <w:left w:val="single" w:color="auto" w:sz="4" w:space="0"/>
              <w:bottom w:val="single" w:color="auto" w:sz="4" w:space="0"/>
              <w:right w:val="single" w:color="auto" w:sz="4" w:space="0"/>
            </w:tcBorders>
            <w:vAlign w:val="center"/>
          </w:tcPr>
          <w:p w14:paraId="06E5CBFD">
            <w:pPr>
              <w:rPr>
                <w:bCs/>
                <w:iCs/>
                <w:color w:val="000000"/>
                <w:szCs w:val="21"/>
              </w:rPr>
            </w:pPr>
            <w:r>
              <w:rPr>
                <w:rFonts w:hint="eastAsia"/>
                <w:bCs/>
                <w:iCs/>
                <w:color w:val="000000"/>
                <w:szCs w:val="21"/>
              </w:rPr>
              <w:t>国泰海通证券、华泰证券、华夏基金、汇添富基金、</w:t>
            </w:r>
            <w:r>
              <w:rPr>
                <w:rFonts w:hint="eastAsia"/>
                <w:bCs/>
                <w:iCs/>
                <w:color w:val="000000"/>
                <w:szCs w:val="21"/>
                <w:lang w:val="en-US" w:eastAsia="zh-CN"/>
              </w:rPr>
              <w:t>嘉实基金、</w:t>
            </w:r>
            <w:r>
              <w:rPr>
                <w:rFonts w:hint="eastAsia"/>
                <w:bCs/>
                <w:iCs/>
                <w:color w:val="000000"/>
                <w:szCs w:val="21"/>
              </w:rPr>
              <w:t>南方基金、诺安基金、鹏华基金、易方达基金、银华基金、中国人寿资管等</w:t>
            </w:r>
          </w:p>
        </w:tc>
      </w:tr>
      <w:tr w14:paraId="1E7C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03D08DE5">
            <w:pPr>
              <w:spacing w:line="360" w:lineRule="auto"/>
              <w:rPr>
                <w:bCs/>
                <w:iCs/>
                <w:color w:val="000000"/>
                <w:szCs w:val="21"/>
              </w:rPr>
            </w:pPr>
            <w:r>
              <w:rPr>
                <w:rFonts w:hint="eastAsia"/>
                <w:bCs/>
                <w:iCs/>
                <w:color w:val="000000"/>
                <w:szCs w:val="21"/>
              </w:rPr>
              <w:t>时间</w:t>
            </w:r>
          </w:p>
        </w:tc>
        <w:tc>
          <w:tcPr>
            <w:tcW w:w="6185" w:type="dxa"/>
            <w:tcBorders>
              <w:top w:val="single" w:color="auto" w:sz="4" w:space="0"/>
              <w:left w:val="single" w:color="auto" w:sz="4" w:space="0"/>
              <w:bottom w:val="single" w:color="auto" w:sz="4" w:space="0"/>
              <w:right w:val="single" w:color="auto" w:sz="4" w:space="0"/>
            </w:tcBorders>
            <w:vAlign w:val="center"/>
          </w:tcPr>
          <w:p w14:paraId="72E035CC">
            <w:pPr>
              <w:rPr>
                <w:rFonts w:hint="default" w:eastAsia="宋体"/>
                <w:bCs/>
                <w:iCs/>
                <w:color w:val="000000"/>
                <w:szCs w:val="21"/>
                <w:lang w:val="en-US" w:eastAsia="zh-CN"/>
              </w:rPr>
            </w:pPr>
            <w:r>
              <w:rPr>
                <w:bCs/>
                <w:iCs/>
                <w:color w:val="000000"/>
                <w:szCs w:val="21"/>
              </w:rPr>
              <w:t>202</w:t>
            </w:r>
            <w:r>
              <w:rPr>
                <w:rFonts w:hint="eastAsia"/>
                <w:bCs/>
                <w:iCs/>
                <w:color w:val="000000"/>
                <w:szCs w:val="21"/>
              </w:rPr>
              <w:t>5</w:t>
            </w:r>
            <w:r>
              <w:rPr>
                <w:bCs/>
                <w:iCs/>
                <w:color w:val="000000"/>
                <w:szCs w:val="21"/>
              </w:rPr>
              <w:t>年</w:t>
            </w:r>
            <w:r>
              <w:rPr>
                <w:rFonts w:hint="eastAsia"/>
                <w:bCs/>
                <w:iCs/>
                <w:color w:val="000000"/>
                <w:szCs w:val="21"/>
              </w:rPr>
              <w:t>11</w:t>
            </w:r>
            <w:r>
              <w:rPr>
                <w:bCs/>
                <w:iCs/>
                <w:color w:val="000000"/>
                <w:szCs w:val="21"/>
              </w:rPr>
              <w:t>月</w:t>
            </w:r>
            <w:r>
              <w:rPr>
                <w:rFonts w:hint="eastAsia"/>
                <w:bCs/>
                <w:iCs/>
                <w:color w:val="000000"/>
                <w:szCs w:val="21"/>
              </w:rPr>
              <w:t>6</w:t>
            </w:r>
            <w:r>
              <w:rPr>
                <w:bCs/>
                <w:iCs/>
                <w:color w:val="000000"/>
                <w:szCs w:val="21"/>
              </w:rPr>
              <w:t>日</w:t>
            </w:r>
            <w:r>
              <w:rPr>
                <w:rFonts w:hint="eastAsia"/>
                <w:bCs/>
                <w:iCs/>
                <w:color w:val="000000"/>
                <w:szCs w:val="21"/>
                <w:lang w:val="en-US" w:eastAsia="zh-CN"/>
              </w:rPr>
              <w:t>-11月11日</w:t>
            </w:r>
          </w:p>
        </w:tc>
      </w:tr>
      <w:tr w14:paraId="6B64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341FC8B1">
            <w:pPr>
              <w:spacing w:line="360" w:lineRule="auto"/>
              <w:rPr>
                <w:bCs/>
                <w:iCs/>
                <w:color w:val="000000"/>
                <w:szCs w:val="21"/>
              </w:rPr>
            </w:pPr>
            <w:r>
              <w:rPr>
                <w:rFonts w:hint="eastAsia"/>
                <w:bCs/>
                <w:iCs/>
                <w:color w:val="000000"/>
                <w:szCs w:val="21"/>
              </w:rPr>
              <w:t>地点</w:t>
            </w:r>
          </w:p>
        </w:tc>
        <w:tc>
          <w:tcPr>
            <w:tcW w:w="6185" w:type="dxa"/>
            <w:tcBorders>
              <w:top w:val="single" w:color="auto" w:sz="4" w:space="0"/>
              <w:left w:val="single" w:color="auto" w:sz="4" w:space="0"/>
              <w:bottom w:val="single" w:color="auto" w:sz="4" w:space="0"/>
              <w:right w:val="single" w:color="auto" w:sz="4" w:space="0"/>
            </w:tcBorders>
            <w:vAlign w:val="center"/>
          </w:tcPr>
          <w:p w14:paraId="42630285">
            <w:pPr>
              <w:rPr>
                <w:rFonts w:hint="default" w:eastAsia="宋体"/>
                <w:bCs/>
                <w:iCs/>
                <w:color w:val="000000"/>
                <w:szCs w:val="21"/>
                <w:lang w:val="en-US" w:eastAsia="zh-CN"/>
              </w:rPr>
            </w:pPr>
            <w:r>
              <w:rPr>
                <w:rFonts w:hint="eastAsia"/>
                <w:bCs/>
                <w:iCs/>
                <w:color w:val="000000"/>
                <w:szCs w:val="21"/>
              </w:rPr>
              <w:t>北京线下会议</w:t>
            </w:r>
            <w:r>
              <w:rPr>
                <w:rFonts w:hint="eastAsia"/>
                <w:bCs/>
                <w:iCs/>
                <w:color w:val="000000"/>
                <w:szCs w:val="21"/>
                <w:lang w:eastAsia="zh-CN"/>
              </w:rPr>
              <w:t>、</w:t>
            </w:r>
            <w:r>
              <w:rPr>
                <w:rFonts w:hint="eastAsia"/>
                <w:bCs/>
                <w:iCs/>
                <w:color w:val="000000"/>
                <w:szCs w:val="21"/>
                <w:lang w:val="en-US" w:eastAsia="zh-CN"/>
              </w:rPr>
              <w:t>线上会议</w:t>
            </w:r>
          </w:p>
        </w:tc>
      </w:tr>
      <w:tr w14:paraId="1DC9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0AD37F58">
            <w:pPr>
              <w:rPr>
                <w:rFonts w:hint="default" w:eastAsia="宋体"/>
                <w:bCs/>
                <w:iCs/>
                <w:color w:val="000000"/>
                <w:szCs w:val="21"/>
                <w:lang w:val="en-US" w:eastAsia="zh-CN"/>
              </w:rPr>
            </w:pPr>
            <w:r>
              <w:rPr>
                <w:rFonts w:hint="eastAsia" w:eastAsia="宋体"/>
                <w:bCs/>
                <w:iCs/>
                <w:color w:val="000000"/>
                <w:szCs w:val="21"/>
                <w:lang w:val="en-US" w:eastAsia="zh-CN"/>
              </w:rPr>
              <w:t>上市公司接待人员姓名</w:t>
            </w:r>
          </w:p>
        </w:tc>
        <w:tc>
          <w:tcPr>
            <w:tcW w:w="6185" w:type="dxa"/>
            <w:tcBorders>
              <w:top w:val="single" w:color="auto" w:sz="4" w:space="0"/>
              <w:left w:val="single" w:color="auto" w:sz="4" w:space="0"/>
              <w:bottom w:val="single" w:color="auto" w:sz="4" w:space="0"/>
              <w:right w:val="single" w:color="auto" w:sz="4" w:space="0"/>
            </w:tcBorders>
          </w:tcPr>
          <w:p w14:paraId="005A2854">
            <w:pPr>
              <w:spacing w:line="360" w:lineRule="auto"/>
              <w:rPr>
                <w:rFonts w:hint="default" w:eastAsia="宋体"/>
                <w:bCs/>
                <w:iCs/>
                <w:color w:val="000000"/>
                <w:szCs w:val="21"/>
                <w:lang w:val="en-US" w:eastAsia="zh-CN"/>
              </w:rPr>
            </w:pPr>
            <w:r>
              <w:rPr>
                <w:rFonts w:hint="eastAsia" w:eastAsia="宋体"/>
                <w:bCs/>
                <w:iCs/>
                <w:color w:val="000000"/>
                <w:szCs w:val="21"/>
                <w:lang w:val="en-US" w:eastAsia="zh-CN"/>
              </w:rPr>
              <w:t>黄茵</w:t>
            </w:r>
            <w:r>
              <w:rPr>
                <w:rFonts w:hint="eastAsia"/>
                <w:bCs/>
                <w:iCs/>
                <w:color w:val="000000"/>
                <w:szCs w:val="21"/>
                <w:lang w:val="en-US" w:eastAsia="zh-CN"/>
              </w:rPr>
              <w:t xml:space="preserve"> 证券事务专员 </w:t>
            </w:r>
            <w:bookmarkStart w:id="0" w:name="_GoBack"/>
            <w:bookmarkEnd w:id="0"/>
          </w:p>
        </w:tc>
      </w:tr>
      <w:tr w14:paraId="7B0D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tcBorders>
              <w:top w:val="single" w:color="auto" w:sz="4" w:space="0"/>
              <w:left w:val="single" w:color="auto" w:sz="4" w:space="0"/>
              <w:bottom w:val="single" w:color="auto" w:sz="4" w:space="0"/>
              <w:right w:val="single" w:color="auto" w:sz="4" w:space="0"/>
            </w:tcBorders>
            <w:vAlign w:val="center"/>
          </w:tcPr>
          <w:p w14:paraId="61E31672">
            <w:pPr>
              <w:spacing w:line="360" w:lineRule="auto"/>
              <w:rPr>
                <w:bCs/>
                <w:iCs/>
                <w:color w:val="000000"/>
                <w:szCs w:val="21"/>
              </w:rPr>
            </w:pPr>
            <w:r>
              <w:rPr>
                <w:rFonts w:hint="eastAsia"/>
                <w:bCs/>
                <w:iCs/>
                <w:color w:val="000000"/>
                <w:szCs w:val="21"/>
              </w:rPr>
              <w:t>投资者关系活动主要内容介绍</w:t>
            </w:r>
          </w:p>
        </w:tc>
        <w:tc>
          <w:tcPr>
            <w:tcW w:w="6185" w:type="dxa"/>
            <w:tcBorders>
              <w:top w:val="single" w:color="auto" w:sz="4" w:space="0"/>
              <w:left w:val="single" w:color="auto" w:sz="4" w:space="0"/>
              <w:bottom w:val="single" w:color="auto" w:sz="4" w:space="0"/>
              <w:right w:val="single" w:color="auto" w:sz="4" w:space="0"/>
            </w:tcBorders>
          </w:tcPr>
          <w:p w14:paraId="5FE10408">
            <w:pPr>
              <w:spacing w:line="360" w:lineRule="exact"/>
              <w:ind w:firstLine="422" w:firstLineChars="200"/>
              <w:rPr>
                <w:b/>
                <w:bCs/>
                <w:color w:val="auto"/>
                <w:szCs w:val="21"/>
              </w:rPr>
            </w:pPr>
            <w:r>
              <w:rPr>
                <w:b/>
                <w:bCs/>
                <w:color w:val="auto"/>
                <w:szCs w:val="21"/>
              </w:rPr>
              <w:t>1、</w:t>
            </w:r>
            <w:r>
              <w:rPr>
                <w:rFonts w:hint="eastAsia"/>
                <w:b/>
                <w:bCs/>
                <w:color w:val="auto"/>
                <w:szCs w:val="21"/>
              </w:rPr>
              <w:t>公司前三季度收入构成及订单构成，以</w:t>
            </w:r>
            <w:r>
              <w:rPr>
                <w:b/>
                <w:bCs/>
                <w:color w:val="auto"/>
                <w:szCs w:val="21"/>
              </w:rPr>
              <w:t>及</w:t>
            </w:r>
            <w:r>
              <w:rPr>
                <w:rFonts w:hint="eastAsia"/>
                <w:b/>
                <w:bCs/>
                <w:color w:val="auto"/>
                <w:szCs w:val="21"/>
              </w:rPr>
              <w:t>未来收入展望</w:t>
            </w:r>
            <w:r>
              <w:rPr>
                <w:b/>
                <w:bCs/>
                <w:color w:val="auto"/>
                <w:szCs w:val="21"/>
              </w:rPr>
              <w:t>。</w:t>
            </w:r>
          </w:p>
          <w:p w14:paraId="260AE7F1">
            <w:pPr>
              <w:spacing w:line="360" w:lineRule="exact"/>
              <w:ind w:firstLine="420" w:firstLineChars="200"/>
              <w:rPr>
                <w:color w:val="auto"/>
                <w:szCs w:val="21"/>
              </w:rPr>
            </w:pPr>
            <w:r>
              <w:rPr>
                <w:rFonts w:hint="eastAsia"/>
                <w:color w:val="auto"/>
                <w:szCs w:val="21"/>
              </w:rPr>
              <w:t>答：前三季度收入整体结构保持稳定，部分新产品开始贡献订单，对于2025年全年收入有望维持和过去几年差不多的水平。</w:t>
            </w:r>
          </w:p>
          <w:p w14:paraId="0B70C9D1">
            <w:pPr>
              <w:spacing w:line="360" w:lineRule="exact"/>
              <w:ind w:firstLine="420" w:firstLineChars="200"/>
              <w:rPr>
                <w:color w:val="auto"/>
                <w:szCs w:val="21"/>
              </w:rPr>
            </w:pPr>
          </w:p>
          <w:p w14:paraId="2295FBDB">
            <w:pPr>
              <w:spacing w:line="360" w:lineRule="exact"/>
              <w:ind w:firstLine="422" w:firstLineChars="200"/>
              <w:rPr>
                <w:color w:val="auto"/>
                <w:szCs w:val="21"/>
              </w:rPr>
            </w:pPr>
            <w:r>
              <w:rPr>
                <w:rFonts w:hint="eastAsia"/>
                <w:b/>
                <w:bCs/>
                <w:color w:val="auto"/>
                <w:szCs w:val="21"/>
              </w:rPr>
              <w:t>2</w:t>
            </w:r>
            <w:r>
              <w:rPr>
                <w:b/>
                <w:bCs/>
                <w:color w:val="auto"/>
                <w:szCs w:val="21"/>
              </w:rPr>
              <w:t>、</w:t>
            </w:r>
            <w:r>
              <w:rPr>
                <w:rFonts w:hint="eastAsia"/>
                <w:b/>
                <w:bCs/>
                <w:color w:val="auto"/>
                <w:szCs w:val="21"/>
              </w:rPr>
              <w:t>关于新产品以及现有产品升级迭代的进展情况。</w:t>
            </w:r>
          </w:p>
          <w:p w14:paraId="2871C61D">
            <w:pPr>
              <w:spacing w:line="360" w:lineRule="exact"/>
              <w:ind w:firstLine="420" w:firstLineChars="200"/>
              <w:rPr>
                <w:color w:val="auto"/>
                <w:szCs w:val="21"/>
              </w:rPr>
            </w:pPr>
            <w:r>
              <w:rPr>
                <w:rFonts w:hint="eastAsia"/>
                <w:color w:val="auto"/>
                <w:szCs w:val="21"/>
              </w:rPr>
              <w:t>答：公司各系列产品都在按计划稳步推进，并取得了积极的阶段性成果：</w:t>
            </w:r>
          </w:p>
          <w:p w14:paraId="591E97E3">
            <w:pPr>
              <w:spacing w:line="360" w:lineRule="exact"/>
              <w:ind w:firstLine="420" w:firstLineChars="200"/>
              <w:rPr>
                <w:color w:val="auto"/>
                <w:szCs w:val="21"/>
              </w:rPr>
            </w:pPr>
            <w:r>
              <w:rPr>
                <w:rFonts w:hint="eastAsia"/>
                <w:color w:val="auto"/>
                <w:szCs w:val="21"/>
              </w:rPr>
              <w:t>（1）明场纳米图形晶圆缺陷检测设备出货及订单数量快速增长，已覆盖多家国内头部逻辑及存储客户，验证进展顺利，获得客户对测试数据积极的反馈。由于明场设备的技术难度较高，预计其在收入方面实现较大的贡献仍需一定时间，公司对于明场设备的长期发展非常有信心。</w:t>
            </w:r>
          </w:p>
          <w:p w14:paraId="14B42705">
            <w:pPr>
              <w:spacing w:line="360" w:lineRule="exact"/>
              <w:ind w:firstLine="420" w:firstLineChars="200"/>
              <w:rPr>
                <w:color w:val="auto"/>
                <w:szCs w:val="21"/>
              </w:rPr>
            </w:pPr>
            <w:r>
              <w:rPr>
                <w:rFonts w:hint="eastAsia"/>
                <w:color w:val="auto"/>
                <w:szCs w:val="21"/>
              </w:rPr>
              <w:t>（2）暗场纳米图形晶圆缺陷检测设备出货及订单数量快速增长，已覆盖多家国内头部逻辑及存储客户，验证进展顺利，预计很快可以实现收入及订单增长。</w:t>
            </w:r>
          </w:p>
          <w:p w14:paraId="1E7F727C">
            <w:pPr>
              <w:spacing w:line="360" w:lineRule="exact"/>
              <w:ind w:firstLine="420" w:firstLineChars="200"/>
              <w:rPr>
                <w:color w:val="auto"/>
                <w:szCs w:val="21"/>
              </w:rPr>
            </w:pPr>
            <w:r>
              <w:rPr>
                <w:rFonts w:hint="eastAsia"/>
                <w:color w:val="auto"/>
                <w:szCs w:val="21"/>
              </w:rPr>
              <w:t>（3）升级迭代产品方面，公司各系列设备与目前国内最先进制程的产线扩产需求相匹配，并都取得了重要的阶段性成果。其中，无图形晶圆缺陷检测设备、薄膜膜厚量测设备应用在国内最先进制程产线的设备已经通过验证并实现销售，面向更先进制程的无图形晶圆缺陷检测设备已经出货到国内头部客户进行验证；最新一代套刻精度量测设备已经实现批量出货并实现销售，全面覆盖国内头部客户；图形晶圆缺陷检测设备包括3D AOI设备、三维形貌量测设备、套刻精度量测设备等应用在HBM领域的设备都已经通过多家国内头部客户的验证。</w:t>
            </w:r>
          </w:p>
          <w:p w14:paraId="28E8074C">
            <w:pPr>
              <w:spacing w:line="360" w:lineRule="exact"/>
              <w:ind w:firstLine="420" w:firstLineChars="200"/>
              <w:rPr>
                <w:color w:val="auto"/>
                <w:szCs w:val="21"/>
              </w:rPr>
            </w:pPr>
          </w:p>
          <w:p w14:paraId="605996D2">
            <w:pPr>
              <w:spacing w:line="360" w:lineRule="exact"/>
              <w:ind w:firstLine="422" w:firstLineChars="200"/>
              <w:rPr>
                <w:b/>
                <w:bCs/>
                <w:color w:val="auto"/>
                <w:szCs w:val="21"/>
              </w:rPr>
            </w:pPr>
            <w:r>
              <w:rPr>
                <w:rFonts w:hint="eastAsia"/>
                <w:b/>
                <w:bCs/>
                <w:color w:val="auto"/>
                <w:szCs w:val="21"/>
              </w:rPr>
              <w:t>3</w:t>
            </w:r>
            <w:r>
              <w:rPr>
                <w:b/>
                <w:bCs/>
                <w:color w:val="auto"/>
                <w:szCs w:val="21"/>
              </w:rPr>
              <w:t>、</w:t>
            </w:r>
            <w:r>
              <w:rPr>
                <w:rFonts w:hint="eastAsia"/>
                <w:b/>
                <w:bCs/>
                <w:color w:val="auto"/>
                <w:szCs w:val="21"/>
              </w:rPr>
              <w:t>公司产品在存储领域的进展及竞争优势。</w:t>
            </w:r>
          </w:p>
          <w:p w14:paraId="3AD98CF0">
            <w:pPr>
              <w:spacing w:line="360" w:lineRule="exact"/>
              <w:ind w:firstLine="420" w:firstLineChars="200"/>
              <w:rPr>
                <w:color w:val="auto"/>
                <w:szCs w:val="21"/>
              </w:rPr>
            </w:pPr>
            <w:r>
              <w:rPr>
                <w:rFonts w:hint="eastAsia"/>
                <w:color w:val="auto"/>
                <w:szCs w:val="21"/>
              </w:rPr>
              <w:t>答：公司目前各类产品布局已经全面覆盖国内头部逻辑和存储客户，并与客户建立了长期深度的合作，目前新产品验证按照计划进行。</w:t>
            </w:r>
          </w:p>
          <w:p w14:paraId="4C33EE1C">
            <w:pPr>
              <w:spacing w:line="360" w:lineRule="exact"/>
              <w:ind w:firstLine="422" w:firstLineChars="200"/>
              <w:rPr>
                <w:b/>
                <w:bCs/>
                <w:color w:val="auto"/>
                <w:szCs w:val="21"/>
              </w:rPr>
            </w:pPr>
          </w:p>
          <w:p w14:paraId="4010878F">
            <w:pPr>
              <w:spacing w:line="360" w:lineRule="exact"/>
              <w:ind w:firstLine="422" w:firstLineChars="200"/>
              <w:rPr>
                <w:b/>
                <w:bCs/>
                <w:color w:val="auto"/>
                <w:szCs w:val="21"/>
              </w:rPr>
            </w:pPr>
            <w:r>
              <w:rPr>
                <w:rFonts w:hint="eastAsia"/>
                <w:b/>
                <w:bCs/>
                <w:color w:val="auto"/>
                <w:szCs w:val="21"/>
              </w:rPr>
              <w:t>4、关于毛利率变动情况及未来展望。</w:t>
            </w:r>
          </w:p>
          <w:p w14:paraId="34E7A1ED">
            <w:pPr>
              <w:spacing w:line="360" w:lineRule="exact"/>
              <w:ind w:firstLine="420" w:firstLineChars="200"/>
              <w:rPr>
                <w:color w:val="auto"/>
                <w:szCs w:val="21"/>
              </w:rPr>
            </w:pPr>
            <w:r>
              <w:rPr>
                <w:rFonts w:hint="eastAsia"/>
                <w:b w:val="0"/>
                <w:bCs w:val="0"/>
                <w:color w:val="auto"/>
                <w:szCs w:val="21"/>
              </w:rPr>
              <w:t>答：</w:t>
            </w:r>
            <w:r>
              <w:rPr>
                <w:rFonts w:hint="eastAsia"/>
                <w:color w:val="auto"/>
                <w:szCs w:val="21"/>
              </w:rPr>
              <w:t>前三季度公司毛利率的变动主要受收入结构变动的影响。其中一季度前道制程尤其是先进制程的产品的收入占比较高，从而拉动公司单季毛利率明显提升；2025年1-9月，时间周期拉长来看，公司收入结构整体回归到</w:t>
            </w:r>
            <w:r>
              <w:rPr>
                <w:rFonts w:hint="eastAsia"/>
                <w:color w:val="auto"/>
                <w:szCs w:val="21"/>
                <w:lang w:val="en-US" w:eastAsia="zh-CN"/>
              </w:rPr>
              <w:t>往年</w:t>
            </w:r>
            <w:r>
              <w:rPr>
                <w:rFonts w:hint="eastAsia"/>
                <w:color w:val="auto"/>
                <w:szCs w:val="21"/>
              </w:rPr>
              <w:t>水平，毛利率水平与以往年度接近。</w:t>
            </w:r>
          </w:p>
          <w:p w14:paraId="64016409">
            <w:pPr>
              <w:spacing w:line="360" w:lineRule="exact"/>
              <w:ind w:firstLine="420" w:firstLineChars="200"/>
              <w:rPr>
                <w:color w:val="auto"/>
                <w:szCs w:val="21"/>
              </w:rPr>
            </w:pPr>
            <w:r>
              <w:rPr>
                <w:rFonts w:hint="eastAsia"/>
                <w:color w:val="auto"/>
                <w:szCs w:val="21"/>
              </w:rPr>
              <w:t>在现有的行业环境下，公司未来毛利率有望持续维持在较高水平，先进制程产品的市场认可度提升、销售占比提升这是对于毛利率提升的积极因素，但市场环境的变化、新增固定资产的折旧摊销等方面也会影响毛利率的提升。</w:t>
            </w:r>
          </w:p>
          <w:p w14:paraId="5F5A49D7">
            <w:pPr>
              <w:spacing w:line="360" w:lineRule="exact"/>
              <w:ind w:firstLine="422" w:firstLineChars="200"/>
              <w:rPr>
                <w:b/>
                <w:bCs/>
                <w:color w:val="auto"/>
                <w:szCs w:val="21"/>
              </w:rPr>
            </w:pPr>
          </w:p>
          <w:p w14:paraId="66EC0A1A">
            <w:pPr>
              <w:spacing w:line="360" w:lineRule="exact"/>
              <w:ind w:firstLine="422" w:firstLineChars="200"/>
              <w:rPr>
                <w:b/>
                <w:bCs/>
                <w:color w:val="auto"/>
                <w:szCs w:val="21"/>
              </w:rPr>
            </w:pPr>
            <w:r>
              <w:rPr>
                <w:rFonts w:hint="eastAsia"/>
                <w:b/>
                <w:bCs/>
                <w:color w:val="auto"/>
                <w:szCs w:val="21"/>
              </w:rPr>
              <w:t>5、关于</w:t>
            </w:r>
            <w:r>
              <w:rPr>
                <w:b/>
                <w:bCs/>
                <w:color w:val="auto"/>
                <w:szCs w:val="21"/>
              </w:rPr>
              <w:t>公</w:t>
            </w:r>
            <w:r>
              <w:rPr>
                <w:rFonts w:hint="eastAsia"/>
                <w:b/>
                <w:bCs/>
                <w:color w:val="auto"/>
                <w:szCs w:val="21"/>
              </w:rPr>
              <w:t>司未来研发费用率变动情况及2025年盈利预期。</w:t>
            </w:r>
          </w:p>
          <w:p w14:paraId="2942C9CE">
            <w:pPr>
              <w:spacing w:line="360" w:lineRule="exact"/>
              <w:ind w:firstLine="420" w:firstLineChars="200"/>
              <w:rPr>
                <w:b/>
                <w:bCs/>
                <w:color w:val="auto"/>
                <w:szCs w:val="21"/>
              </w:rPr>
            </w:pPr>
            <w:r>
              <w:rPr>
                <w:rFonts w:hint="eastAsia"/>
                <w:color w:val="auto"/>
                <w:szCs w:val="21"/>
              </w:rPr>
              <w:t>答：随着在研项目持续推进、产品布局逐渐完善、研发团队建设基本完成，未来公司研发支出增速将有所放缓，研发投入占收入的比例也会整体呈现下降的趋势，2025年全年盈利水平有望改善。</w:t>
            </w:r>
          </w:p>
          <w:p w14:paraId="3BDB211D">
            <w:pPr>
              <w:spacing w:line="360" w:lineRule="exact"/>
              <w:ind w:firstLine="422" w:firstLineChars="200"/>
              <w:rPr>
                <w:b/>
                <w:bCs/>
                <w:color w:val="auto"/>
                <w:szCs w:val="21"/>
              </w:rPr>
            </w:pPr>
          </w:p>
          <w:p w14:paraId="686CA681">
            <w:pPr>
              <w:spacing w:line="360" w:lineRule="exact"/>
              <w:ind w:firstLine="422" w:firstLineChars="200"/>
              <w:rPr>
                <w:b/>
                <w:bCs/>
                <w:color w:val="auto"/>
                <w:szCs w:val="21"/>
              </w:rPr>
            </w:pPr>
            <w:r>
              <w:rPr>
                <w:rFonts w:hint="eastAsia"/>
                <w:b/>
                <w:bCs/>
                <w:color w:val="auto"/>
                <w:szCs w:val="21"/>
              </w:rPr>
              <w:t>6、关于目前行业竞争格局、演变趋势以及公司竞争优势。</w:t>
            </w:r>
          </w:p>
          <w:p w14:paraId="0EA15FFF">
            <w:pPr>
              <w:spacing w:line="360" w:lineRule="exact"/>
              <w:ind w:firstLine="420" w:firstLineChars="200"/>
              <w:rPr>
                <w:color w:val="auto"/>
                <w:szCs w:val="21"/>
              </w:rPr>
            </w:pPr>
            <w:r>
              <w:rPr>
                <w:rFonts w:hint="eastAsia"/>
                <w:color w:val="auto"/>
                <w:szCs w:val="21"/>
              </w:rPr>
              <w:t>答：目前国内量检测设备市场的国产化率还非常低，未来几年国内企业整体上仍处于抢占国外企业市场份额的过程中。经过10余年的持续研发和产品迭代，公司目前无论在产品覆盖广度和深度、技术先进性、客户资源等方面，都打下了坚实的基础，在国内市场上占据领先地位。公司对未来在新设备推出、现有设备的迭代升级以及产业化推进等方面继续保持领先地位充满信心。</w:t>
            </w:r>
          </w:p>
          <w:p w14:paraId="4E8520DA">
            <w:pPr>
              <w:spacing w:line="360" w:lineRule="exact"/>
              <w:ind w:firstLine="420" w:firstLineChars="200"/>
              <w:rPr>
                <w:color w:val="auto"/>
                <w:szCs w:val="21"/>
              </w:rPr>
            </w:pPr>
          </w:p>
          <w:p w14:paraId="498B719E">
            <w:pPr>
              <w:spacing w:line="360" w:lineRule="exact"/>
              <w:ind w:firstLine="422" w:firstLineChars="200"/>
              <w:rPr>
                <w:b/>
                <w:bCs/>
                <w:color w:val="auto"/>
                <w:szCs w:val="21"/>
              </w:rPr>
            </w:pPr>
            <w:r>
              <w:rPr>
                <w:rFonts w:hint="eastAsia"/>
                <w:b/>
                <w:bCs/>
                <w:color w:val="auto"/>
                <w:szCs w:val="21"/>
              </w:rPr>
              <w:t>7、关于供应链国产化情况。</w:t>
            </w:r>
          </w:p>
          <w:p w14:paraId="2E360615">
            <w:pPr>
              <w:spacing w:line="360" w:lineRule="exact"/>
              <w:ind w:firstLine="420" w:firstLineChars="200"/>
              <w:rPr>
                <w:color w:val="auto"/>
                <w:szCs w:val="21"/>
              </w:rPr>
            </w:pPr>
            <w:r>
              <w:rPr>
                <w:rFonts w:hint="eastAsia"/>
                <w:color w:val="auto"/>
                <w:szCs w:val="21"/>
              </w:rPr>
              <w:t>答：长期以来，公司在设备整机的研发和产业化进程中，同时会进行大量的投入与零部件供应商开展技术合作，以满足我们设备的要求。目前，公司在上游零部件国产化方面取得了非常好的效果，能够确保供应链能够在设备完成研发后顺利转入大规模量产，为客户持续稳定供货。</w:t>
            </w:r>
          </w:p>
          <w:p w14:paraId="624265DC">
            <w:pPr>
              <w:spacing w:line="360" w:lineRule="exact"/>
              <w:rPr>
                <w:b/>
                <w:bCs/>
                <w:color w:val="auto"/>
                <w:szCs w:val="21"/>
              </w:rPr>
            </w:pPr>
          </w:p>
          <w:p w14:paraId="7A25998E">
            <w:pPr>
              <w:spacing w:line="360" w:lineRule="exact"/>
              <w:ind w:firstLine="422" w:firstLineChars="200"/>
              <w:rPr>
                <w:b/>
                <w:bCs/>
                <w:color w:val="auto"/>
                <w:szCs w:val="21"/>
              </w:rPr>
            </w:pPr>
            <w:r>
              <w:rPr>
                <w:rFonts w:hint="eastAsia"/>
                <w:b/>
                <w:bCs/>
                <w:color w:val="auto"/>
                <w:szCs w:val="21"/>
              </w:rPr>
              <w:t>8、关于公司产能规划。</w:t>
            </w:r>
          </w:p>
          <w:p w14:paraId="3452E990">
            <w:pPr>
              <w:spacing w:line="360" w:lineRule="exact"/>
              <w:ind w:firstLine="420" w:firstLineChars="200"/>
              <w:rPr>
                <w:color w:val="auto"/>
                <w:szCs w:val="21"/>
              </w:rPr>
            </w:pPr>
            <w:r>
              <w:rPr>
                <w:rFonts w:hint="eastAsia"/>
                <w:color w:val="auto"/>
                <w:szCs w:val="21"/>
              </w:rPr>
              <w:t>答：公司位于广州的IPO募投项目建设顺利，将于近期投产，投产后公司产能将显著增长，满足不断增长的生产需求。</w:t>
            </w:r>
          </w:p>
          <w:p w14:paraId="7F846D19">
            <w:pPr>
              <w:spacing w:line="360" w:lineRule="exact"/>
              <w:rPr>
                <w:b/>
                <w:bCs/>
                <w:color w:val="auto"/>
                <w:szCs w:val="21"/>
              </w:rPr>
            </w:pPr>
          </w:p>
          <w:p w14:paraId="40DDDA14">
            <w:pPr>
              <w:spacing w:line="360" w:lineRule="exact"/>
              <w:ind w:firstLine="422" w:firstLineChars="200"/>
              <w:rPr>
                <w:b/>
                <w:bCs/>
                <w:color w:val="auto"/>
                <w:szCs w:val="21"/>
              </w:rPr>
            </w:pPr>
            <w:r>
              <w:rPr>
                <w:rFonts w:hint="eastAsia"/>
                <w:b/>
                <w:bCs/>
                <w:color w:val="auto"/>
                <w:szCs w:val="21"/>
              </w:rPr>
              <w:t>9、公司关于对外投资和收并购的整体规划。</w:t>
            </w:r>
          </w:p>
          <w:p w14:paraId="062A1BC7">
            <w:pPr>
              <w:spacing w:line="360" w:lineRule="exact"/>
              <w:ind w:firstLine="420" w:firstLineChars="200"/>
              <w:rPr>
                <w:rFonts w:hint="eastAsia"/>
                <w:color w:val="auto"/>
                <w:szCs w:val="21"/>
                <w:highlight w:val="none"/>
              </w:rPr>
            </w:pPr>
            <w:r>
              <w:rPr>
                <w:rFonts w:hint="eastAsia"/>
                <w:color w:val="auto"/>
                <w:szCs w:val="21"/>
              </w:rPr>
              <w:t>答：</w:t>
            </w:r>
            <w:r>
              <w:rPr>
                <w:rFonts w:hint="eastAsia"/>
                <w:color w:val="auto"/>
                <w:szCs w:val="21"/>
                <w:highlight w:val="none"/>
              </w:rPr>
              <w:t>公司未来将继续专注于高端半导体质量控制领域，通过自主研发创新不断提升核心竞争能力，以自身持续发展为主，全面巩固市场领先地位；同时，公司也将持续关注产业链发展情况，如有合适机会也会考虑通过投资并购的方式拓展产品品类和应用领域布局，推进公司实现高速、稳定、健康发展。</w:t>
            </w:r>
          </w:p>
          <w:p w14:paraId="094CFEAF">
            <w:pPr>
              <w:spacing w:line="360" w:lineRule="exact"/>
              <w:ind w:firstLine="420" w:firstLineChars="200"/>
              <w:rPr>
                <w:color w:val="auto"/>
                <w:szCs w:val="21"/>
              </w:rPr>
            </w:pPr>
          </w:p>
          <w:p w14:paraId="701EEB1D">
            <w:pPr>
              <w:spacing w:line="360" w:lineRule="exact"/>
              <w:ind w:firstLine="420" w:firstLineChars="200"/>
              <w:rPr>
                <w:szCs w:val="21"/>
              </w:rPr>
            </w:pPr>
            <w:r>
              <w:rPr>
                <w:rFonts w:hint="eastAsia"/>
                <w:szCs w:val="21"/>
              </w:rPr>
              <w:t>除以上问题外，其余交流内容已在之前发布的投资者关系活动记录表或定期报告等公告中披露，本次不再重复披露。</w:t>
            </w:r>
          </w:p>
        </w:tc>
      </w:tr>
    </w:tbl>
    <w:p w14:paraId="1C9F72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DB361F"/>
    <w:rsid w:val="0000207D"/>
    <w:rsid w:val="00003F99"/>
    <w:rsid w:val="00005DB8"/>
    <w:rsid w:val="00017E6D"/>
    <w:rsid w:val="00032862"/>
    <w:rsid w:val="00034F4A"/>
    <w:rsid w:val="00043BF3"/>
    <w:rsid w:val="00043CCB"/>
    <w:rsid w:val="00051824"/>
    <w:rsid w:val="00064B25"/>
    <w:rsid w:val="000917BD"/>
    <w:rsid w:val="000A23CD"/>
    <w:rsid w:val="000F54F0"/>
    <w:rsid w:val="000F5B3C"/>
    <w:rsid w:val="00104AB5"/>
    <w:rsid w:val="001417C0"/>
    <w:rsid w:val="00156D14"/>
    <w:rsid w:val="0016571F"/>
    <w:rsid w:val="00177422"/>
    <w:rsid w:val="001963D2"/>
    <w:rsid w:val="001A2E1E"/>
    <w:rsid w:val="001D3494"/>
    <w:rsid w:val="001F435C"/>
    <w:rsid w:val="002026A5"/>
    <w:rsid w:val="00246E5F"/>
    <w:rsid w:val="00253AA6"/>
    <w:rsid w:val="002577FC"/>
    <w:rsid w:val="00280483"/>
    <w:rsid w:val="00293E36"/>
    <w:rsid w:val="00295CED"/>
    <w:rsid w:val="002A2C74"/>
    <w:rsid w:val="002A6E13"/>
    <w:rsid w:val="002D5760"/>
    <w:rsid w:val="002D7C22"/>
    <w:rsid w:val="002F3005"/>
    <w:rsid w:val="003035EA"/>
    <w:rsid w:val="00313375"/>
    <w:rsid w:val="003609BA"/>
    <w:rsid w:val="0038458E"/>
    <w:rsid w:val="003934CF"/>
    <w:rsid w:val="003D73F2"/>
    <w:rsid w:val="003E70FC"/>
    <w:rsid w:val="004674B3"/>
    <w:rsid w:val="00480035"/>
    <w:rsid w:val="00496083"/>
    <w:rsid w:val="004A4122"/>
    <w:rsid w:val="004D6884"/>
    <w:rsid w:val="004E4354"/>
    <w:rsid w:val="005157BA"/>
    <w:rsid w:val="00543C4B"/>
    <w:rsid w:val="00577E82"/>
    <w:rsid w:val="005D04EB"/>
    <w:rsid w:val="005D73F1"/>
    <w:rsid w:val="0062274F"/>
    <w:rsid w:val="006238E4"/>
    <w:rsid w:val="00626855"/>
    <w:rsid w:val="00652AE8"/>
    <w:rsid w:val="006903D5"/>
    <w:rsid w:val="006A78DE"/>
    <w:rsid w:val="006B4FCC"/>
    <w:rsid w:val="006B545D"/>
    <w:rsid w:val="006B66ED"/>
    <w:rsid w:val="006D43F0"/>
    <w:rsid w:val="006E257E"/>
    <w:rsid w:val="007261D6"/>
    <w:rsid w:val="00752966"/>
    <w:rsid w:val="007673C0"/>
    <w:rsid w:val="0078006F"/>
    <w:rsid w:val="0078552D"/>
    <w:rsid w:val="007B358A"/>
    <w:rsid w:val="007D3D5E"/>
    <w:rsid w:val="007D6F29"/>
    <w:rsid w:val="0084654C"/>
    <w:rsid w:val="00854EBA"/>
    <w:rsid w:val="008577F5"/>
    <w:rsid w:val="00860F71"/>
    <w:rsid w:val="008709A4"/>
    <w:rsid w:val="00872228"/>
    <w:rsid w:val="008A37DE"/>
    <w:rsid w:val="008B0754"/>
    <w:rsid w:val="008C3104"/>
    <w:rsid w:val="008F01C2"/>
    <w:rsid w:val="00936C70"/>
    <w:rsid w:val="009767AF"/>
    <w:rsid w:val="00982B3C"/>
    <w:rsid w:val="009967E3"/>
    <w:rsid w:val="009A490D"/>
    <w:rsid w:val="009B0B11"/>
    <w:rsid w:val="009E743C"/>
    <w:rsid w:val="009F2462"/>
    <w:rsid w:val="00A02202"/>
    <w:rsid w:val="00A3564B"/>
    <w:rsid w:val="00A41D3E"/>
    <w:rsid w:val="00A51F27"/>
    <w:rsid w:val="00A53B8C"/>
    <w:rsid w:val="00A57435"/>
    <w:rsid w:val="00A636BA"/>
    <w:rsid w:val="00A6539A"/>
    <w:rsid w:val="00A66B32"/>
    <w:rsid w:val="00AB116A"/>
    <w:rsid w:val="00AC10F8"/>
    <w:rsid w:val="00AC7C57"/>
    <w:rsid w:val="00AE4ED3"/>
    <w:rsid w:val="00AF7E5D"/>
    <w:rsid w:val="00B217D8"/>
    <w:rsid w:val="00B26A5B"/>
    <w:rsid w:val="00B27B4D"/>
    <w:rsid w:val="00B57D71"/>
    <w:rsid w:val="00B77E3E"/>
    <w:rsid w:val="00B94D7F"/>
    <w:rsid w:val="00BB20B6"/>
    <w:rsid w:val="00BD00D7"/>
    <w:rsid w:val="00BD4DEB"/>
    <w:rsid w:val="00BE2DF2"/>
    <w:rsid w:val="00BF3668"/>
    <w:rsid w:val="00CA0D83"/>
    <w:rsid w:val="00CA5C82"/>
    <w:rsid w:val="00CC3D8D"/>
    <w:rsid w:val="00CF1F10"/>
    <w:rsid w:val="00D01259"/>
    <w:rsid w:val="00D039FA"/>
    <w:rsid w:val="00D33132"/>
    <w:rsid w:val="00D4351F"/>
    <w:rsid w:val="00D50A23"/>
    <w:rsid w:val="00D51132"/>
    <w:rsid w:val="00DA041C"/>
    <w:rsid w:val="00DA3CC2"/>
    <w:rsid w:val="00DA4B90"/>
    <w:rsid w:val="00DA4F8C"/>
    <w:rsid w:val="00DB361F"/>
    <w:rsid w:val="00E179CD"/>
    <w:rsid w:val="00E52443"/>
    <w:rsid w:val="00E94303"/>
    <w:rsid w:val="00EB0D2E"/>
    <w:rsid w:val="00EC60AF"/>
    <w:rsid w:val="00ED20E6"/>
    <w:rsid w:val="00ED2CF5"/>
    <w:rsid w:val="00ED430E"/>
    <w:rsid w:val="00F1786D"/>
    <w:rsid w:val="00F305D4"/>
    <w:rsid w:val="00F514E1"/>
    <w:rsid w:val="00F52EBA"/>
    <w:rsid w:val="00F65EC7"/>
    <w:rsid w:val="00FF3305"/>
    <w:rsid w:val="030148E2"/>
    <w:rsid w:val="05EF467C"/>
    <w:rsid w:val="151D2886"/>
    <w:rsid w:val="1A397B11"/>
    <w:rsid w:val="1B845309"/>
    <w:rsid w:val="21505D92"/>
    <w:rsid w:val="2F253272"/>
    <w:rsid w:val="3B992858"/>
    <w:rsid w:val="40B2013E"/>
    <w:rsid w:val="44022AC4"/>
    <w:rsid w:val="48311BC9"/>
    <w:rsid w:val="49441489"/>
    <w:rsid w:val="49971732"/>
    <w:rsid w:val="4C673E0C"/>
    <w:rsid w:val="4D4952BF"/>
    <w:rsid w:val="4FD56329"/>
    <w:rsid w:val="524424F9"/>
    <w:rsid w:val="537B019D"/>
    <w:rsid w:val="53DB4C8D"/>
    <w:rsid w:val="5BEB007E"/>
    <w:rsid w:val="5DCB3E2A"/>
    <w:rsid w:val="5E497785"/>
    <w:rsid w:val="67B75314"/>
    <w:rsid w:val="75AD7071"/>
    <w:rsid w:val="75D65CF6"/>
    <w:rsid w:val="7A613399"/>
    <w:rsid w:val="7B1138F9"/>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autoRedefine/>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semiHidden/>
    <w:unhideWhenUsed/>
    <w:qFormat/>
    <w:uiPriority w:val="99"/>
    <w:rPr>
      <w:color w:val="954F72"/>
      <w:u w:val="single"/>
    </w:rPr>
  </w:style>
  <w:style w:type="character" w:styleId="11">
    <w:name w:val="Emphasis"/>
    <w:basedOn w:val="9"/>
    <w:qFormat/>
    <w:uiPriority w:val="20"/>
    <w:rPr>
      <w:i/>
    </w:rPr>
  </w:style>
  <w:style w:type="character" w:styleId="12">
    <w:name w:val="Hyperlink"/>
    <w:basedOn w:val="9"/>
    <w:autoRedefine/>
    <w:semiHidden/>
    <w:unhideWhenUsed/>
    <w:qFormat/>
    <w:uiPriority w:val="99"/>
    <w:rPr>
      <w:color w:val="0563C1"/>
      <w:u w:val="single"/>
    </w:rPr>
  </w:style>
  <w:style w:type="character" w:styleId="13">
    <w:name w:val="annotation reference"/>
    <w:basedOn w:val="9"/>
    <w:autoRedefine/>
    <w:semiHidden/>
    <w:unhideWhenUsed/>
    <w:qFormat/>
    <w:uiPriority w:val="99"/>
    <w:rPr>
      <w:sz w:val="21"/>
      <w:szCs w:val="21"/>
    </w:rPr>
  </w:style>
  <w:style w:type="character" w:customStyle="1" w:styleId="14">
    <w:name w:val="页眉 字符"/>
    <w:basedOn w:val="9"/>
    <w:link w:val="5"/>
    <w:autoRedefine/>
    <w:qFormat/>
    <w:uiPriority w:val="99"/>
    <w:rPr>
      <w:rFonts w:ascii="Times New Roman" w:hAnsi="Times New Roman" w:eastAsia="宋体" w:cs="Times New Roman"/>
      <w:sz w:val="18"/>
      <w:szCs w:val="18"/>
    </w:rPr>
  </w:style>
  <w:style w:type="character" w:customStyle="1" w:styleId="15">
    <w:name w:val="页脚 字符"/>
    <w:basedOn w:val="9"/>
    <w:link w:val="4"/>
    <w:autoRedefine/>
    <w:qFormat/>
    <w:uiPriority w:val="99"/>
    <w:rPr>
      <w:rFonts w:ascii="Times New Roman" w:hAnsi="Times New Roman" w:eastAsia="宋体" w:cs="Times New Roman"/>
      <w:sz w:val="18"/>
      <w:szCs w:val="18"/>
    </w:rPr>
  </w:style>
  <w:style w:type="character" w:customStyle="1" w:styleId="16">
    <w:name w:val="批注文字 字符"/>
    <w:basedOn w:val="9"/>
    <w:link w:val="2"/>
    <w:autoRedefine/>
    <w:qFormat/>
    <w:uiPriority w:val="99"/>
    <w:rPr>
      <w:rFonts w:ascii="Times New Roman" w:hAnsi="Times New Roman" w:eastAsia="宋体" w:cs="Times New Roman"/>
      <w:szCs w:val="24"/>
    </w:rPr>
  </w:style>
  <w:style w:type="character" w:customStyle="1" w:styleId="17">
    <w:name w:val="批注主题 字符"/>
    <w:basedOn w:val="16"/>
    <w:link w:val="6"/>
    <w:autoRedefine/>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font5"/>
    <w:basedOn w:val="1"/>
    <w:autoRedefine/>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2">
    <w:name w:val="font6"/>
    <w:basedOn w:val="1"/>
    <w:autoRedefine/>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3">
    <w:name w:val="xl63"/>
    <w:basedOn w:val="1"/>
    <w:autoRedefine/>
    <w:qFormat/>
    <w:uiPriority w:val="0"/>
    <w:pPr>
      <w:widowControl/>
      <w:spacing w:before="100" w:beforeAutospacing="1" w:after="100" w:afterAutospacing="1"/>
      <w:jc w:val="center"/>
    </w:pPr>
    <w:rPr>
      <w:kern w:val="0"/>
      <w:sz w:val="24"/>
    </w:rPr>
  </w:style>
  <w:style w:type="paragraph" w:customStyle="1" w:styleId="24">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5">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70"/>
    <w:basedOn w:val="1"/>
    <w:autoRedefine/>
    <w:qFormat/>
    <w:uiPriority w:val="0"/>
    <w:pPr>
      <w:widowControl/>
      <w:spacing w:before="100" w:beforeAutospacing="1" w:after="100" w:afterAutospacing="1"/>
      <w:jc w:val="center"/>
    </w:pPr>
    <w:rPr>
      <w:kern w:val="0"/>
      <w:sz w:val="24"/>
    </w:rPr>
  </w:style>
  <w:style w:type="paragraph" w:customStyle="1" w:styleId="31">
    <w:name w:val="xl7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
    <w:name w:val="修订2"/>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42F5-A57E-49E0-AFCE-2CC95AD6668F}">
  <ds:schemaRefs/>
</ds:datastoreItem>
</file>

<file path=docProps/app.xml><?xml version="1.0" encoding="utf-8"?>
<Properties xmlns="http://schemas.openxmlformats.org/officeDocument/2006/extended-properties" xmlns:vt="http://schemas.openxmlformats.org/officeDocument/2006/docPropsVTypes">
  <Template>Normal</Template>
  <Pages>3</Pages>
  <Words>1799</Words>
  <Characters>1840</Characters>
  <Lines>153</Lines>
  <Paragraphs>153</Paragraphs>
  <TotalTime>5</TotalTime>
  <ScaleCrop>false</ScaleCrop>
  <LinksUpToDate>false</LinksUpToDate>
  <CharactersWithSpaces>1958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2025-11-07T05:44:00Z</dcterms:created>
  <dc:creator>skd004</dc:creator>
  <cp:lastModifiedBy>zhuangsisi</cp:lastModifiedBy>
  <dcterms:modified xsi:type="dcterms:W3CDTF">2025-11-11T06:34:07Z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121D0155DA7F49678F8F6481E09021BC_13</vt:lpwstr>
  </property>
  <property fmtid="{D5CDD505-2E9C-101B-9397-08002B2CF9AE}" pid="4" name="KSOTemplateDocerSaveRecord">
    <vt:lpwstr>eyJoZGlkIjoiOGY3MzgwYThkNzg3ZDA2YWZmNjIxNWU0ODIwMGRjM2YiLCJ1c2VySWQiOiIxNjczNjk1MTI2In0=</vt:lpwstr>
  </property>
</Properties>
</file>