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C8E83">
      <w:pPr>
        <w:spacing w:before="156" w:beforeLines="50" w:after="156" w:afterLines="50" w:line="400" w:lineRule="exact"/>
        <w:rPr>
          <w:bCs/>
          <w:iCs/>
          <w:color w:val="000000"/>
          <w:sz w:val="24"/>
        </w:rPr>
      </w:pPr>
      <w:r>
        <w:rPr>
          <w:rFonts w:hAnsi="宋体"/>
          <w:bCs/>
          <w:iCs/>
          <w:color w:val="000000"/>
          <w:sz w:val="24"/>
        </w:rPr>
        <w:t>证券代码：</w:t>
      </w:r>
      <w:r>
        <w:rPr>
          <w:color w:val="000000"/>
          <w:sz w:val="24"/>
        </w:rPr>
        <w:t xml:space="preserve">603690         </w:t>
      </w:r>
      <w:r>
        <w:rPr>
          <w:rFonts w:hint="eastAsia"/>
          <w:color w:val="000000"/>
          <w:sz w:val="24"/>
        </w:rPr>
        <w:t xml:space="preserve">    </w:t>
      </w:r>
      <w:r>
        <w:rPr>
          <w:color w:val="000000"/>
          <w:sz w:val="24"/>
        </w:rPr>
        <w:t xml:space="preserve">   </w:t>
      </w:r>
      <w:r>
        <w:rPr>
          <w:rFonts w:hint="eastAsia"/>
          <w:color w:val="000000"/>
          <w:sz w:val="24"/>
        </w:rPr>
        <w:t xml:space="preserve">  </w:t>
      </w:r>
      <w:r>
        <w:rPr>
          <w:color w:val="000000"/>
          <w:sz w:val="24"/>
        </w:rPr>
        <w:t xml:space="preserve">                 </w:t>
      </w:r>
      <w:r>
        <w:rPr>
          <w:rFonts w:hAnsi="宋体"/>
          <w:bCs/>
          <w:iCs/>
          <w:color w:val="000000"/>
          <w:sz w:val="24"/>
        </w:rPr>
        <w:t>证券简称：</w:t>
      </w:r>
      <w:r>
        <w:rPr>
          <w:color w:val="000000"/>
          <w:sz w:val="24"/>
        </w:rPr>
        <w:t>至纯科技</w:t>
      </w:r>
    </w:p>
    <w:p w14:paraId="6A6C8E84">
      <w:pPr>
        <w:spacing w:before="156" w:beforeLines="50" w:after="156" w:afterLines="50" w:line="400" w:lineRule="exact"/>
        <w:jc w:val="center"/>
        <w:rPr>
          <w:rFonts w:hint="eastAsia" w:ascii="宋体" w:hAnsi="宋体"/>
          <w:b/>
          <w:bCs/>
          <w:iCs/>
          <w:color w:val="000000"/>
          <w:sz w:val="32"/>
          <w:szCs w:val="32"/>
        </w:rPr>
      </w:pPr>
      <w:r>
        <w:rPr>
          <w:rFonts w:ascii="宋体" w:hAnsi="宋体"/>
          <w:b/>
          <w:bCs/>
          <w:iCs/>
          <w:color w:val="000000"/>
          <w:sz w:val="32"/>
          <w:szCs w:val="32"/>
        </w:rPr>
        <w:t>上海至纯洁净系统科技股份有限公司</w:t>
      </w:r>
    </w:p>
    <w:p w14:paraId="6A6C8E85">
      <w:pPr>
        <w:spacing w:before="156" w:beforeLines="50" w:after="156" w:afterLines="50" w:line="400" w:lineRule="exact"/>
        <w:jc w:val="center"/>
        <w:rPr>
          <w:rFonts w:hint="eastAsia" w:ascii="宋体" w:hAnsi="宋体"/>
          <w:b/>
          <w:bCs/>
          <w:iCs/>
          <w:color w:val="000000"/>
          <w:sz w:val="32"/>
          <w:szCs w:val="32"/>
        </w:rPr>
      </w:pPr>
      <w:r>
        <w:rPr>
          <w:rFonts w:hint="eastAsia" w:ascii="宋体" w:hAnsi="宋体"/>
          <w:b/>
          <w:bCs/>
          <w:iCs/>
          <w:color w:val="000000"/>
          <w:sz w:val="32"/>
          <w:szCs w:val="32"/>
        </w:rPr>
        <w:t>投资者关系活动记录表</w:t>
      </w:r>
    </w:p>
    <w:tbl>
      <w:tblPr>
        <w:tblStyle w:val="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6A6C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6A6C8E86">
            <w:pPr>
              <w:spacing w:line="420" w:lineRule="exact"/>
              <w:rPr>
                <w:bCs/>
                <w:iCs/>
                <w:color w:val="000000"/>
                <w:kern w:val="0"/>
                <w:sz w:val="24"/>
              </w:rPr>
            </w:pPr>
            <w:r>
              <w:rPr>
                <w:bCs/>
                <w:iCs/>
                <w:color w:val="000000"/>
                <w:kern w:val="0"/>
                <w:sz w:val="24"/>
              </w:rPr>
              <w:t>投资者关系活动类别</w:t>
            </w:r>
          </w:p>
          <w:p w14:paraId="6A6C8E87">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tcPr>
          <w:p w14:paraId="6A6C8E88">
            <w:pPr>
              <w:spacing w:line="420" w:lineRule="exact"/>
              <w:rPr>
                <w:bCs/>
                <w:iCs/>
                <w:color w:val="000000"/>
                <w:sz w:val="24"/>
              </w:rPr>
            </w:pPr>
            <w:r>
              <w:rPr>
                <w:bCs/>
                <w:iCs/>
                <w:color w:val="000000"/>
                <w:kern w:val="0"/>
                <w:sz w:val="24"/>
              </w:rPr>
              <w:t xml:space="preserve">√ </w:t>
            </w:r>
            <w:r>
              <w:rPr>
                <w:kern w:val="0"/>
                <w:sz w:val="24"/>
              </w:rPr>
              <w:t xml:space="preserve">特定对象调研         </w:t>
            </w:r>
            <w:r>
              <w:rPr>
                <w:bCs/>
                <w:iCs/>
                <w:color w:val="000000"/>
                <w:kern w:val="0"/>
                <w:sz w:val="24"/>
              </w:rPr>
              <w:t xml:space="preserve">□ </w:t>
            </w:r>
            <w:r>
              <w:rPr>
                <w:kern w:val="0"/>
                <w:sz w:val="24"/>
              </w:rPr>
              <w:t>分析师会议</w:t>
            </w:r>
          </w:p>
          <w:p w14:paraId="6A6C8E89">
            <w:pPr>
              <w:spacing w:line="420" w:lineRule="exact"/>
              <w:rPr>
                <w:bCs/>
                <w:iCs/>
                <w:color w:val="000000"/>
                <w:kern w:val="0"/>
                <w:sz w:val="24"/>
              </w:rPr>
            </w:pPr>
            <w:r>
              <w:rPr>
                <w:bCs/>
                <w:iCs/>
                <w:color w:val="000000"/>
                <w:kern w:val="0"/>
                <w:sz w:val="24"/>
              </w:rPr>
              <w:t xml:space="preserve">□ </w:t>
            </w:r>
            <w:r>
              <w:rPr>
                <w:kern w:val="0"/>
                <w:sz w:val="24"/>
              </w:rPr>
              <w:t xml:space="preserve">媒体采访            </w:t>
            </w:r>
            <w:r>
              <w:rPr>
                <w:bCs/>
                <w:iCs/>
                <w:color w:val="000000"/>
                <w:kern w:val="0"/>
                <w:sz w:val="24"/>
              </w:rPr>
              <w:t xml:space="preserve"> √ </w:t>
            </w:r>
            <w:r>
              <w:rPr>
                <w:kern w:val="0"/>
                <w:sz w:val="24"/>
              </w:rPr>
              <w:t>业绩说明会</w:t>
            </w:r>
          </w:p>
          <w:p w14:paraId="6A6C8E8A">
            <w:pPr>
              <w:spacing w:line="420" w:lineRule="exact"/>
              <w:rPr>
                <w:bCs/>
                <w:iCs/>
                <w:color w:val="000000"/>
                <w:kern w:val="0"/>
                <w:sz w:val="24"/>
              </w:rPr>
            </w:pPr>
            <w:r>
              <w:rPr>
                <w:bCs/>
                <w:iCs/>
                <w:color w:val="000000"/>
                <w:kern w:val="0"/>
                <w:sz w:val="24"/>
              </w:rPr>
              <w:t xml:space="preserve">□ </w:t>
            </w:r>
            <w:r>
              <w:rPr>
                <w:kern w:val="0"/>
                <w:sz w:val="24"/>
              </w:rPr>
              <w:t xml:space="preserve">新闻发布会           </w:t>
            </w:r>
            <w:r>
              <w:rPr>
                <w:bCs/>
                <w:iCs/>
                <w:color w:val="000000"/>
                <w:kern w:val="0"/>
                <w:sz w:val="24"/>
              </w:rPr>
              <w:t xml:space="preserve">□  </w:t>
            </w:r>
            <w:r>
              <w:rPr>
                <w:kern w:val="0"/>
                <w:sz w:val="24"/>
              </w:rPr>
              <w:t>路演活动</w:t>
            </w:r>
          </w:p>
          <w:p w14:paraId="6A6C8E8B">
            <w:pPr>
              <w:tabs>
                <w:tab w:val="left" w:pos="3168"/>
                <w:tab w:val="center" w:pos="3199"/>
              </w:tabs>
              <w:spacing w:line="420" w:lineRule="exact"/>
              <w:rPr>
                <w:bCs/>
                <w:iCs/>
                <w:color w:val="000000"/>
                <w:kern w:val="0"/>
                <w:sz w:val="24"/>
              </w:rPr>
            </w:pPr>
            <w:r>
              <w:rPr>
                <w:bCs/>
                <w:iCs/>
                <w:color w:val="000000"/>
                <w:kern w:val="0"/>
                <w:sz w:val="24"/>
              </w:rPr>
              <w:t xml:space="preserve">□ </w:t>
            </w:r>
            <w:r>
              <w:rPr>
                <w:kern w:val="0"/>
                <w:sz w:val="24"/>
              </w:rPr>
              <w:t xml:space="preserve">现场参观             </w:t>
            </w:r>
            <w:r>
              <w:rPr>
                <w:bCs/>
                <w:iCs/>
                <w:color w:val="000000"/>
                <w:kern w:val="0"/>
                <w:sz w:val="24"/>
              </w:rPr>
              <w:t>√ 券商策略会</w:t>
            </w:r>
          </w:p>
          <w:p w14:paraId="6A6C8E8C">
            <w:pPr>
              <w:tabs>
                <w:tab w:val="center" w:pos="3199"/>
              </w:tabs>
              <w:spacing w:line="420" w:lineRule="exact"/>
              <w:rPr>
                <w:bCs/>
                <w:iCs/>
                <w:color w:val="000000"/>
                <w:sz w:val="24"/>
              </w:rPr>
            </w:pPr>
            <w:r>
              <w:rPr>
                <w:bCs/>
                <w:iCs/>
                <w:color w:val="000000"/>
                <w:kern w:val="0"/>
                <w:sz w:val="24"/>
              </w:rPr>
              <w:t xml:space="preserve">□ </w:t>
            </w:r>
            <w:r>
              <w:rPr>
                <w:kern w:val="0"/>
                <w:sz w:val="24"/>
              </w:rPr>
              <w:t xml:space="preserve">其他 </w:t>
            </w:r>
          </w:p>
        </w:tc>
      </w:tr>
      <w:tr w14:paraId="6A6C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6A6C8E8E">
            <w:pPr>
              <w:spacing w:line="420" w:lineRule="exact"/>
              <w:rPr>
                <w:bCs/>
                <w:iCs/>
                <w:color w:val="000000"/>
                <w:kern w:val="0"/>
                <w:sz w:val="24"/>
              </w:rPr>
            </w:pPr>
            <w:r>
              <w:rPr>
                <w:bCs/>
                <w:iCs/>
                <w:color w:val="000000"/>
                <w:kern w:val="0"/>
                <w:sz w:val="24"/>
              </w:rPr>
              <w:t>参与机构</w:t>
            </w:r>
          </w:p>
        </w:tc>
        <w:tc>
          <w:tcPr>
            <w:tcW w:w="6847" w:type="dxa"/>
            <w:tcBorders>
              <w:top w:val="single" w:color="auto" w:sz="4" w:space="0"/>
              <w:left w:val="single" w:color="auto" w:sz="4" w:space="0"/>
              <w:bottom w:val="single" w:color="auto" w:sz="4" w:space="0"/>
              <w:right w:val="single" w:color="auto" w:sz="4" w:space="0"/>
            </w:tcBorders>
          </w:tcPr>
          <w:p w14:paraId="6A6C8E8F">
            <w:pPr>
              <w:spacing w:line="420" w:lineRule="exact"/>
              <w:rPr>
                <w:bCs/>
                <w:iCs/>
                <w:color w:val="000000"/>
                <w:sz w:val="24"/>
                <w:highlight w:val="yellow"/>
              </w:rPr>
            </w:pPr>
            <w:r>
              <w:rPr>
                <w:rFonts w:hint="eastAsia"/>
                <w:bCs/>
                <w:iCs/>
                <w:color w:val="000000"/>
                <w:sz w:val="24"/>
              </w:rPr>
              <w:t>汇添富基金、国泰基金、招商基金、国联基金、香港柏骏资本、平安资管、汇丰晋信基金、新华基金、兴银基金、华泰保兴基金、华安财保资产、中国人寿、太平养老保险、国寿安保基金、国投瑞银基金、申万宏源资管、中信资管、光大资管、华安资管、长江证券、光大证券、天风证券、国泰海通证券、世纪证券、上银基金、路博迈基金、远希私募基金、苏州证禾基金、正心谷资本、朱雀基金、江信基金、上海君牛私募基金、上海智晶私募基金、弘毅远方基金、东兴基金、清善资本、朴拙投资、北京才誉资管、秋阳投资、上海岙夏投资、北京仁桥资管、立格资本、上海沃珑港资管、上海唐奇资管、茁安投资、盘京投资、上海原点资产、上海昱奕资管、上海复胜资管、棕榈湾投资、杭州红骅投资、万安卓跃产投、浙江伟星资管</w:t>
            </w:r>
          </w:p>
        </w:tc>
      </w:tr>
      <w:tr w14:paraId="6A6C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08" w:type="dxa"/>
            <w:tcBorders>
              <w:top w:val="single" w:color="auto" w:sz="4" w:space="0"/>
              <w:left w:val="single" w:color="auto" w:sz="4" w:space="0"/>
              <w:bottom w:val="single" w:color="auto" w:sz="4" w:space="0"/>
              <w:right w:val="single" w:color="auto" w:sz="4" w:space="0"/>
            </w:tcBorders>
          </w:tcPr>
          <w:p w14:paraId="6A6C8E91">
            <w:pPr>
              <w:spacing w:line="420" w:lineRule="exact"/>
              <w:rPr>
                <w:bCs/>
                <w:iCs/>
                <w:color w:val="000000"/>
                <w:kern w:val="0"/>
                <w:sz w:val="24"/>
              </w:rPr>
            </w:pPr>
            <w:r>
              <w:rPr>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tcPr>
          <w:p w14:paraId="6A6C8E92">
            <w:pPr>
              <w:spacing w:line="420" w:lineRule="exact"/>
              <w:rPr>
                <w:bCs/>
                <w:iCs/>
                <w:color w:val="000000"/>
                <w:sz w:val="24"/>
              </w:rPr>
            </w:pPr>
            <w:r>
              <w:rPr>
                <w:bCs/>
                <w:iCs/>
                <w:color w:val="000000"/>
                <w:sz w:val="24"/>
              </w:rPr>
              <w:t>2025年</w:t>
            </w:r>
            <w:r>
              <w:rPr>
                <w:rFonts w:hint="eastAsia"/>
                <w:bCs/>
                <w:iCs/>
                <w:color w:val="000000"/>
                <w:sz w:val="24"/>
              </w:rPr>
              <w:t>8-10</w:t>
            </w:r>
            <w:r>
              <w:rPr>
                <w:bCs/>
                <w:iCs/>
                <w:color w:val="000000"/>
                <w:sz w:val="24"/>
              </w:rPr>
              <w:t>月</w:t>
            </w:r>
          </w:p>
        </w:tc>
      </w:tr>
      <w:tr w14:paraId="6A6C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6A6C8E94">
            <w:pPr>
              <w:spacing w:line="420" w:lineRule="exact"/>
              <w:rPr>
                <w:bCs/>
                <w:iCs/>
                <w:color w:val="000000"/>
                <w:kern w:val="0"/>
                <w:sz w:val="24"/>
              </w:rPr>
            </w:pPr>
            <w:r>
              <w:rPr>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tcPr>
          <w:p w14:paraId="6A6C8E95">
            <w:pPr>
              <w:spacing w:line="420" w:lineRule="exact"/>
              <w:rPr>
                <w:bCs/>
                <w:iCs/>
                <w:color w:val="000000"/>
                <w:sz w:val="24"/>
              </w:rPr>
            </w:pPr>
            <w:r>
              <w:rPr>
                <w:bCs/>
                <w:iCs/>
                <w:color w:val="000000"/>
                <w:sz w:val="24"/>
              </w:rPr>
              <w:t>现场会议</w:t>
            </w:r>
            <w:r>
              <w:rPr>
                <w:rFonts w:hint="eastAsia"/>
                <w:bCs/>
                <w:iCs/>
                <w:color w:val="000000"/>
                <w:sz w:val="24"/>
              </w:rPr>
              <w:t>、线上会议</w:t>
            </w:r>
          </w:p>
        </w:tc>
      </w:tr>
      <w:tr w14:paraId="6A6C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6A6C8E97">
            <w:pPr>
              <w:spacing w:line="420" w:lineRule="exact"/>
              <w:rPr>
                <w:bCs/>
                <w:iCs/>
                <w:color w:val="000000"/>
                <w:kern w:val="0"/>
                <w:sz w:val="24"/>
              </w:rPr>
            </w:pPr>
            <w:r>
              <w:rPr>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vAlign w:val="center"/>
          </w:tcPr>
          <w:p w14:paraId="6A6C8E98">
            <w:pPr>
              <w:spacing w:line="420" w:lineRule="exact"/>
              <w:rPr>
                <w:bCs/>
                <w:sz w:val="24"/>
              </w:rPr>
            </w:pPr>
            <w:r>
              <w:rPr>
                <w:rFonts w:hint="eastAsia"/>
                <w:bCs/>
                <w:sz w:val="24"/>
              </w:rPr>
              <w:t>董事长、总经理蒋渊、</w:t>
            </w:r>
            <w:r>
              <w:rPr>
                <w:bCs/>
                <w:sz w:val="24"/>
              </w:rPr>
              <w:t>董秘任慕华</w:t>
            </w:r>
            <w:r>
              <w:rPr>
                <w:rFonts w:hint="eastAsia"/>
                <w:bCs/>
                <w:sz w:val="24"/>
              </w:rPr>
              <w:t>、证代张娟</w:t>
            </w:r>
          </w:p>
        </w:tc>
      </w:tr>
      <w:tr w14:paraId="6A6C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6A6C8E9A">
            <w:pPr>
              <w:spacing w:line="420" w:lineRule="exact"/>
              <w:rPr>
                <w:bCs/>
                <w:iCs/>
                <w:color w:val="000000"/>
                <w:kern w:val="0"/>
                <w:sz w:val="24"/>
              </w:rPr>
            </w:pPr>
            <w:r>
              <w:rPr>
                <w:bCs/>
                <w:iCs/>
                <w:color w:val="000000"/>
                <w:kern w:val="0"/>
                <w:sz w:val="24"/>
              </w:rPr>
              <w:t>投资者关系活动主要内容介绍</w:t>
            </w:r>
          </w:p>
          <w:p w14:paraId="6A6C8E9B">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tcPr>
          <w:p w14:paraId="6A6C8E9C">
            <w:pPr>
              <w:pStyle w:val="17"/>
              <w:numPr>
                <w:ilvl w:val="0"/>
                <w:numId w:val="1"/>
              </w:numPr>
              <w:spacing w:line="360" w:lineRule="auto"/>
              <w:ind w:left="0" w:firstLine="482"/>
              <w:rPr>
                <w:b/>
                <w:bCs/>
                <w:sz w:val="24"/>
              </w:rPr>
            </w:pPr>
            <w:r>
              <w:rPr>
                <w:b/>
                <w:bCs/>
                <w:sz w:val="24"/>
              </w:rPr>
              <w:t>交流的主要问题及回复概要</w:t>
            </w:r>
          </w:p>
          <w:p w14:paraId="6A6C8E9D">
            <w:pPr>
              <w:pStyle w:val="17"/>
              <w:spacing w:line="360" w:lineRule="auto"/>
              <w:ind w:firstLine="482"/>
              <w:rPr>
                <w:b/>
                <w:bCs/>
                <w:sz w:val="24"/>
              </w:rPr>
            </w:pPr>
            <w:r>
              <w:rPr>
                <w:rFonts w:hint="eastAsia"/>
                <w:b/>
                <w:bCs/>
                <w:sz w:val="24"/>
              </w:rPr>
              <w:t>1、公司2025年上半年新增订单情况如何</w:t>
            </w:r>
            <w:r>
              <w:rPr>
                <w:b/>
                <w:bCs/>
                <w:sz w:val="24"/>
              </w:rPr>
              <w:t>？</w:t>
            </w:r>
            <w:r>
              <w:rPr>
                <w:rFonts w:hint="eastAsia"/>
                <w:b/>
                <w:bCs/>
                <w:sz w:val="24"/>
              </w:rPr>
              <w:t>能否将湿法设备与大宗气站订单情况拆分一下？</w:t>
            </w:r>
          </w:p>
          <w:p w14:paraId="6A6C8E9E">
            <w:pPr>
              <w:spacing w:line="360" w:lineRule="auto"/>
              <w:ind w:firstLine="480" w:firstLineChars="200"/>
              <w:jc w:val="left"/>
              <w:rPr>
                <w:sz w:val="24"/>
              </w:rPr>
            </w:pPr>
            <w:r>
              <w:rPr>
                <w:sz w:val="24"/>
              </w:rPr>
              <w:t>答：</w:t>
            </w:r>
            <w:r>
              <w:rPr>
                <w:rFonts w:hint="eastAsia"/>
                <w:sz w:val="24"/>
              </w:rPr>
              <w:t>2025年上半年新增订单17亿元，湿法设备订单暂低于预期。公司目前已有两座1</w:t>
            </w:r>
            <w:r>
              <w:rPr>
                <w:sz w:val="24"/>
              </w:rPr>
              <w:t>2</w:t>
            </w:r>
            <w:r>
              <w:rPr>
                <w:rFonts w:hint="eastAsia"/>
                <w:sz w:val="24"/>
              </w:rPr>
              <w:t>英</w:t>
            </w:r>
            <w:r>
              <w:rPr>
                <w:sz w:val="24"/>
              </w:rPr>
              <w:t>寸晶圆对应28纳米的</w:t>
            </w:r>
            <w:r>
              <w:rPr>
                <w:rFonts w:hint="eastAsia"/>
                <w:sz w:val="24"/>
              </w:rPr>
              <w:t>大宗气站建成并运营中，随</w:t>
            </w:r>
            <w:r>
              <w:rPr>
                <w:sz w:val="24"/>
              </w:rPr>
              <w:t>着客户的产能爬升，将为公司贡献稳定可观的营收。</w:t>
            </w:r>
            <w:r>
              <w:rPr>
                <w:rFonts w:hint="eastAsia"/>
                <w:sz w:val="24"/>
              </w:rPr>
              <w:t>上半年大宗气站业务营业收入1.33亿元，同比增长146.30%。</w:t>
            </w:r>
          </w:p>
          <w:p w14:paraId="6A6C8E9F">
            <w:pPr>
              <w:pStyle w:val="17"/>
              <w:spacing w:line="360" w:lineRule="auto"/>
              <w:ind w:firstLine="482"/>
              <w:rPr>
                <w:b/>
                <w:bCs/>
                <w:sz w:val="24"/>
              </w:rPr>
            </w:pPr>
            <w:r>
              <w:rPr>
                <w:rFonts w:hint="eastAsia"/>
                <w:b/>
                <w:bCs/>
                <w:sz w:val="24"/>
              </w:rPr>
              <w:t>2、公司各业务板块的进展情况如何？</w:t>
            </w:r>
          </w:p>
          <w:p w14:paraId="6A6C8EA0">
            <w:pPr>
              <w:spacing w:line="360" w:lineRule="auto"/>
              <w:ind w:firstLine="480" w:firstLineChars="200"/>
              <w:jc w:val="left"/>
              <w:rPr>
                <w:sz w:val="24"/>
              </w:rPr>
            </w:pPr>
            <w:r>
              <w:rPr>
                <w:rFonts w:hint="eastAsia"/>
                <w:sz w:val="24"/>
              </w:rPr>
              <w:t>答：系统集成业务客户集中度高，主要集中于前几大客户，</w:t>
            </w:r>
            <w:r>
              <w:rPr>
                <w:sz w:val="24"/>
              </w:rPr>
              <w:t>去年承接</w:t>
            </w:r>
            <w:r>
              <w:rPr>
                <w:rFonts w:hint="eastAsia"/>
                <w:sz w:val="24"/>
              </w:rPr>
              <w:t>了</w:t>
            </w:r>
            <w:r>
              <w:rPr>
                <w:sz w:val="24"/>
              </w:rPr>
              <w:t>多个超亿元</w:t>
            </w:r>
            <w:r>
              <w:rPr>
                <w:rFonts w:hint="eastAsia"/>
                <w:sz w:val="24"/>
              </w:rPr>
              <w:t>的</w:t>
            </w:r>
            <w:r>
              <w:rPr>
                <w:sz w:val="24"/>
              </w:rPr>
              <w:t>大订单</w:t>
            </w:r>
            <w:r>
              <w:rPr>
                <w:rFonts w:hint="eastAsia"/>
                <w:sz w:val="24"/>
              </w:rPr>
              <w:t>，目前订单拓展方面</w:t>
            </w:r>
            <w:r>
              <w:rPr>
                <w:sz w:val="24"/>
              </w:rPr>
              <w:t>主要依赖存量客户</w:t>
            </w:r>
            <w:r>
              <w:rPr>
                <w:rFonts w:hint="eastAsia"/>
                <w:sz w:val="24"/>
              </w:rPr>
              <w:t>的</w:t>
            </w:r>
            <w:r>
              <w:rPr>
                <w:sz w:val="24"/>
              </w:rPr>
              <w:t>扩产</w:t>
            </w:r>
            <w:r>
              <w:rPr>
                <w:rFonts w:hint="eastAsia"/>
                <w:sz w:val="24"/>
              </w:rPr>
              <w:t>。系统集成业务特性为</w:t>
            </w:r>
            <w:r>
              <w:rPr>
                <w:sz w:val="24"/>
              </w:rPr>
              <w:t>回款周期长，资金占用压力</w:t>
            </w:r>
            <w:r>
              <w:rPr>
                <w:rFonts w:hint="eastAsia"/>
                <w:sz w:val="24"/>
              </w:rPr>
              <w:t>较</w:t>
            </w:r>
            <w:r>
              <w:rPr>
                <w:sz w:val="24"/>
              </w:rPr>
              <w:t>大，</w:t>
            </w:r>
            <w:r>
              <w:rPr>
                <w:rFonts w:hint="eastAsia"/>
                <w:sz w:val="24"/>
              </w:rPr>
              <w:t>因此公司</w:t>
            </w:r>
            <w:r>
              <w:rPr>
                <w:sz w:val="24"/>
              </w:rPr>
              <w:t>当前</w:t>
            </w:r>
            <w:r>
              <w:rPr>
                <w:rFonts w:hint="eastAsia"/>
                <w:sz w:val="24"/>
              </w:rPr>
              <w:t>的</w:t>
            </w:r>
            <w:r>
              <w:rPr>
                <w:sz w:val="24"/>
              </w:rPr>
              <w:t>重点</w:t>
            </w:r>
            <w:r>
              <w:rPr>
                <w:rFonts w:hint="eastAsia"/>
                <w:sz w:val="24"/>
              </w:rPr>
              <w:t>工作是</w:t>
            </w:r>
            <w:r>
              <w:rPr>
                <w:sz w:val="24"/>
              </w:rPr>
              <w:t>加强应收账款</w:t>
            </w:r>
            <w:r>
              <w:rPr>
                <w:rFonts w:hint="eastAsia"/>
                <w:sz w:val="24"/>
              </w:rPr>
              <w:t>回款</w:t>
            </w:r>
            <w:r>
              <w:rPr>
                <w:sz w:val="24"/>
              </w:rPr>
              <w:t>。</w:t>
            </w:r>
          </w:p>
          <w:p w14:paraId="6A6C8EA1">
            <w:pPr>
              <w:spacing w:line="360" w:lineRule="auto"/>
              <w:ind w:firstLine="480" w:firstLineChars="200"/>
              <w:jc w:val="left"/>
              <w:rPr>
                <w:sz w:val="24"/>
              </w:rPr>
            </w:pPr>
            <w:r>
              <w:rPr>
                <w:rFonts w:hint="eastAsia"/>
                <w:sz w:val="24"/>
                <w:highlight w:val="none"/>
              </w:rPr>
              <w:t>设备业务</w:t>
            </w:r>
            <w:r>
              <w:rPr>
                <w:sz w:val="24"/>
                <w:highlight w:val="none"/>
              </w:rPr>
              <w:t>以清洗设备为主，聚焦先进制程。</w:t>
            </w:r>
            <w:r>
              <w:rPr>
                <w:rFonts w:hint="eastAsia"/>
                <w:sz w:val="24"/>
                <w:highlight w:val="none"/>
              </w:rPr>
              <w:t>上半年设备订单以成熟产品为主</w:t>
            </w:r>
            <w:r>
              <w:rPr>
                <w:sz w:val="24"/>
                <w:highlight w:val="none"/>
              </w:rPr>
              <w:t>。</w:t>
            </w:r>
            <w:r>
              <w:rPr>
                <w:sz w:val="24"/>
              </w:rPr>
              <w:t>新产品如中高温磷酸设备已在客户验证中</w:t>
            </w:r>
            <w:r>
              <w:rPr>
                <w:rFonts w:hint="eastAsia"/>
                <w:sz w:val="24"/>
              </w:rPr>
              <w:t>，在更</w:t>
            </w:r>
            <w:r>
              <w:rPr>
                <w:sz w:val="24"/>
              </w:rPr>
              <w:t>先进制程</w:t>
            </w:r>
            <w:r>
              <w:rPr>
                <w:rFonts w:hint="eastAsia"/>
                <w:sz w:val="24"/>
              </w:rPr>
              <w:t>验证进度上公司处于领先地位，后续放量需根据下游客户先进制程产线进展情况而定。</w:t>
            </w:r>
          </w:p>
          <w:p w14:paraId="6A6C8EA2">
            <w:pPr>
              <w:spacing w:line="360" w:lineRule="auto"/>
              <w:ind w:firstLine="480" w:firstLineChars="200"/>
              <w:jc w:val="left"/>
              <w:rPr>
                <w:sz w:val="24"/>
              </w:rPr>
            </w:pPr>
            <w:r>
              <w:rPr>
                <w:rFonts w:hint="eastAsia"/>
                <w:sz w:val="24"/>
              </w:rPr>
              <w:t>电子材料业务，商业模式优越（长期稳定收入，客户粘性强，准入门槛高），公司两座大宗气站上半年收入约1.33亿元。公司会根据市场与客户情况希望未来再建两三座气站。</w:t>
            </w:r>
          </w:p>
          <w:p w14:paraId="6A6C8EA4">
            <w:pPr>
              <w:pStyle w:val="17"/>
              <w:numPr>
                <w:ilvl w:val="0"/>
                <w:numId w:val="2"/>
              </w:numPr>
              <w:spacing w:line="360" w:lineRule="auto"/>
              <w:ind w:firstLine="482"/>
              <w:rPr>
                <w:b/>
                <w:bCs/>
                <w:sz w:val="24"/>
              </w:rPr>
            </w:pPr>
            <w:r>
              <w:rPr>
                <w:rFonts w:hint="eastAsia"/>
                <w:b/>
                <w:bCs/>
                <w:sz w:val="24"/>
              </w:rPr>
              <w:t>公司最早是如何切入大宗气站业务的？</w:t>
            </w:r>
          </w:p>
          <w:p w14:paraId="6A6C8EA5">
            <w:pPr>
              <w:spacing w:line="360" w:lineRule="auto"/>
              <w:ind w:firstLine="480" w:firstLineChars="200"/>
              <w:jc w:val="left"/>
              <w:rPr>
                <w:sz w:val="24"/>
              </w:rPr>
            </w:pPr>
            <w:r>
              <w:rPr>
                <w:sz w:val="24"/>
              </w:rPr>
              <w:t>答：</w:t>
            </w:r>
            <w:r>
              <w:rPr>
                <w:rFonts w:hint="eastAsia"/>
                <w:sz w:val="24"/>
              </w:rPr>
              <w:t>公司早期从系统集成业务开始，经过多年围绕气体、化学品的业务经验积累及团队能力建设，在美国限制大陆发展、外资厂商和人员撤离的大背景下，公司为客户先进制程的试验线成功建造了国内第一座完全国产化的大宗气站，借此先发优势，成功进入半导体先进制程大宗气站领域。</w:t>
            </w:r>
          </w:p>
          <w:p w14:paraId="6A6C8EA6">
            <w:pPr>
              <w:pStyle w:val="17"/>
              <w:numPr>
                <w:ilvl w:val="0"/>
                <w:numId w:val="2"/>
              </w:numPr>
              <w:spacing w:line="360" w:lineRule="auto"/>
              <w:ind w:firstLine="482"/>
              <w:rPr>
                <w:b/>
                <w:bCs/>
                <w:sz w:val="24"/>
              </w:rPr>
            </w:pPr>
            <w:r>
              <w:rPr>
                <w:b/>
                <w:bCs/>
                <w:sz w:val="24"/>
              </w:rPr>
              <w:t>公司是否参与或助力</w:t>
            </w:r>
            <w:r>
              <w:rPr>
                <w:rFonts w:hint="eastAsia"/>
                <w:b/>
                <w:bCs/>
                <w:sz w:val="24"/>
              </w:rPr>
              <w:t>国产核心半导体设备的研发与配套工作</w:t>
            </w:r>
            <w:r>
              <w:rPr>
                <w:b/>
                <w:bCs/>
                <w:sz w:val="24"/>
              </w:rPr>
              <w:t>？</w:t>
            </w:r>
          </w:p>
          <w:p w14:paraId="6A6C8EA7">
            <w:pPr>
              <w:spacing w:line="360" w:lineRule="auto"/>
              <w:ind w:firstLine="480" w:firstLineChars="200"/>
              <w:jc w:val="left"/>
              <w:rPr>
                <w:sz w:val="24"/>
              </w:rPr>
            </w:pPr>
            <w:r>
              <w:rPr>
                <w:sz w:val="24"/>
              </w:rPr>
              <w:t>答：公司主要为</w:t>
            </w:r>
            <w:r>
              <w:rPr>
                <w:rFonts w:hint="eastAsia"/>
                <w:sz w:val="24"/>
              </w:rPr>
              <w:t>国内</w:t>
            </w:r>
            <w:r>
              <w:rPr>
                <w:sz w:val="24"/>
              </w:rPr>
              <w:t>集成电路</w:t>
            </w:r>
            <w:r>
              <w:rPr>
                <w:rFonts w:hint="eastAsia"/>
                <w:sz w:val="24"/>
              </w:rPr>
              <w:t>晶圆制造企业</w:t>
            </w:r>
            <w:r>
              <w:rPr>
                <w:sz w:val="24"/>
              </w:rPr>
              <w:t>客户提供半导体制程设备、系统集成及支持设备，以及由此衍生的部件材料及专业服务。公司始终围绕“工艺-</w:t>
            </w:r>
            <w:r>
              <w:rPr>
                <w:rFonts w:hint="eastAsia"/>
                <w:sz w:val="24"/>
                <w:lang w:val="en-US" w:eastAsia="zh-CN"/>
              </w:rPr>
              <w:t>装</w:t>
            </w:r>
            <w:bookmarkStart w:id="0" w:name="_GoBack"/>
            <w:bookmarkEnd w:id="0"/>
            <w:r>
              <w:rPr>
                <w:sz w:val="24"/>
              </w:rPr>
              <w:t>备-材料”三位一体发展战略，专注于满足高端制造业客户不断提升的制程精度要求，</w:t>
            </w:r>
            <w:r>
              <w:rPr>
                <w:rFonts w:hint="eastAsia"/>
                <w:sz w:val="24"/>
              </w:rPr>
              <w:t>助力国产替代。</w:t>
            </w:r>
          </w:p>
          <w:p w14:paraId="6A6C8EA8">
            <w:pPr>
              <w:pStyle w:val="17"/>
              <w:numPr>
                <w:ilvl w:val="0"/>
                <w:numId w:val="2"/>
              </w:numPr>
              <w:spacing w:line="360" w:lineRule="auto"/>
              <w:ind w:firstLine="482"/>
              <w:rPr>
                <w:b/>
                <w:bCs/>
                <w:sz w:val="24"/>
              </w:rPr>
            </w:pPr>
            <w:r>
              <w:rPr>
                <w:rFonts w:hint="eastAsia"/>
                <w:b/>
                <w:bCs/>
                <w:sz w:val="24"/>
              </w:rPr>
              <w:t>公司哪些资产和应收账款有坏账预期吗？</w:t>
            </w:r>
          </w:p>
          <w:p w14:paraId="6A6C8EA9">
            <w:pPr>
              <w:spacing w:line="360" w:lineRule="auto"/>
              <w:ind w:firstLine="480" w:firstLineChars="200"/>
              <w:jc w:val="left"/>
              <w:rPr>
                <w:sz w:val="24"/>
              </w:rPr>
            </w:pPr>
            <w:r>
              <w:rPr>
                <w:rFonts w:hint="eastAsia"/>
                <w:sz w:val="24"/>
              </w:rPr>
              <w:t>答：公司会定期审查资产和应收账款的情况，根据会计准则，对于可能存在坏账的相关资产会及时计提坏账准备并及时公告。</w:t>
            </w:r>
          </w:p>
          <w:p w14:paraId="6A6C8EAA">
            <w:pPr>
              <w:pStyle w:val="17"/>
              <w:numPr>
                <w:ilvl w:val="0"/>
                <w:numId w:val="2"/>
              </w:numPr>
              <w:spacing w:line="360" w:lineRule="auto"/>
              <w:ind w:firstLine="482"/>
              <w:rPr>
                <w:b/>
                <w:bCs/>
                <w:sz w:val="24"/>
              </w:rPr>
            </w:pPr>
            <w:r>
              <w:rPr>
                <w:b/>
                <w:bCs/>
                <w:sz w:val="24"/>
              </w:rPr>
              <w:t>公司</w:t>
            </w:r>
            <w:r>
              <w:rPr>
                <w:rFonts w:hint="eastAsia"/>
                <w:b/>
                <w:bCs/>
                <w:sz w:val="24"/>
              </w:rPr>
              <w:t>营业收入增长较缓慢的原因是什么</w:t>
            </w:r>
            <w:r>
              <w:rPr>
                <w:b/>
                <w:bCs/>
                <w:sz w:val="24"/>
              </w:rPr>
              <w:t>？</w:t>
            </w:r>
          </w:p>
          <w:p w14:paraId="6A6C8EAB">
            <w:pPr>
              <w:spacing w:line="360" w:lineRule="auto"/>
              <w:ind w:firstLine="480" w:firstLineChars="200"/>
              <w:jc w:val="left"/>
              <w:rPr>
                <w:sz w:val="24"/>
                <w:highlight w:val="lightGray"/>
              </w:rPr>
            </w:pPr>
            <w:r>
              <w:rPr>
                <w:sz w:val="24"/>
              </w:rPr>
              <w:t>答：公司</w:t>
            </w:r>
            <w:r>
              <w:rPr>
                <w:rFonts w:hint="eastAsia"/>
                <w:sz w:val="24"/>
              </w:rPr>
              <w:t>2025年上半年</w:t>
            </w:r>
            <w:r>
              <w:rPr>
                <w:sz w:val="24"/>
              </w:rPr>
              <w:t>实现收入16.08亿元，较去年同期增长5.25%</w:t>
            </w:r>
            <w:r>
              <w:rPr>
                <w:rFonts w:hint="eastAsia"/>
                <w:sz w:val="24"/>
              </w:rPr>
              <w:t>。</w:t>
            </w:r>
            <w:r>
              <w:rPr>
                <w:sz w:val="24"/>
              </w:rPr>
              <w:t>公司收入中来自集成电路行业客户占比为87.46%</w:t>
            </w:r>
            <w:r>
              <w:rPr>
                <w:rFonts w:hint="eastAsia"/>
                <w:sz w:val="24"/>
              </w:rPr>
              <w:t>，公司自进入集成电路行业后</w:t>
            </w:r>
            <w:r>
              <w:rPr>
                <w:sz w:val="24"/>
              </w:rPr>
              <w:t>，客户集中度和项目规模都逐年提升，2024年公司来自前五大客户收入占比超过60%，单个项目的交付</w:t>
            </w:r>
            <w:r>
              <w:rPr>
                <w:rFonts w:hint="eastAsia"/>
                <w:sz w:val="24"/>
              </w:rPr>
              <w:t>与否</w:t>
            </w:r>
            <w:r>
              <w:rPr>
                <w:sz w:val="24"/>
              </w:rPr>
              <w:t>对营业收入影响较大。截至</w:t>
            </w:r>
            <w:r>
              <w:rPr>
                <w:rFonts w:hint="eastAsia"/>
                <w:sz w:val="24"/>
              </w:rPr>
              <w:t>2025年中</w:t>
            </w:r>
            <w:r>
              <w:rPr>
                <w:sz w:val="24"/>
              </w:rPr>
              <w:t>，公司在手订单共134.14亿元（含长期订单）；除去长期订单，在手订单为50.5亿，在手订单中泛半导体行业在手订单占比94.72%，其中集成电路领域占比85.3%，服务于12英寸集成电路客户占比达89.10%。</w:t>
            </w:r>
            <w:r>
              <w:rPr>
                <w:rFonts w:hint="eastAsia"/>
                <w:sz w:val="24"/>
              </w:rPr>
              <w:t>目前公司在手订单处于正常执行中。</w:t>
            </w:r>
          </w:p>
          <w:p w14:paraId="6A6C8EAC">
            <w:pPr>
              <w:pStyle w:val="17"/>
              <w:numPr>
                <w:ilvl w:val="0"/>
                <w:numId w:val="2"/>
              </w:numPr>
              <w:spacing w:line="360" w:lineRule="auto"/>
              <w:ind w:firstLine="482"/>
              <w:rPr>
                <w:b/>
                <w:bCs/>
                <w:sz w:val="24"/>
              </w:rPr>
            </w:pPr>
            <w:r>
              <w:rPr>
                <w:rFonts w:hint="eastAsia"/>
                <w:b/>
                <w:bCs/>
                <w:sz w:val="24"/>
              </w:rPr>
              <w:t>公司控投股东减持的资金用途是什么</w:t>
            </w:r>
            <w:r>
              <w:rPr>
                <w:b/>
                <w:bCs/>
                <w:sz w:val="24"/>
              </w:rPr>
              <w:t>？</w:t>
            </w:r>
          </w:p>
          <w:p w14:paraId="6A6C8EAD">
            <w:pPr>
              <w:spacing w:line="360" w:lineRule="auto"/>
              <w:ind w:firstLine="480" w:firstLineChars="200"/>
              <w:jc w:val="left"/>
              <w:rPr>
                <w:sz w:val="24"/>
              </w:rPr>
            </w:pPr>
            <w:r>
              <w:rPr>
                <w:sz w:val="24"/>
              </w:rPr>
              <w:t>答：</w:t>
            </w:r>
            <w:r>
              <w:rPr>
                <w:rFonts w:hint="eastAsia"/>
                <w:sz w:val="24"/>
              </w:rPr>
              <w:t>减持的资金主要用于降低控股股东及一致行动人的质押</w:t>
            </w:r>
            <w:r>
              <w:rPr>
                <w:rFonts w:hint="eastAsia"/>
                <w:sz w:val="24"/>
                <w:highlight w:val="none"/>
              </w:rPr>
              <w:t>负债的比例。目前控股股东之一陆龙英女士已归还其融资质押的全部股份。</w:t>
            </w:r>
          </w:p>
          <w:p w14:paraId="6A6C8EAE">
            <w:pPr>
              <w:pStyle w:val="17"/>
              <w:numPr>
                <w:ilvl w:val="0"/>
                <w:numId w:val="2"/>
              </w:numPr>
              <w:spacing w:line="360" w:lineRule="auto"/>
              <w:ind w:firstLine="482"/>
              <w:rPr>
                <w:b/>
                <w:bCs/>
                <w:sz w:val="24"/>
              </w:rPr>
            </w:pPr>
            <w:r>
              <w:rPr>
                <w:rFonts w:hint="eastAsia"/>
                <w:b/>
                <w:bCs/>
                <w:sz w:val="24"/>
              </w:rPr>
              <w:t>公司终止发行股份购买资产交易的具体原因是什么？当前半导体市场的哪些变化，促使公司做出终止的审慎决定？</w:t>
            </w:r>
          </w:p>
          <w:p w14:paraId="6A6C8EAF">
            <w:pPr>
              <w:spacing w:line="360" w:lineRule="auto"/>
              <w:ind w:firstLine="480" w:firstLineChars="200"/>
              <w:jc w:val="left"/>
              <w:rPr>
                <w:sz w:val="24"/>
              </w:rPr>
            </w:pPr>
            <w:r>
              <w:rPr>
                <w:rFonts w:hint="eastAsia"/>
                <w:sz w:val="24"/>
              </w:rPr>
              <w:t>答：本次交易终止是公司与交易对方基于客观情况变化，经友好协商后共同做出的决策。鉴于交易各方尚未就关键交易条款等相关事项协商一致，且考虑到本次交易事项自筹划以来历时较长，当前市场环境及相关情况较本次交易筹划初期已发生一定变化，为切实维护上市公司和广大投资者长期利益，经公司与交易各相关方友好协商、认真研究和充分论证，基于审慎性考虑，决定终止本次交易事项。</w:t>
            </w:r>
          </w:p>
          <w:p w14:paraId="6A6C8EB0">
            <w:pPr>
              <w:pStyle w:val="17"/>
              <w:numPr>
                <w:ilvl w:val="0"/>
                <w:numId w:val="2"/>
              </w:numPr>
              <w:spacing w:line="360" w:lineRule="auto"/>
              <w:ind w:firstLine="482"/>
              <w:rPr>
                <w:b/>
                <w:bCs/>
                <w:sz w:val="24"/>
              </w:rPr>
            </w:pPr>
            <w:r>
              <w:rPr>
                <w:rFonts w:hint="eastAsia"/>
                <w:b/>
                <w:bCs/>
                <w:sz w:val="24"/>
              </w:rPr>
              <w:t>请问公司目前仍持有威顿晶磷的股权，此次终止控股收购后，公司与威顿晶磷的现有股权关系将如何处理？是否存在因交易终止而产生的潜在风险或后续安排？</w:t>
            </w:r>
          </w:p>
          <w:p w14:paraId="6A6C8EB1">
            <w:pPr>
              <w:spacing w:line="360" w:lineRule="auto"/>
              <w:ind w:firstLine="480" w:firstLineChars="200"/>
              <w:jc w:val="left"/>
              <w:rPr>
                <w:sz w:val="22"/>
                <w:szCs w:val="22"/>
              </w:rPr>
            </w:pPr>
            <w:r>
              <w:rPr>
                <w:rFonts w:hint="eastAsia"/>
                <w:sz w:val="24"/>
              </w:rPr>
              <w:t>答：公司本次终止控股收购后，公司与威顿晶磷的现有股东关系不会发生变化，双方暂无其他特殊的后续安排。本次终止是交易各方友好协商的结果，不会对公司的生产经营和财务状况造成重大不利影响。</w:t>
            </w:r>
          </w:p>
        </w:tc>
      </w:tr>
    </w:tbl>
    <w:p w14:paraId="6A6C8EB3"/>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6A6C8EB9">
        <w:pPr>
          <w:pStyle w:val="3"/>
          <w:jc w:val="center"/>
        </w:pPr>
        <w:r>
          <w:fldChar w:fldCharType="begin"/>
        </w:r>
        <w:r>
          <w:instrText xml:space="preserve">PAGE   \* MERGEFORMAT</w:instrText>
        </w:r>
        <w:r>
          <w:fldChar w:fldCharType="separate"/>
        </w:r>
        <w:r>
          <w:rPr>
            <w:lang w:val="zh-CN"/>
          </w:rPr>
          <w:t>2</w:t>
        </w:r>
        <w:r>
          <w:fldChar w:fldCharType="end"/>
        </w:r>
      </w:p>
    </w:sdtContent>
  </w:sdt>
  <w:p w14:paraId="6A6C8EB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C8EB8">
    <w:pPr>
      <w:pStyle w:val="4"/>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84DA5"/>
    <w:multiLevelType w:val="multilevel"/>
    <w:tmpl w:val="1A184DA5"/>
    <w:lvl w:ilvl="0" w:tentative="0">
      <w:start w:val="1"/>
      <w:numFmt w:val="japaneseCounting"/>
      <w:lvlText w:val="%1、"/>
      <w:lvlJc w:val="left"/>
      <w:pPr>
        <w:ind w:left="1440" w:hanging="720"/>
      </w:pPr>
      <w:rPr>
        <w:rFonts w:hint="default"/>
      </w:rPr>
    </w:lvl>
    <w:lvl w:ilvl="1" w:tentative="0">
      <w:start w:val="1"/>
      <w:numFmt w:val="lowerLetter"/>
      <w:lvlText w:val="%2)"/>
      <w:lvlJc w:val="left"/>
      <w:pPr>
        <w:ind w:left="1600" w:hanging="440"/>
      </w:p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abstractNum w:abstractNumId="1">
    <w:nsid w:val="335166F8"/>
    <w:multiLevelType w:val="singleLevel"/>
    <w:tmpl w:val="335166F8"/>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NlYWY5NWIwZGRmNzUyYTM4N2M2MjNjMDMyN2VkNDUifQ=="/>
  </w:docVars>
  <w:rsids>
    <w:rsidRoot w:val="006861C7"/>
    <w:rsid w:val="00001B6E"/>
    <w:rsid w:val="00007CB5"/>
    <w:rsid w:val="000268C0"/>
    <w:rsid w:val="000363B5"/>
    <w:rsid w:val="000375D7"/>
    <w:rsid w:val="00043015"/>
    <w:rsid w:val="00046DDE"/>
    <w:rsid w:val="00047EB9"/>
    <w:rsid w:val="00060A74"/>
    <w:rsid w:val="0006206A"/>
    <w:rsid w:val="00067110"/>
    <w:rsid w:val="00070289"/>
    <w:rsid w:val="00080554"/>
    <w:rsid w:val="000875FC"/>
    <w:rsid w:val="0009298A"/>
    <w:rsid w:val="00094858"/>
    <w:rsid w:val="000960E4"/>
    <w:rsid w:val="000A2808"/>
    <w:rsid w:val="000A3023"/>
    <w:rsid w:val="000A3BAC"/>
    <w:rsid w:val="000A7111"/>
    <w:rsid w:val="000B02F2"/>
    <w:rsid w:val="000B379D"/>
    <w:rsid w:val="000C26FD"/>
    <w:rsid w:val="000C2D85"/>
    <w:rsid w:val="000E5700"/>
    <w:rsid w:val="000F0C4B"/>
    <w:rsid w:val="000F0E22"/>
    <w:rsid w:val="000F2C65"/>
    <w:rsid w:val="000F30E6"/>
    <w:rsid w:val="00105A04"/>
    <w:rsid w:val="001169A9"/>
    <w:rsid w:val="00125EB2"/>
    <w:rsid w:val="00142A4C"/>
    <w:rsid w:val="00144279"/>
    <w:rsid w:val="001452FF"/>
    <w:rsid w:val="001458D0"/>
    <w:rsid w:val="0016617A"/>
    <w:rsid w:val="00167E99"/>
    <w:rsid w:val="00175001"/>
    <w:rsid w:val="00193FA0"/>
    <w:rsid w:val="001975AB"/>
    <w:rsid w:val="001A00F5"/>
    <w:rsid w:val="001A1F65"/>
    <w:rsid w:val="001A5CE9"/>
    <w:rsid w:val="001A7BD4"/>
    <w:rsid w:val="001B50FC"/>
    <w:rsid w:val="001B6CCB"/>
    <w:rsid w:val="001C079B"/>
    <w:rsid w:val="001C50AD"/>
    <w:rsid w:val="001D22EE"/>
    <w:rsid w:val="001D4C89"/>
    <w:rsid w:val="001E1838"/>
    <w:rsid w:val="001E3145"/>
    <w:rsid w:val="001E43D1"/>
    <w:rsid w:val="001E6509"/>
    <w:rsid w:val="001E66A9"/>
    <w:rsid w:val="001E7968"/>
    <w:rsid w:val="001F0EF8"/>
    <w:rsid w:val="00207F24"/>
    <w:rsid w:val="0022180A"/>
    <w:rsid w:val="00223ABC"/>
    <w:rsid w:val="00223B1B"/>
    <w:rsid w:val="002241B9"/>
    <w:rsid w:val="002274D9"/>
    <w:rsid w:val="00230D4C"/>
    <w:rsid w:val="0023455A"/>
    <w:rsid w:val="002346CE"/>
    <w:rsid w:val="00237994"/>
    <w:rsid w:val="00237FDF"/>
    <w:rsid w:val="00251D58"/>
    <w:rsid w:val="00252B5F"/>
    <w:rsid w:val="002530EE"/>
    <w:rsid w:val="002549E6"/>
    <w:rsid w:val="00256602"/>
    <w:rsid w:val="00271C8D"/>
    <w:rsid w:val="00273B53"/>
    <w:rsid w:val="00274FB8"/>
    <w:rsid w:val="0028080C"/>
    <w:rsid w:val="00280BF1"/>
    <w:rsid w:val="00283942"/>
    <w:rsid w:val="0029022C"/>
    <w:rsid w:val="00291B4E"/>
    <w:rsid w:val="00295257"/>
    <w:rsid w:val="00297703"/>
    <w:rsid w:val="002A0826"/>
    <w:rsid w:val="002A0984"/>
    <w:rsid w:val="002A589B"/>
    <w:rsid w:val="002B1184"/>
    <w:rsid w:val="002B15E9"/>
    <w:rsid w:val="002B71B8"/>
    <w:rsid w:val="002B7469"/>
    <w:rsid w:val="002C0250"/>
    <w:rsid w:val="002C08C0"/>
    <w:rsid w:val="002C22C6"/>
    <w:rsid w:val="002C6568"/>
    <w:rsid w:val="002C723B"/>
    <w:rsid w:val="002D39BC"/>
    <w:rsid w:val="002D40DD"/>
    <w:rsid w:val="002D7979"/>
    <w:rsid w:val="002E1B15"/>
    <w:rsid w:val="002E1D3A"/>
    <w:rsid w:val="003005F0"/>
    <w:rsid w:val="003030BF"/>
    <w:rsid w:val="0030374F"/>
    <w:rsid w:val="00304F89"/>
    <w:rsid w:val="00306023"/>
    <w:rsid w:val="0031205D"/>
    <w:rsid w:val="00326543"/>
    <w:rsid w:val="00327D5D"/>
    <w:rsid w:val="00344914"/>
    <w:rsid w:val="00346917"/>
    <w:rsid w:val="00354A7B"/>
    <w:rsid w:val="00360FDA"/>
    <w:rsid w:val="00363075"/>
    <w:rsid w:val="0036573D"/>
    <w:rsid w:val="00367D18"/>
    <w:rsid w:val="003713A3"/>
    <w:rsid w:val="00372A1C"/>
    <w:rsid w:val="0037435A"/>
    <w:rsid w:val="00377D8F"/>
    <w:rsid w:val="00383679"/>
    <w:rsid w:val="00390775"/>
    <w:rsid w:val="00391BFE"/>
    <w:rsid w:val="003A1E68"/>
    <w:rsid w:val="003A5D32"/>
    <w:rsid w:val="003B00A4"/>
    <w:rsid w:val="003B0122"/>
    <w:rsid w:val="003B0BE5"/>
    <w:rsid w:val="003B5352"/>
    <w:rsid w:val="003D18F1"/>
    <w:rsid w:val="003E001E"/>
    <w:rsid w:val="003F7C4D"/>
    <w:rsid w:val="0040075F"/>
    <w:rsid w:val="00403300"/>
    <w:rsid w:val="00404D08"/>
    <w:rsid w:val="004118C0"/>
    <w:rsid w:val="00417A31"/>
    <w:rsid w:val="0042004B"/>
    <w:rsid w:val="00420810"/>
    <w:rsid w:val="004220CB"/>
    <w:rsid w:val="00424FFC"/>
    <w:rsid w:val="00425843"/>
    <w:rsid w:val="00433384"/>
    <w:rsid w:val="0043777D"/>
    <w:rsid w:val="00444B3E"/>
    <w:rsid w:val="0045767F"/>
    <w:rsid w:val="00463E9B"/>
    <w:rsid w:val="00467414"/>
    <w:rsid w:val="00473F30"/>
    <w:rsid w:val="004764F1"/>
    <w:rsid w:val="0048591A"/>
    <w:rsid w:val="00486D86"/>
    <w:rsid w:val="0048721A"/>
    <w:rsid w:val="00490003"/>
    <w:rsid w:val="004A02B5"/>
    <w:rsid w:val="004A0BD5"/>
    <w:rsid w:val="004A1BBF"/>
    <w:rsid w:val="004A675B"/>
    <w:rsid w:val="004A73E5"/>
    <w:rsid w:val="004C19BF"/>
    <w:rsid w:val="004C1BC9"/>
    <w:rsid w:val="004C53D8"/>
    <w:rsid w:val="004D3DBC"/>
    <w:rsid w:val="004D7640"/>
    <w:rsid w:val="004E1A9B"/>
    <w:rsid w:val="00500AB6"/>
    <w:rsid w:val="005079B6"/>
    <w:rsid w:val="00512E17"/>
    <w:rsid w:val="005155FB"/>
    <w:rsid w:val="00522341"/>
    <w:rsid w:val="0052245F"/>
    <w:rsid w:val="00523907"/>
    <w:rsid w:val="00524596"/>
    <w:rsid w:val="00524F6B"/>
    <w:rsid w:val="00536FCB"/>
    <w:rsid w:val="00537C53"/>
    <w:rsid w:val="005438F5"/>
    <w:rsid w:val="00544901"/>
    <w:rsid w:val="005474D3"/>
    <w:rsid w:val="00550737"/>
    <w:rsid w:val="00550A8A"/>
    <w:rsid w:val="00554CFA"/>
    <w:rsid w:val="00555DD2"/>
    <w:rsid w:val="00565ED9"/>
    <w:rsid w:val="0057593F"/>
    <w:rsid w:val="005760C6"/>
    <w:rsid w:val="00580B13"/>
    <w:rsid w:val="00585A1B"/>
    <w:rsid w:val="00591260"/>
    <w:rsid w:val="00591314"/>
    <w:rsid w:val="005913DE"/>
    <w:rsid w:val="00593D40"/>
    <w:rsid w:val="00594D99"/>
    <w:rsid w:val="00595D00"/>
    <w:rsid w:val="00595F1B"/>
    <w:rsid w:val="005A3BE0"/>
    <w:rsid w:val="005A6CCC"/>
    <w:rsid w:val="005B1026"/>
    <w:rsid w:val="005B642F"/>
    <w:rsid w:val="005C0307"/>
    <w:rsid w:val="005C04C1"/>
    <w:rsid w:val="005C1785"/>
    <w:rsid w:val="005D0C83"/>
    <w:rsid w:val="005D2D87"/>
    <w:rsid w:val="005D6A09"/>
    <w:rsid w:val="005E2B4B"/>
    <w:rsid w:val="005E5CB8"/>
    <w:rsid w:val="005E5F63"/>
    <w:rsid w:val="005E6BA1"/>
    <w:rsid w:val="005F280D"/>
    <w:rsid w:val="00604F15"/>
    <w:rsid w:val="0060779A"/>
    <w:rsid w:val="00610F29"/>
    <w:rsid w:val="006139D9"/>
    <w:rsid w:val="00622F13"/>
    <w:rsid w:val="00625503"/>
    <w:rsid w:val="0062662D"/>
    <w:rsid w:val="00632AC7"/>
    <w:rsid w:val="00632E78"/>
    <w:rsid w:val="006344F1"/>
    <w:rsid w:val="00637186"/>
    <w:rsid w:val="00646DF4"/>
    <w:rsid w:val="00651DE6"/>
    <w:rsid w:val="006523BB"/>
    <w:rsid w:val="0065347E"/>
    <w:rsid w:val="00654B49"/>
    <w:rsid w:val="00656189"/>
    <w:rsid w:val="00662505"/>
    <w:rsid w:val="0066333C"/>
    <w:rsid w:val="0066674C"/>
    <w:rsid w:val="006760F7"/>
    <w:rsid w:val="006861C7"/>
    <w:rsid w:val="00686DDF"/>
    <w:rsid w:val="006966D0"/>
    <w:rsid w:val="00697B12"/>
    <w:rsid w:val="006A55BB"/>
    <w:rsid w:val="006A7613"/>
    <w:rsid w:val="006B661A"/>
    <w:rsid w:val="006B6E3A"/>
    <w:rsid w:val="006B7CC9"/>
    <w:rsid w:val="006B7D00"/>
    <w:rsid w:val="006C6BC5"/>
    <w:rsid w:val="006D2927"/>
    <w:rsid w:val="006D4711"/>
    <w:rsid w:val="006D61A2"/>
    <w:rsid w:val="006E16A5"/>
    <w:rsid w:val="006E1DB4"/>
    <w:rsid w:val="006F1648"/>
    <w:rsid w:val="006F636D"/>
    <w:rsid w:val="00723EA0"/>
    <w:rsid w:val="00731635"/>
    <w:rsid w:val="007477A4"/>
    <w:rsid w:val="00753DB6"/>
    <w:rsid w:val="00761464"/>
    <w:rsid w:val="00763847"/>
    <w:rsid w:val="00771FE3"/>
    <w:rsid w:val="00772985"/>
    <w:rsid w:val="00774A7D"/>
    <w:rsid w:val="00776BDE"/>
    <w:rsid w:val="007809B4"/>
    <w:rsid w:val="0078157C"/>
    <w:rsid w:val="00786870"/>
    <w:rsid w:val="00791427"/>
    <w:rsid w:val="00792237"/>
    <w:rsid w:val="0079272A"/>
    <w:rsid w:val="007A1DA9"/>
    <w:rsid w:val="007B2252"/>
    <w:rsid w:val="007B2736"/>
    <w:rsid w:val="007B79D9"/>
    <w:rsid w:val="007C67B1"/>
    <w:rsid w:val="007D0F1C"/>
    <w:rsid w:val="007E354A"/>
    <w:rsid w:val="007E69C8"/>
    <w:rsid w:val="007F4782"/>
    <w:rsid w:val="00801BE3"/>
    <w:rsid w:val="008050A8"/>
    <w:rsid w:val="0080525B"/>
    <w:rsid w:val="008062C5"/>
    <w:rsid w:val="0080741A"/>
    <w:rsid w:val="00814B5B"/>
    <w:rsid w:val="00835ADD"/>
    <w:rsid w:val="00835E5E"/>
    <w:rsid w:val="00836F34"/>
    <w:rsid w:val="00843E73"/>
    <w:rsid w:val="00844EBF"/>
    <w:rsid w:val="008474C4"/>
    <w:rsid w:val="00854F61"/>
    <w:rsid w:val="00863F4D"/>
    <w:rsid w:val="00864202"/>
    <w:rsid w:val="008679FD"/>
    <w:rsid w:val="00873B59"/>
    <w:rsid w:val="0087701F"/>
    <w:rsid w:val="00877662"/>
    <w:rsid w:val="00882377"/>
    <w:rsid w:val="0089283D"/>
    <w:rsid w:val="008A0ADC"/>
    <w:rsid w:val="008A1BAB"/>
    <w:rsid w:val="008B3117"/>
    <w:rsid w:val="008B38B7"/>
    <w:rsid w:val="008B458E"/>
    <w:rsid w:val="008C4D4A"/>
    <w:rsid w:val="008D5EE7"/>
    <w:rsid w:val="008E11AE"/>
    <w:rsid w:val="008E1708"/>
    <w:rsid w:val="008E4844"/>
    <w:rsid w:val="008F4BE2"/>
    <w:rsid w:val="008F6ACB"/>
    <w:rsid w:val="00902A01"/>
    <w:rsid w:val="00904492"/>
    <w:rsid w:val="00904DFB"/>
    <w:rsid w:val="00910B7B"/>
    <w:rsid w:val="00910E86"/>
    <w:rsid w:val="0091457B"/>
    <w:rsid w:val="00923763"/>
    <w:rsid w:val="00930ED6"/>
    <w:rsid w:val="0093293F"/>
    <w:rsid w:val="00933105"/>
    <w:rsid w:val="00934FE6"/>
    <w:rsid w:val="00944E4A"/>
    <w:rsid w:val="009474EF"/>
    <w:rsid w:val="00953FB4"/>
    <w:rsid w:val="00957FF5"/>
    <w:rsid w:val="00962626"/>
    <w:rsid w:val="00972D4C"/>
    <w:rsid w:val="009767DD"/>
    <w:rsid w:val="00977AF2"/>
    <w:rsid w:val="009809E4"/>
    <w:rsid w:val="00985FC5"/>
    <w:rsid w:val="00987E71"/>
    <w:rsid w:val="009919DD"/>
    <w:rsid w:val="00993BDD"/>
    <w:rsid w:val="009A6DFB"/>
    <w:rsid w:val="009A746B"/>
    <w:rsid w:val="009B6EC0"/>
    <w:rsid w:val="009C2FCC"/>
    <w:rsid w:val="009C7FAF"/>
    <w:rsid w:val="009D07FA"/>
    <w:rsid w:val="009D4199"/>
    <w:rsid w:val="009E36AF"/>
    <w:rsid w:val="009E5E6A"/>
    <w:rsid w:val="009F0DD5"/>
    <w:rsid w:val="009F1B95"/>
    <w:rsid w:val="009F6C05"/>
    <w:rsid w:val="00A07C96"/>
    <w:rsid w:val="00A12713"/>
    <w:rsid w:val="00A134E5"/>
    <w:rsid w:val="00A13CB6"/>
    <w:rsid w:val="00A14A1A"/>
    <w:rsid w:val="00A16F30"/>
    <w:rsid w:val="00A22CDD"/>
    <w:rsid w:val="00A25AEE"/>
    <w:rsid w:val="00A261DC"/>
    <w:rsid w:val="00A31EB1"/>
    <w:rsid w:val="00A321E8"/>
    <w:rsid w:val="00A33AEA"/>
    <w:rsid w:val="00A42F53"/>
    <w:rsid w:val="00A44927"/>
    <w:rsid w:val="00A461CD"/>
    <w:rsid w:val="00A469C5"/>
    <w:rsid w:val="00A5317D"/>
    <w:rsid w:val="00A6284E"/>
    <w:rsid w:val="00A63306"/>
    <w:rsid w:val="00A63E81"/>
    <w:rsid w:val="00A71139"/>
    <w:rsid w:val="00A71A85"/>
    <w:rsid w:val="00A8775A"/>
    <w:rsid w:val="00A91FA5"/>
    <w:rsid w:val="00AA13B6"/>
    <w:rsid w:val="00AA4A3F"/>
    <w:rsid w:val="00AA5998"/>
    <w:rsid w:val="00AB07E7"/>
    <w:rsid w:val="00AC34EE"/>
    <w:rsid w:val="00AD11DB"/>
    <w:rsid w:val="00AD1BA8"/>
    <w:rsid w:val="00AF2686"/>
    <w:rsid w:val="00B02A29"/>
    <w:rsid w:val="00B03522"/>
    <w:rsid w:val="00B04AD6"/>
    <w:rsid w:val="00B14CAA"/>
    <w:rsid w:val="00B257CE"/>
    <w:rsid w:val="00B269C1"/>
    <w:rsid w:val="00B35711"/>
    <w:rsid w:val="00B4746C"/>
    <w:rsid w:val="00B52B1D"/>
    <w:rsid w:val="00B65354"/>
    <w:rsid w:val="00B71A0E"/>
    <w:rsid w:val="00B80518"/>
    <w:rsid w:val="00B81765"/>
    <w:rsid w:val="00B832F5"/>
    <w:rsid w:val="00BA2FAB"/>
    <w:rsid w:val="00BB5E28"/>
    <w:rsid w:val="00BC307E"/>
    <w:rsid w:val="00BC79C0"/>
    <w:rsid w:val="00BD15F3"/>
    <w:rsid w:val="00BD7986"/>
    <w:rsid w:val="00BD79D3"/>
    <w:rsid w:val="00BF02E2"/>
    <w:rsid w:val="00BF2E36"/>
    <w:rsid w:val="00BF6742"/>
    <w:rsid w:val="00C042E2"/>
    <w:rsid w:val="00C04F82"/>
    <w:rsid w:val="00C15AC0"/>
    <w:rsid w:val="00C26030"/>
    <w:rsid w:val="00C33347"/>
    <w:rsid w:val="00C36C34"/>
    <w:rsid w:val="00C41091"/>
    <w:rsid w:val="00C510BA"/>
    <w:rsid w:val="00C63056"/>
    <w:rsid w:val="00C661D1"/>
    <w:rsid w:val="00C775BA"/>
    <w:rsid w:val="00C803DF"/>
    <w:rsid w:val="00C80DC4"/>
    <w:rsid w:val="00C849EC"/>
    <w:rsid w:val="00C85331"/>
    <w:rsid w:val="00C85A50"/>
    <w:rsid w:val="00C94D46"/>
    <w:rsid w:val="00C9589D"/>
    <w:rsid w:val="00C97B3A"/>
    <w:rsid w:val="00CA0006"/>
    <w:rsid w:val="00CA443A"/>
    <w:rsid w:val="00CA52D7"/>
    <w:rsid w:val="00CB000A"/>
    <w:rsid w:val="00CB2461"/>
    <w:rsid w:val="00CB37FD"/>
    <w:rsid w:val="00CC4D65"/>
    <w:rsid w:val="00CC6084"/>
    <w:rsid w:val="00CC61E7"/>
    <w:rsid w:val="00CD03EC"/>
    <w:rsid w:val="00CD25AD"/>
    <w:rsid w:val="00CD3FFC"/>
    <w:rsid w:val="00CD6BA8"/>
    <w:rsid w:val="00CE6E20"/>
    <w:rsid w:val="00CF565C"/>
    <w:rsid w:val="00D016A3"/>
    <w:rsid w:val="00D248D3"/>
    <w:rsid w:val="00D40570"/>
    <w:rsid w:val="00D44DE5"/>
    <w:rsid w:val="00D50148"/>
    <w:rsid w:val="00D512E3"/>
    <w:rsid w:val="00D602C9"/>
    <w:rsid w:val="00D87993"/>
    <w:rsid w:val="00DA26A9"/>
    <w:rsid w:val="00DA629A"/>
    <w:rsid w:val="00DB01FF"/>
    <w:rsid w:val="00DC3E52"/>
    <w:rsid w:val="00DC7778"/>
    <w:rsid w:val="00DE7391"/>
    <w:rsid w:val="00DF2DB5"/>
    <w:rsid w:val="00DF6560"/>
    <w:rsid w:val="00E04CC0"/>
    <w:rsid w:val="00E136FF"/>
    <w:rsid w:val="00E14626"/>
    <w:rsid w:val="00E2442E"/>
    <w:rsid w:val="00E32528"/>
    <w:rsid w:val="00E3413A"/>
    <w:rsid w:val="00E35520"/>
    <w:rsid w:val="00E35F26"/>
    <w:rsid w:val="00E53165"/>
    <w:rsid w:val="00E53850"/>
    <w:rsid w:val="00E544AF"/>
    <w:rsid w:val="00E61EF7"/>
    <w:rsid w:val="00E663B4"/>
    <w:rsid w:val="00E727A7"/>
    <w:rsid w:val="00E74D58"/>
    <w:rsid w:val="00E80CEB"/>
    <w:rsid w:val="00E82038"/>
    <w:rsid w:val="00EA5103"/>
    <w:rsid w:val="00EA6FB9"/>
    <w:rsid w:val="00EB06AA"/>
    <w:rsid w:val="00EB3805"/>
    <w:rsid w:val="00EB5E6A"/>
    <w:rsid w:val="00EB73F9"/>
    <w:rsid w:val="00EC2AD7"/>
    <w:rsid w:val="00ED5C1F"/>
    <w:rsid w:val="00ED7DE0"/>
    <w:rsid w:val="00EE2B9A"/>
    <w:rsid w:val="00EE4F5B"/>
    <w:rsid w:val="00EE7891"/>
    <w:rsid w:val="00EF1477"/>
    <w:rsid w:val="00EF49FE"/>
    <w:rsid w:val="00EF5341"/>
    <w:rsid w:val="00F041BC"/>
    <w:rsid w:val="00F04908"/>
    <w:rsid w:val="00F07C21"/>
    <w:rsid w:val="00F12EF6"/>
    <w:rsid w:val="00F21065"/>
    <w:rsid w:val="00F22C28"/>
    <w:rsid w:val="00F24CB4"/>
    <w:rsid w:val="00F43465"/>
    <w:rsid w:val="00F45475"/>
    <w:rsid w:val="00F47E88"/>
    <w:rsid w:val="00F546D4"/>
    <w:rsid w:val="00F64E72"/>
    <w:rsid w:val="00F70AB5"/>
    <w:rsid w:val="00F70C7D"/>
    <w:rsid w:val="00F716D3"/>
    <w:rsid w:val="00F747BD"/>
    <w:rsid w:val="00F74E64"/>
    <w:rsid w:val="00F8358C"/>
    <w:rsid w:val="00F83E23"/>
    <w:rsid w:val="00F9272E"/>
    <w:rsid w:val="00F97743"/>
    <w:rsid w:val="00FA2C79"/>
    <w:rsid w:val="00FA6DAF"/>
    <w:rsid w:val="00FC058C"/>
    <w:rsid w:val="00FC16B1"/>
    <w:rsid w:val="00FC6884"/>
    <w:rsid w:val="00FC747A"/>
    <w:rsid w:val="00FC770C"/>
    <w:rsid w:val="00FD1E25"/>
    <w:rsid w:val="00FE0B24"/>
    <w:rsid w:val="00FE6232"/>
    <w:rsid w:val="00FE62F3"/>
    <w:rsid w:val="00FF71D2"/>
    <w:rsid w:val="01817106"/>
    <w:rsid w:val="02054F52"/>
    <w:rsid w:val="02F3423C"/>
    <w:rsid w:val="02FF7BF3"/>
    <w:rsid w:val="031F2043"/>
    <w:rsid w:val="03872597"/>
    <w:rsid w:val="04B50EB1"/>
    <w:rsid w:val="055661F0"/>
    <w:rsid w:val="06032E01"/>
    <w:rsid w:val="063D2F0C"/>
    <w:rsid w:val="06852E96"/>
    <w:rsid w:val="06FA3C9E"/>
    <w:rsid w:val="08912F79"/>
    <w:rsid w:val="09AE2D93"/>
    <w:rsid w:val="09F83784"/>
    <w:rsid w:val="0A3B59B5"/>
    <w:rsid w:val="0AE61DC4"/>
    <w:rsid w:val="0B022976"/>
    <w:rsid w:val="0C564D28"/>
    <w:rsid w:val="0C8C699B"/>
    <w:rsid w:val="0C9C64B3"/>
    <w:rsid w:val="0E56100F"/>
    <w:rsid w:val="0F625791"/>
    <w:rsid w:val="0F860A60"/>
    <w:rsid w:val="0FFE195E"/>
    <w:rsid w:val="101B4648"/>
    <w:rsid w:val="116A2780"/>
    <w:rsid w:val="1178649F"/>
    <w:rsid w:val="11C20769"/>
    <w:rsid w:val="122B4561"/>
    <w:rsid w:val="13272F7A"/>
    <w:rsid w:val="13695831"/>
    <w:rsid w:val="14C234BE"/>
    <w:rsid w:val="14F67CF1"/>
    <w:rsid w:val="15B11221"/>
    <w:rsid w:val="16EF3DAF"/>
    <w:rsid w:val="16F56894"/>
    <w:rsid w:val="16F75359"/>
    <w:rsid w:val="177B5642"/>
    <w:rsid w:val="18971BF3"/>
    <w:rsid w:val="18C272A1"/>
    <w:rsid w:val="1ABA3501"/>
    <w:rsid w:val="1B2418A5"/>
    <w:rsid w:val="1B6B3C20"/>
    <w:rsid w:val="1C116575"/>
    <w:rsid w:val="1D572130"/>
    <w:rsid w:val="1DF5454F"/>
    <w:rsid w:val="1E1336DC"/>
    <w:rsid w:val="1E692DC7"/>
    <w:rsid w:val="1F1F369F"/>
    <w:rsid w:val="1FBFC074"/>
    <w:rsid w:val="20A61423"/>
    <w:rsid w:val="20FA2556"/>
    <w:rsid w:val="21EA39D7"/>
    <w:rsid w:val="22025452"/>
    <w:rsid w:val="245711E5"/>
    <w:rsid w:val="2494603F"/>
    <w:rsid w:val="26307F40"/>
    <w:rsid w:val="2710774F"/>
    <w:rsid w:val="27127645"/>
    <w:rsid w:val="283A6E54"/>
    <w:rsid w:val="284F79A0"/>
    <w:rsid w:val="29D86924"/>
    <w:rsid w:val="2A0E67EA"/>
    <w:rsid w:val="2B6C37C8"/>
    <w:rsid w:val="2C0954BB"/>
    <w:rsid w:val="2D8C63A3"/>
    <w:rsid w:val="2DD6761F"/>
    <w:rsid w:val="2DF10C78"/>
    <w:rsid w:val="2E8E7EF9"/>
    <w:rsid w:val="2EBC2BC4"/>
    <w:rsid w:val="30B13F77"/>
    <w:rsid w:val="326B21D7"/>
    <w:rsid w:val="32A31C6D"/>
    <w:rsid w:val="32E5DAFD"/>
    <w:rsid w:val="33193CA6"/>
    <w:rsid w:val="331A59A0"/>
    <w:rsid w:val="333A41AC"/>
    <w:rsid w:val="335A6CC5"/>
    <w:rsid w:val="33B36201"/>
    <w:rsid w:val="341D696C"/>
    <w:rsid w:val="358838F4"/>
    <w:rsid w:val="36FB9E1F"/>
    <w:rsid w:val="378940CB"/>
    <w:rsid w:val="380D7A5B"/>
    <w:rsid w:val="3AC151B3"/>
    <w:rsid w:val="3ACE209D"/>
    <w:rsid w:val="3AF3796B"/>
    <w:rsid w:val="3AFF6407"/>
    <w:rsid w:val="3BFA3B96"/>
    <w:rsid w:val="3CBA6D3D"/>
    <w:rsid w:val="3CEF3472"/>
    <w:rsid w:val="3CF950D8"/>
    <w:rsid w:val="3DF069E7"/>
    <w:rsid w:val="3EFF16E9"/>
    <w:rsid w:val="40442B0E"/>
    <w:rsid w:val="416B7C26"/>
    <w:rsid w:val="44595844"/>
    <w:rsid w:val="446B7284"/>
    <w:rsid w:val="44B334F5"/>
    <w:rsid w:val="45E1382F"/>
    <w:rsid w:val="461E170B"/>
    <w:rsid w:val="472B52BB"/>
    <w:rsid w:val="48CC36A0"/>
    <w:rsid w:val="4A2D016F"/>
    <w:rsid w:val="4A673681"/>
    <w:rsid w:val="4BBD1C07"/>
    <w:rsid w:val="4BD80A66"/>
    <w:rsid w:val="4C6836E0"/>
    <w:rsid w:val="4E3A33E5"/>
    <w:rsid w:val="4E546612"/>
    <w:rsid w:val="4E6D1482"/>
    <w:rsid w:val="4E922C96"/>
    <w:rsid w:val="4FB7132F"/>
    <w:rsid w:val="500100D3"/>
    <w:rsid w:val="50090EBB"/>
    <w:rsid w:val="50FA38A3"/>
    <w:rsid w:val="51044674"/>
    <w:rsid w:val="52054D68"/>
    <w:rsid w:val="52831274"/>
    <w:rsid w:val="53AA2830"/>
    <w:rsid w:val="53D004E8"/>
    <w:rsid w:val="54085ED4"/>
    <w:rsid w:val="544E2499"/>
    <w:rsid w:val="54A37739"/>
    <w:rsid w:val="55AA510C"/>
    <w:rsid w:val="55F94836"/>
    <w:rsid w:val="566D010E"/>
    <w:rsid w:val="56CE4A87"/>
    <w:rsid w:val="5BD112A2"/>
    <w:rsid w:val="5C4C26D6"/>
    <w:rsid w:val="5CB5630A"/>
    <w:rsid w:val="5D860DA0"/>
    <w:rsid w:val="5D8617AC"/>
    <w:rsid w:val="5DB06C95"/>
    <w:rsid w:val="5E045177"/>
    <w:rsid w:val="610523E0"/>
    <w:rsid w:val="617D7FA5"/>
    <w:rsid w:val="61C827FF"/>
    <w:rsid w:val="62175534"/>
    <w:rsid w:val="623A1223"/>
    <w:rsid w:val="6397692D"/>
    <w:rsid w:val="648D5F82"/>
    <w:rsid w:val="64991702"/>
    <w:rsid w:val="649D7C7E"/>
    <w:rsid w:val="64A5151D"/>
    <w:rsid w:val="650F4BE9"/>
    <w:rsid w:val="65815AE7"/>
    <w:rsid w:val="66434B4A"/>
    <w:rsid w:val="66E87514"/>
    <w:rsid w:val="66F0653A"/>
    <w:rsid w:val="69513A22"/>
    <w:rsid w:val="6962178B"/>
    <w:rsid w:val="69A43B52"/>
    <w:rsid w:val="6B6D4417"/>
    <w:rsid w:val="6D5910F7"/>
    <w:rsid w:val="6DC81DD9"/>
    <w:rsid w:val="713E488C"/>
    <w:rsid w:val="72AC3A77"/>
    <w:rsid w:val="758E734A"/>
    <w:rsid w:val="763C6B1C"/>
    <w:rsid w:val="76E56024"/>
    <w:rsid w:val="77446974"/>
    <w:rsid w:val="774A385E"/>
    <w:rsid w:val="77C02F22"/>
    <w:rsid w:val="77CF73AC"/>
    <w:rsid w:val="78FF0116"/>
    <w:rsid w:val="79881468"/>
    <w:rsid w:val="7A044199"/>
    <w:rsid w:val="7C187771"/>
    <w:rsid w:val="7CD442F6"/>
    <w:rsid w:val="7D032AF0"/>
    <w:rsid w:val="7D4A45B8"/>
    <w:rsid w:val="7D7D673C"/>
    <w:rsid w:val="7DE11816"/>
    <w:rsid w:val="7E694F12"/>
    <w:rsid w:val="7F7C7068"/>
    <w:rsid w:val="B7DDD54D"/>
    <w:rsid w:val="E3FFE6ED"/>
    <w:rsid w:val="F1F52E3D"/>
    <w:rsid w:val="F5DB8A63"/>
    <w:rsid w:val="F797912E"/>
    <w:rsid w:val="FE7B4896"/>
    <w:rsid w:val="FE7DCEB8"/>
    <w:rsid w:val="FED72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5"/>
    <w:qFormat/>
    <w:uiPriority w:val="99"/>
    <w:pPr>
      <w:tabs>
        <w:tab w:val="center" w:pos="4153"/>
        <w:tab w:val="right" w:pos="8306"/>
      </w:tabs>
      <w:snapToGrid w:val="0"/>
      <w:jc w:val="left"/>
    </w:pPr>
    <w:rPr>
      <w:sz w:val="18"/>
      <w:szCs w:val="18"/>
    </w:rPr>
  </w:style>
  <w:style w:type="paragraph" w:styleId="4">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6">
    <w:name w:val="Normal (Web)"/>
    <w:basedOn w:val="1"/>
    <w:semiHidden/>
    <w:unhideWhenUsed/>
    <w:qFormat/>
    <w:uiPriority w:val="99"/>
    <w:rPr>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paragraph" w:customStyle="1" w:styleId="11">
    <w:name w:val="_Style 6"/>
    <w:basedOn w:val="1"/>
    <w:qFormat/>
    <w:uiPriority w:val="34"/>
    <w:pPr>
      <w:ind w:firstLine="420" w:firstLineChars="200"/>
    </w:pPr>
    <w:rPr>
      <w:rFonts w:ascii="Calibri" w:hAnsi="Calibri"/>
      <w:szCs w:val="22"/>
    </w:rPr>
  </w:style>
  <w:style w:type="paragraph" w:customStyle="1" w:styleId="12">
    <w:name w:val="Char Char Char"/>
    <w:basedOn w:val="1"/>
    <w:qFormat/>
    <w:uiPriority w:val="0"/>
    <w:rPr>
      <w:szCs w:val="21"/>
    </w:rPr>
  </w:style>
  <w:style w:type="paragraph" w:customStyle="1" w:styleId="13">
    <w:name w:val="Char Char Char Char Char Char Char Char Char Char Char Char Char Char Char Char"/>
    <w:basedOn w:val="1"/>
    <w:qFormat/>
    <w:uiPriority w:val="0"/>
  </w:style>
  <w:style w:type="paragraph" w:customStyle="1" w:styleId="14">
    <w:name w:val="Char Char Char1"/>
    <w:basedOn w:val="1"/>
    <w:qFormat/>
    <w:uiPriority w:val="0"/>
  </w:style>
  <w:style w:type="character" w:customStyle="1" w:styleId="15">
    <w:name w:val="页脚 字符"/>
    <w:basedOn w:val="9"/>
    <w:link w:val="3"/>
    <w:qFormat/>
    <w:uiPriority w:val="99"/>
    <w:rPr>
      <w:kern w:val="2"/>
      <w:sz w:val="18"/>
      <w:szCs w:val="18"/>
    </w:rPr>
  </w:style>
  <w:style w:type="character" w:customStyle="1" w:styleId="16">
    <w:name w:val="页眉 字符"/>
    <w:basedOn w:val="9"/>
    <w:link w:val="4"/>
    <w:qFormat/>
    <w:uiPriority w:val="0"/>
    <w:rPr>
      <w:kern w:val="2"/>
      <w:sz w:val="18"/>
      <w:szCs w:val="18"/>
    </w:rPr>
  </w:style>
  <w:style w:type="paragraph" w:styleId="17">
    <w:name w:val="List Paragraph"/>
    <w:basedOn w:val="1"/>
    <w:qFormat/>
    <w:uiPriority w:val="34"/>
    <w:pPr>
      <w:ind w:firstLine="420" w:firstLineChars="200"/>
    </w:pPr>
  </w:style>
  <w:style w:type="paragraph" w:customStyle="1" w:styleId="1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9">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1991</Words>
  <Characters>2070</Characters>
  <Lines>56</Lines>
  <Paragraphs>40</Paragraphs>
  <TotalTime>57</TotalTime>
  <ScaleCrop>false</ScaleCrop>
  <LinksUpToDate>false</LinksUpToDate>
  <CharactersWithSpaces>2162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2025-04-03T15:32:00Z</dcterms:created>
  <dc:creator>微软用户</dc:creator>
  <cp:lastModifiedBy>张娟</cp:lastModifiedBy>
  <cp:lastPrinted>2025-03-31T17:18:00Z</cp:lastPrinted>
  <dcterms:modified xsi:type="dcterms:W3CDTF">2025-11-13T06:30:36Z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11DD53AADF12468C98C7F6B3CD026855_13</vt:lpwstr>
  </property>
  <property fmtid="{D5CDD505-2E9C-101B-9397-08002B2CF9AE}" pid="4" name="KSOTemplateDocerSaveRecord">
    <vt:lpwstr>eyJoZGlkIjoiZWE5ZGI1NzNmOGM2ZDdhMWRmZjI2N2FiMGY2MDRjM2YiLCJ1c2VySWQiOiI0MDM2NjU0MTIifQ==</vt:lpwstr>
  </property>
</Properties>
</file>