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61" w:rsidRDefault="00EE36C6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600597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光明乳业</w:t>
      </w:r>
    </w:p>
    <w:p w:rsidR="00EC4061" w:rsidRDefault="00EE36C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光明乳业股份有限公司</w:t>
      </w:r>
    </w:p>
    <w:p w:rsidR="00EC4061" w:rsidRDefault="00EE36C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EC4061" w:rsidRDefault="00EC4061">
      <w:pPr>
        <w:jc w:val="center"/>
        <w:rPr>
          <w:rFonts w:ascii="黑体" w:eastAsia="黑体" w:hAnsi="黑体"/>
          <w:sz w:val="24"/>
          <w:szCs w:val="24"/>
        </w:rPr>
      </w:pPr>
    </w:p>
    <w:p w:rsidR="00EC4061" w:rsidRDefault="00EC4061">
      <w:pPr>
        <w:ind w:right="720"/>
        <w:jc w:val="right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 w:rsidP="00EE36C6">
            <w:pPr>
              <w:spacing w:line="360" w:lineRule="auto"/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347800">
            <w:pPr>
              <w:rPr>
                <w:sz w:val="24"/>
                <w:szCs w:val="24"/>
              </w:rPr>
            </w:pPr>
            <w:r w:rsidRPr="003A47DC">
              <w:rPr>
                <w:rFonts w:ascii="宋体" w:hAnsi="宋体" w:hint="eastAsia"/>
                <w:sz w:val="24"/>
                <w:szCs w:val="24"/>
              </w:rPr>
              <w:t>2025年上海辖区上市公司三季报集体业绩说明会</w:t>
            </w:r>
          </w:p>
        </w:tc>
      </w:tr>
      <w:tr w:rsidR="00EC4061" w:rsidTr="00EE36C6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</w:t>
            </w:r>
            <w:r w:rsidR="00347800">
              <w:rPr>
                <w:rFonts w:ascii="宋体" w:hAnsi="宋体" w:cs="宋体"/>
                <w:bCs/>
                <w:iCs/>
                <w:color w:val="000000"/>
                <w:sz w:val="24"/>
              </w:rPr>
              <w:t>11</w:t>
            </w:r>
            <w:r w:rsidRPr="00EE36C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 w:rsidR="00347800">
              <w:rPr>
                <w:rFonts w:ascii="宋体" w:hAnsi="宋体" w:cs="宋体"/>
                <w:bCs/>
                <w:iCs/>
                <w:color w:val="000000"/>
                <w:sz w:val="24"/>
              </w:rPr>
              <w:t>13</w:t>
            </w:r>
            <w:r w:rsidRPr="00EE36C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- 15:00-16:</w:t>
            </w:r>
            <w:r w:rsidR="00347800">
              <w:rPr>
                <w:rFonts w:ascii="宋体" w:hAnsi="宋体" w:cs="宋体"/>
                <w:bCs/>
                <w:iCs/>
                <w:color w:val="000000"/>
                <w:sz w:val="24"/>
              </w:rPr>
              <w:t>3</w:t>
            </w:r>
            <w:r w:rsidRPr="00EE36C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地点</w:t>
            </w:r>
            <w:r w:rsidRPr="00EE36C6">
              <w:rPr>
                <w:rFonts w:ascii="宋体" w:hAnsi="宋体" w:hint="eastAsia"/>
                <w:sz w:val="24"/>
                <w:szCs w:val="24"/>
              </w:rPr>
              <w:t>/</w:t>
            </w:r>
            <w:r w:rsidRPr="00EE36C6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EC4061" w:rsidRPr="00EE36C6" w:rsidRDefault="00EE36C6">
            <w:pPr>
              <w:rPr>
                <w:rFonts w:ascii="宋体" w:hAnsi="宋体"/>
                <w:bCs/>
                <w:sz w:val="24"/>
              </w:rPr>
            </w:pPr>
            <w:r w:rsidRPr="00EE36C6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EE36C6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EE36C6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EE36C6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 w:rsidP="00EE36C6">
            <w:pPr>
              <w:spacing w:line="360" w:lineRule="auto"/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sz w:val="24"/>
                <w:szCs w:val="24"/>
              </w:rPr>
              <w:t>党委书记、董事长：黄黎明、党委副书记、董事、总经理：</w:t>
            </w:r>
            <w:proofErr w:type="gramStart"/>
            <w:r w:rsidRPr="00EE36C6">
              <w:rPr>
                <w:rFonts w:ascii="宋体" w:hAnsi="宋体" w:cs="宋体" w:hint="eastAsia"/>
                <w:sz w:val="24"/>
                <w:szCs w:val="24"/>
              </w:rPr>
              <w:t>贲</w:t>
            </w:r>
            <w:proofErr w:type="gramEnd"/>
            <w:r w:rsidRPr="00EE36C6">
              <w:rPr>
                <w:rFonts w:ascii="宋体" w:hAnsi="宋体" w:cs="宋体" w:hint="eastAsia"/>
                <w:sz w:val="24"/>
                <w:szCs w:val="24"/>
              </w:rPr>
              <w:t>敏、独立董事：</w:t>
            </w:r>
            <w:r w:rsidR="00347800">
              <w:rPr>
                <w:rFonts w:ascii="宋体" w:hAnsi="宋体" w:cs="宋体" w:hint="eastAsia"/>
                <w:sz w:val="24"/>
                <w:szCs w:val="24"/>
              </w:rPr>
              <w:t>高丽</w:t>
            </w:r>
            <w:r w:rsidRPr="00EE36C6">
              <w:rPr>
                <w:rFonts w:ascii="宋体" w:hAnsi="宋体" w:cs="宋体" w:hint="eastAsia"/>
                <w:sz w:val="24"/>
                <w:szCs w:val="24"/>
              </w:rPr>
              <w:t>、财务总监：赵健福、董事会秘书：沈小燕</w:t>
            </w:r>
          </w:p>
        </w:tc>
      </w:tr>
      <w:tr w:rsidR="00EC4061" w:rsidTr="00EE36C6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1、</w:t>
            </w:r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公司对新</w:t>
            </w:r>
            <w:proofErr w:type="gramStart"/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莱特未来</w:t>
            </w:r>
            <w:proofErr w:type="gramEnd"/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的战略定位和盈利时间表有怎样的规划？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707AE1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特是公司在新西兰拥有的优质、稳定、可靠的生产基地，是公司国际业务重要板块。公司作为新</w:t>
            </w:r>
            <w:proofErr w:type="gramStart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特控股股东，一直积极参与并支持新</w:t>
            </w:r>
            <w:proofErr w:type="gramStart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莱特</w:t>
            </w:r>
            <w:proofErr w:type="gramEnd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业务发展，在婴配粉新国标注册、企业再融资、积极创新发展新业务和增长点等方面发挥重要作用。新</w:t>
            </w:r>
            <w:proofErr w:type="gramStart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特将持续夯实与战略客户的长期合作，着力提升服务质量，聚焦高级营养品及稀奶油业务在中国及东南亚市场的布局，多</w:t>
            </w:r>
            <w:proofErr w:type="gramStart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措</w:t>
            </w:r>
            <w:proofErr w:type="gramEnd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并举进一步提升经营业绩。</w:t>
            </w:r>
          </w:p>
          <w:p w:rsidR="00684C2C" w:rsidRPr="00EE36C6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2、</w:t>
            </w:r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毛利率下降的主要产品线是什么？是由于行业竞争加剧、原材料成本上升，还是产品结构变化所导致的？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707AE1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公司第三季度毛利率下降的主要原因是：乳制品市场竞争加剧，公司低毛利产品</w:t>
            </w:r>
            <w:proofErr w:type="gramStart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占比较</w:t>
            </w:r>
            <w:proofErr w:type="gramEnd"/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同期略有提升。</w:t>
            </w:r>
          </w:p>
          <w:p w:rsidR="00684C2C" w:rsidRPr="00EE36C6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84C2C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3、</w:t>
            </w:r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请问，导致外地市场收入下滑的具体原因是什么？公司针对外地市场制定了哪些具体的调整策略和改进措施？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707AE1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将继续坚持“稳固上海，做强华东，优化全国”的发展战略，精耕上海和华东市场的同时，积极拓展全国市场；在夯实原有渠道的基础上，开拓新兴渠道，扩大市场渗透范围；丰富产品线并优化生产工艺，借助新技术、新配方推进产品升级与创新，满足消费者多样化需求；推行精准营销策略，在重点城市、重大节日开展营销活动，提升品牌曝光度与消费者互动参与度；同时持续强化品牌建设，提升品牌知名度与美誉度。</w:t>
            </w:r>
          </w:p>
          <w:p w:rsidR="00684C2C" w:rsidRPr="00EE36C6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4、</w:t>
            </w:r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公司对目前市值满意吗？是否合理反应公司实际？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707AE1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将持续增强价值创造能力，聚焦主业，提高管理效率、提升盈利能力，实现企业价值最大化。同时，公司高度重视投资者关系管理，通过举办业绩说明会、召开投资者交流会、接待投资者调研等方式，加强与投资者、研究机构的沟通互动，展示公司投资价值，实现公司市值与投资价值的统一。公司近期发布《关于“提质增效重回报”行动方案》，将持续关注投资者意见建议，结合实际优化行动方案并持续推进实施。</w:t>
            </w:r>
          </w:p>
          <w:p w:rsidR="00684C2C" w:rsidRPr="00EE36C6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84C2C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5、</w:t>
            </w:r>
            <w:r w:rsidR="00684C2C"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公司目前在渠道定制产品合作方面有哪些具体进展？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684C2C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4C2C">
              <w:rPr>
                <w:rFonts w:ascii="宋体" w:hAnsi="宋体" w:cs="宋体" w:hint="eastAsia"/>
                <w:kern w:val="0"/>
                <w:sz w:val="24"/>
                <w:szCs w:val="24"/>
              </w:rPr>
              <w:t>公司持续深化多元渠道合作与定制化产品开发，实现渠道精准覆盖。目前，公司已与全国头部渠道商达成深度定制合作，针对不同渠道的用户画像与消费场景，推出差异化产品。未来，公司将持续拓宽渠道合作边界，深化定制化策略，围绕营养功能、包装规格、口味创新等维度，结合渠道大数据优化产品配方与供给模式，同时加强供应链数字化协同，提升定制产品的交付效率与市场响应速度。</w:t>
            </w:r>
          </w:p>
          <w:p w:rsidR="00107E64" w:rsidRPr="00EE36C6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6、</w:t>
            </w:r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中报未单独披露上海营收、利润等关键数据，投资者呼吁更多区域拆分信息。请问未来是否会自愿披露更细化的分区域经营数据（如上海、华东、全国占比与增速）？是否计划增加线上路演频率或通过短视频、直播等形式加强青年投资者沟通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公司严格按照《上市公司信息披露管理办法》《股票上市规则》</w:t>
            </w:r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等相关规定披露定期报告和临时公告。公司已按照《上市公司行业信息披露指引第十四号——食品制造》的要求，按产品分类、地区分类、渠道分类，披露了公司各个季度的主营业务收入细分数据。公司将一如既往，通过积极召开线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上业绩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说明会、线下投资者交流会、投资者走进上市公司等活动，加强与投资者互动交流。</w:t>
            </w:r>
          </w:p>
          <w:p w:rsidR="00107E64" w:rsidRPr="00EE36C6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7、</w:t>
            </w:r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出售新西兰北岛资产将带来12亿元现金流。请问这部分资金将如何分配？是用于偿还债务、回购股份、加大分红，还是投入新产能？公司当前负债率处于行业什么水平？未来资本开支重点方向是什么？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通过出售北岛资产，新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特可以有效化解当下所面临的经营压力，将资源与精力聚焦于核心主营业务，提升企业竞争力，保障企业的稳健发展。其次，北岛资产出售将为新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莱特带来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充足现金流，用于偿还债务。未来运营资金贷款所需额度也将减少，将大幅下降利息成本。符合新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莱特当前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降低财务流动性风险的迫切诉求，显著改善银行融资环境。光明乳业2025年三季报的资产负债率为50.90%。资本开支的目标是打造公司全产业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链核心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竞争力和对关键业务进行产业布局，确保公司可持续发展，重点方向是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强链补链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、技术改造、数字化转型、节能环保等方面。</w:t>
            </w:r>
          </w:p>
          <w:p w:rsidR="00107E64" w:rsidRPr="00EE36C6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8、</w:t>
            </w:r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Q3</w:t>
            </w:r>
            <w:proofErr w:type="gramStart"/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归母净利润</w:t>
            </w:r>
            <w:proofErr w:type="gramEnd"/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亏损1.3亿元，</w:t>
            </w:r>
            <w:proofErr w:type="gramStart"/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扣非净</w:t>
            </w:r>
            <w:proofErr w:type="gramEnd"/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利润亏损9104万元，但亏损幅度收窄。请问利润下滑的主要原因是什么？未来将通过哪些手段改善盈利性？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107E64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公司将通过全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产业链提质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增效，提升盈利能力：牧业端，通过精细化管理，不断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提升原奶质量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，提升公斤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奶成本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竞争力，提高奶牛育种技术；生产端，落实奶源“紧平衡”管理，协同销售提升产能利用率，深化降本增效；物流端，优化线路和仓储管理，借助科技降低劳动密集度，降低运输成本；产品端，科技赋能，根据消费者需求，工艺精益求精，推陈出新；渠道端，巩固原有渠道的同时，及时顺应渠道变化。新鲜业务抢占即时零售渠道，开拓咖啡、茶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饮原料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奶市场，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渠定制联名款；常温业务拓展零食新渠道，多维度提升渠道能力；品牌端，坚守光明品牌高品质、新鲜营养健康的基</w:t>
            </w:r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调，在文艺、体育、科技等多领域发力，不断提升品牌力。</w:t>
            </w:r>
          </w:p>
          <w:p w:rsidR="00107E64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A920F5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9、</w:t>
            </w:r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乳制品行业面临碳排放与动物福利等ESG挑战。请问光明乳业在牧场管理、包装环保化、</w:t>
            </w:r>
            <w:proofErr w:type="gramStart"/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减碳目标</w:t>
            </w:r>
            <w:proofErr w:type="gramEnd"/>
            <w:r w:rsidR="00107E64"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等方面有哪些具体措施？是否有明确的ESG量化指标（如单位产品碳排放下降目标）？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公司秉持“绿色消费、低碳前行”的理念，积极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绿色发展之路。在牧场端，光明乳业利用农作物秸秆作为饲料，推动农业废弃物的循环利用，构建种养结合、生态平衡的牧场模式；在工厂端，持续投入资金用于节能减排技术改造与创新，运用先进技术优化能源管理，实现节能减排与资源循环利用；在消费端，通过牛奶纸盒回收行动，将牛奶纸盒再生制品融入到人们的日常生活。今年公司对旗下屋顶型纸盒包装进行了全面升级，特别选用了FSC认证的纸板纸盒。在碳排放方面，公司2024年6月已确定上海</w:t>
            </w:r>
            <w:proofErr w:type="gramStart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金山种</w:t>
            </w:r>
            <w:proofErr w:type="gramEnd"/>
            <w:r w:rsidRPr="00107E64">
              <w:rPr>
                <w:rFonts w:ascii="宋体" w:hAnsi="宋体" w:cs="宋体" w:hint="eastAsia"/>
                <w:kern w:val="0"/>
                <w:sz w:val="24"/>
                <w:szCs w:val="24"/>
              </w:rPr>
              <w:t>奶牛场粪污沼气处理提纯天然气项目，将并入管网上市销售，共享碳指标，每年将减少二氧化碳排放1.2万吨。公司每年实际碳排放总量均控制在配额内，并呈逐年下降的趋势。</w:t>
            </w:r>
          </w:p>
          <w:p w:rsidR="00107E64" w:rsidRPr="00EE36C6" w:rsidRDefault="00107E64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A920F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A920F5" w:rsidRPr="00A920F5">
              <w:rPr>
                <w:rFonts w:ascii="宋体" w:hAnsi="宋体" w:cs="宋体" w:hint="eastAsia"/>
                <w:kern w:val="0"/>
                <w:sz w:val="24"/>
                <w:szCs w:val="24"/>
              </w:rPr>
              <w:t>光明乳业在上海地区存在关联交易（如土地租赁、采购）。请问公司如何确保关联交易定价的公允性？是否建立</w:t>
            </w:r>
            <w:proofErr w:type="gramStart"/>
            <w:r w:rsidR="00A920F5" w:rsidRPr="00A920F5">
              <w:rPr>
                <w:rFonts w:ascii="宋体" w:hAnsi="宋体" w:cs="宋体" w:hint="eastAsia"/>
                <w:kern w:val="0"/>
                <w:sz w:val="24"/>
                <w:szCs w:val="24"/>
              </w:rPr>
              <w:t>独立第三</w:t>
            </w:r>
            <w:proofErr w:type="gramEnd"/>
            <w:r w:rsidR="00A920F5" w:rsidRPr="00A920F5">
              <w:rPr>
                <w:rFonts w:ascii="宋体" w:hAnsi="宋体" w:cs="宋体" w:hint="eastAsia"/>
                <w:kern w:val="0"/>
                <w:sz w:val="24"/>
                <w:szCs w:val="24"/>
              </w:rPr>
              <w:t>方评估机制？关联交易占比是否会影响公司独立性？未来是否会降低对上海本地资源的依赖风险？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A920F5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0F5">
              <w:rPr>
                <w:rFonts w:ascii="宋体" w:hAnsi="宋体" w:cs="宋体" w:hint="eastAsia"/>
                <w:kern w:val="0"/>
                <w:sz w:val="24"/>
                <w:szCs w:val="24"/>
              </w:rPr>
              <w:t>公司日常关联交易事项，经公司独立董事专门会议审议通过后，提交公司审计委员会、董事会、股东大会审议通过。日常关联交易为满足公司日常经营业务的需要，不存在损害上市公司或中小股东的利益的情形，不构成较大依赖，对上市公司独立性无影响。</w:t>
            </w:r>
          </w:p>
          <w:p w:rsidR="009E25D1" w:rsidRPr="00EE36C6" w:rsidRDefault="009E25D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9E25D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9E25D1"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公司此前推出低糖、功能性乳品，但市场反响有限。请问未来是否会针对特定场景（如健身、办公、儿童早餐）开发定制化产品线？在研发投入上是否有明确比例？是否会与高校或科研机构合作，加快功能性乳品（如益生菌、免疫增强型产品）的技术突破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9E25D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公司始终以消费者需求为核心，坚持品质引领与创新驱动，持</w:t>
            </w:r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续加大研发投入、升级生产工艺、优化产品矩阵。近期公司聚焦营养强化、功能细分等核心赛道，集中推出多款新品：包括富含活性营养的光明优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5.0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超鲜牛乳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、高蛋白配方的光明如实高蛋白纯净发酵乳，以及针对性满足骨骼健康需求的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光明优加益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固系列产品、助力优质睡眠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的舒睡系列产品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粉等。后续公司将持续深耕产品创新，丰富产品线以覆盖多元化消费场景。</w:t>
            </w:r>
          </w:p>
          <w:p w:rsidR="009E25D1" w:rsidRPr="00EE36C6" w:rsidRDefault="009E25D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9E25D1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9E25D1"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液态奶作为核心业务，2025年前三季度收入101.46亿元，同比下滑8.57%。公司计划通过哪些手段扭转下滑趋势？例如：①产品端：是否加大高毛利品类占比；②渠道端：如何应对线上流量碎片化与线下商超客流减少；③营销端：如何利用年轻消费者喜爱的社交媒体或KOL进行精准触达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Default="009E25D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作为核心业务板块，公司将多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措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并举，持续大力发展液态奶业务，具体措施如下：在产品端，科技赋能，根据消费者需求，工艺精益求精，推陈出新；在渠道端，巩固原有渠道的同时，及时顺应渠道变化。新鲜业务抢占即时零售渠道，开拓咖啡、茶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饮原料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奶市场，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渠定制联名款；常温业务拓展零食新渠道，多维度提升渠道能力；在营销端，坚守光明品牌高品质、新鲜营养健康的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品牌主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基调，在文艺、体育、科技等多领域发力，不断提升品牌力，促进拉动消费。</w:t>
            </w:r>
          </w:p>
          <w:p w:rsidR="009E25D1" w:rsidRPr="00EE36C6" w:rsidRDefault="009E25D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9E25D1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9E25D1"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光明乳业连续三年营收与净利润下滑，液态</w:t>
            </w:r>
            <w:proofErr w:type="gramStart"/>
            <w:r w:rsidR="009E25D1"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奶收入</w:t>
            </w:r>
            <w:proofErr w:type="gramEnd"/>
            <w:r w:rsidR="009E25D1"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同比下滑8.57%。公司如何应对行业增长乏力与现制茶饮等替代品的冲击？是否有计划通过并购、跨界合作或新品牌孵化来开辟第二增长曲线？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3E6F77" w:rsidRPr="00EE36C6" w:rsidRDefault="009E25D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乳制品行业发展短期内受到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原奶价格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波动、市场需求变化等影响，但长期向好的基本面没有改变。随着消费市场的逐步修复和政策的持续发力，乳制品的消费结构将进一步优化，新鲜、营养、健康的高品质产品将受到消费者青睐，乳制品行业将在调整中实现高质量发展。公司及时顺应渠道变化，新鲜业务抢占即时零售渠道，开拓咖啡、茶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饮原料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奶市场，</w:t>
            </w:r>
            <w:proofErr w:type="gramStart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t>渠定制联名款；常温业务拓展零食新渠道，多维度提升渠道能力。公司始终秉持稳健经营与创新发展</w:t>
            </w:r>
            <w:r w:rsidRPr="009E25D1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并重的理念，对于并购重组及外延式发展机会，我们将结合战略规划及市场环境审慎评估。收购兼并、资本运作等重大事项请以公司公告为准。</w:t>
            </w:r>
          </w:p>
          <w:p w:rsidR="00EC4061" w:rsidRPr="00707AE1" w:rsidRDefault="00EC406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</w:pPr>
            <w:bookmarkStart w:id="0" w:name="_GoBack"/>
            <w:bookmarkEnd w:id="0"/>
          </w:p>
        </w:tc>
      </w:tr>
    </w:tbl>
    <w:p w:rsidR="00EC4061" w:rsidRDefault="00EC4061"/>
    <w:p w:rsidR="00EC4061" w:rsidRDefault="00EC4061"/>
    <w:sectPr w:rsidR="00EC406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F72" w:rsidRDefault="00E34F72">
      <w:r>
        <w:separator/>
      </w:r>
    </w:p>
  </w:endnote>
  <w:endnote w:type="continuationSeparator" w:id="0">
    <w:p w:rsidR="00E34F72" w:rsidRDefault="00E3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F72" w:rsidRDefault="00E34F72">
      <w:r>
        <w:separator/>
      </w:r>
    </w:p>
  </w:footnote>
  <w:footnote w:type="continuationSeparator" w:id="0">
    <w:p w:rsidR="00E34F72" w:rsidRDefault="00E3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61" w:rsidRDefault="00EE36C6">
    <w:pPr>
      <w:pStyle w:val="a3"/>
      <w:tabs>
        <w:tab w:val="clear" w:pos="4153"/>
      </w:tabs>
      <w:jc w:val="right"/>
    </w:pPr>
    <w:r>
      <w:rPr>
        <w:rFonts w:hint="eastAsia"/>
      </w:rPr>
      <w:t>光明乳业股份有限公司投资者关系活动记录表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EC4061"/>
    <w:rsid w:val="000C3416"/>
    <w:rsid w:val="00107E64"/>
    <w:rsid w:val="00175CBE"/>
    <w:rsid w:val="002140E7"/>
    <w:rsid w:val="00347800"/>
    <w:rsid w:val="003E6F77"/>
    <w:rsid w:val="005460D0"/>
    <w:rsid w:val="00684C2C"/>
    <w:rsid w:val="00707AE1"/>
    <w:rsid w:val="008E78DB"/>
    <w:rsid w:val="009E25D1"/>
    <w:rsid w:val="00A920F5"/>
    <w:rsid w:val="00E34F72"/>
    <w:rsid w:val="00E64ADC"/>
    <w:rsid w:val="00EC4061"/>
    <w:rsid w:val="00EE36C6"/>
    <w:rsid w:val="00F377A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C7AC4"/>
  <w15:docId w15:val="{10260EA1-4414-436C-87F8-59C87383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588</Words>
  <Characters>3354</Characters>
  <Application>Microsoft Office Word</Application>
  <DocSecurity>0</DocSecurity>
  <Lines>27</Lines>
  <Paragraphs>7</Paragraphs>
  <ScaleCrop>false</ScaleCrop>
  <Company>光明食品（集团）有限公司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ZKY</cp:lastModifiedBy>
  <cp:revision>4</cp:revision>
  <dcterms:created xsi:type="dcterms:W3CDTF">2025-11-14T00:48:00Z</dcterms:created>
  <dcterms:modified xsi:type="dcterms:W3CDTF">2025-11-14T01:10:00Z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