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922A8">
      <w:pPr>
        <w:spacing w:line="400" w:lineRule="exact"/>
        <w:rPr>
          <w:rFonts w:ascii="宋体" w:hAnsi="宋体"/>
          <w:bCs/>
          <w:iCs/>
          <w:color w:val="000000"/>
          <w:sz w:val="24"/>
        </w:rPr>
      </w:pPr>
      <w:r>
        <w:rPr>
          <w:rFonts w:hint="eastAsia" w:ascii="宋体" w:hAnsi="宋体"/>
          <w:bCs/>
          <w:iCs/>
          <w:color w:val="000000"/>
          <w:sz w:val="24"/>
        </w:rPr>
        <w:t>证券代码：6</w:t>
      </w:r>
      <w:r>
        <w:rPr>
          <w:rFonts w:ascii="宋体" w:hAnsi="宋体"/>
          <w:bCs/>
          <w:iCs/>
          <w:color w:val="000000"/>
          <w:sz w:val="24"/>
        </w:rPr>
        <w:t>03004</w:t>
      </w: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证券简称：鼎龙科技</w:t>
      </w:r>
    </w:p>
    <w:p w14:paraId="613354E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浙江鼎龙科技股份有限公司</w:t>
      </w:r>
    </w:p>
    <w:p w14:paraId="094C316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4B0F1075">
      <w:pPr>
        <w:spacing w:line="400" w:lineRule="exact"/>
        <w:rPr>
          <w:rFonts w:ascii="宋体" w:hAnsi="宋体"/>
          <w:bCs/>
          <w:iCs/>
          <w:color w:val="000000"/>
          <w:sz w:val="24"/>
        </w:rPr>
      </w:pPr>
      <w:r>
        <w:rPr>
          <w:rFonts w:hint="eastAsia" w:ascii="宋体" w:hAnsi="宋体"/>
          <w:bCs/>
          <w:iCs/>
          <w:color w:val="000000"/>
          <w:sz w:val="24"/>
        </w:rPr>
        <w:t xml:space="preserve">                                                    编号：2</w:t>
      </w:r>
      <w:r>
        <w:rPr>
          <w:rFonts w:ascii="宋体" w:hAnsi="宋体"/>
          <w:bCs/>
          <w:iCs/>
          <w:color w:val="000000"/>
          <w:sz w:val="24"/>
        </w:rPr>
        <w:t>02</w:t>
      </w:r>
      <w:r>
        <w:rPr>
          <w:rFonts w:hint="eastAsia" w:ascii="宋体" w:hAnsi="宋体"/>
          <w:bCs/>
          <w:iCs/>
          <w:color w:val="000000"/>
          <w:sz w:val="24"/>
        </w:rPr>
        <w:t>5</w:t>
      </w:r>
      <w:r>
        <w:rPr>
          <w:rFonts w:ascii="宋体" w:hAnsi="宋体"/>
          <w:bCs/>
          <w:iCs/>
          <w:color w:val="000000"/>
          <w:sz w:val="24"/>
        </w:rPr>
        <w:t>-0</w:t>
      </w:r>
      <w:r>
        <w:rPr>
          <w:rFonts w:hint="eastAsia" w:ascii="宋体" w:hAnsi="宋体"/>
          <w:bCs/>
          <w:iCs/>
          <w:color w:val="000000"/>
          <w:sz w:val="24"/>
        </w:rPr>
        <w:t>0</w:t>
      </w:r>
      <w:r>
        <w:rPr>
          <w:rFonts w:hint="eastAsia" w:ascii="宋体" w:hAnsi="宋体"/>
          <w:bCs/>
          <w:iCs/>
          <w:color w:val="000000"/>
          <w:sz w:val="24"/>
          <w:lang w:val="en-US" w:eastAsia="zh-CN"/>
        </w:rPr>
        <w:t>9</w:t>
      </w:r>
      <w:r>
        <w:rPr>
          <w:rFonts w:hint="eastAsia" w:ascii="宋体" w:hAnsi="宋体"/>
          <w:bCs/>
          <w:iCs/>
          <w:color w:val="000000"/>
          <w:sz w:val="24"/>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6627"/>
      </w:tblGrid>
      <w:tr w14:paraId="7A3E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tcPr>
          <w:p w14:paraId="1BF73784">
            <w:pPr>
              <w:spacing w:line="480" w:lineRule="atLeast"/>
              <w:rPr>
                <w:rFonts w:ascii="宋体" w:hAnsi="宋体"/>
                <w:bCs/>
                <w:iCs/>
                <w:color w:val="000000"/>
                <w:sz w:val="24"/>
              </w:rPr>
            </w:pPr>
            <w:r>
              <w:rPr>
                <w:rFonts w:hint="eastAsia" w:ascii="宋体" w:hAnsi="宋体"/>
                <w:bCs/>
                <w:iCs/>
                <w:color w:val="000000"/>
                <w:sz w:val="24"/>
              </w:rPr>
              <w:t>投资者关系活动类别</w:t>
            </w:r>
          </w:p>
          <w:p w14:paraId="761982B7">
            <w:pPr>
              <w:spacing w:line="480" w:lineRule="atLeast"/>
              <w:rPr>
                <w:rFonts w:ascii="宋体" w:hAnsi="宋体"/>
                <w:bCs/>
                <w:iCs/>
                <w:color w:val="000000"/>
                <w:sz w:val="24"/>
              </w:rPr>
            </w:pPr>
          </w:p>
        </w:tc>
        <w:tc>
          <w:tcPr>
            <w:tcW w:w="6627" w:type="dxa"/>
            <w:tcBorders>
              <w:top w:val="single" w:color="auto" w:sz="4" w:space="0"/>
              <w:left w:val="single" w:color="auto" w:sz="4" w:space="0"/>
              <w:bottom w:val="single" w:color="auto" w:sz="4" w:space="0"/>
              <w:right w:val="single" w:color="auto" w:sz="4" w:space="0"/>
            </w:tcBorders>
          </w:tcPr>
          <w:p w14:paraId="4BB8966C">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hint="eastAsia" w:ascii="宋体" w:hAnsi="宋体"/>
                <w:bCs/>
                <w:iCs/>
                <w:color w:val="000000"/>
                <w:sz w:val="24"/>
              </w:rPr>
              <w:t>□</w:t>
            </w:r>
            <w:r>
              <w:rPr>
                <w:rFonts w:hint="eastAsia" w:ascii="宋体" w:hAnsi="宋体"/>
                <w:sz w:val="24"/>
              </w:rPr>
              <w:t>分析师会议</w:t>
            </w:r>
          </w:p>
          <w:p w14:paraId="036F9577">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hint="eastAsia" w:ascii="宋体" w:hAnsi="宋体"/>
                <w:bCs/>
                <w:iCs/>
                <w:color w:val="000000"/>
                <w:sz w:val="24"/>
              </w:rPr>
              <w:t>■</w:t>
            </w:r>
            <w:r>
              <w:rPr>
                <w:rFonts w:hint="eastAsia" w:ascii="宋体" w:hAnsi="宋体"/>
                <w:sz w:val="24"/>
              </w:rPr>
              <w:t>业绩说明会</w:t>
            </w:r>
          </w:p>
          <w:p w14:paraId="6AC59CBE">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3A1B0CCD">
            <w:pPr>
              <w:tabs>
                <w:tab w:val="left" w:pos="3045"/>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p>
          <w:p w14:paraId="3AC6DDFA">
            <w:pPr>
              <w:tabs>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其他 （</w:t>
            </w:r>
            <w:r>
              <w:rPr>
                <w:rFonts w:hint="eastAsia" w:ascii="宋体" w:hAnsi="宋体"/>
                <w:sz w:val="24"/>
                <w:u w:val="single"/>
              </w:rPr>
              <w:t>请文字说明其他活动内容）</w:t>
            </w:r>
          </w:p>
        </w:tc>
      </w:tr>
      <w:tr w14:paraId="73AA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vAlign w:val="center"/>
          </w:tcPr>
          <w:p w14:paraId="4FB08D85">
            <w:pPr>
              <w:spacing w:line="360" w:lineRule="auto"/>
              <w:rPr>
                <w:rFonts w:ascii="宋体" w:hAnsi="宋体"/>
                <w:bCs/>
                <w:iCs/>
                <w:color w:val="000000"/>
                <w:sz w:val="24"/>
              </w:rPr>
            </w:pPr>
            <w:r>
              <w:rPr>
                <w:rFonts w:hint="eastAsia" w:ascii="宋体" w:hAnsi="宋体"/>
                <w:bCs/>
                <w:iCs/>
                <w:color w:val="000000"/>
                <w:sz w:val="24"/>
              </w:rPr>
              <w:t>活动名称</w:t>
            </w:r>
          </w:p>
        </w:tc>
        <w:tc>
          <w:tcPr>
            <w:tcW w:w="6627" w:type="dxa"/>
            <w:tcBorders>
              <w:top w:val="single" w:color="auto" w:sz="4" w:space="0"/>
              <w:left w:val="single" w:color="auto" w:sz="4" w:space="0"/>
              <w:bottom w:val="single" w:color="auto" w:sz="4" w:space="0"/>
              <w:right w:val="single" w:color="auto" w:sz="4" w:space="0"/>
            </w:tcBorders>
            <w:vAlign w:val="center"/>
          </w:tcPr>
          <w:p w14:paraId="43321709">
            <w:pPr>
              <w:spacing w:line="360" w:lineRule="auto"/>
              <w:rPr>
                <w:rFonts w:ascii="宋体" w:hAnsi="宋体"/>
                <w:bCs/>
                <w:iCs/>
                <w:color w:val="000000"/>
                <w:sz w:val="24"/>
              </w:rPr>
            </w:pPr>
            <w:r>
              <w:rPr>
                <w:rFonts w:hint="eastAsia" w:ascii="宋体" w:hAnsi="宋体"/>
                <w:bCs/>
                <w:iCs/>
                <w:color w:val="000000"/>
                <w:sz w:val="24"/>
              </w:rPr>
              <w:t>2025年</w:t>
            </w:r>
            <w:r>
              <w:rPr>
                <w:rFonts w:hint="eastAsia" w:ascii="宋体" w:hAnsi="宋体"/>
                <w:bCs/>
                <w:iCs/>
                <w:color w:val="000000"/>
                <w:sz w:val="24"/>
                <w:lang w:val="en-US" w:eastAsia="zh-CN"/>
              </w:rPr>
              <w:t>第三季</w:t>
            </w:r>
            <w:r>
              <w:rPr>
                <w:rFonts w:hint="eastAsia" w:ascii="宋体" w:hAnsi="宋体"/>
                <w:bCs/>
                <w:iCs/>
                <w:color w:val="000000"/>
                <w:sz w:val="24"/>
              </w:rPr>
              <w:t>度业绩说明会</w:t>
            </w:r>
          </w:p>
        </w:tc>
      </w:tr>
      <w:tr w14:paraId="2316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9" w:type="dxa"/>
            <w:tcBorders>
              <w:top w:val="single" w:color="auto" w:sz="4" w:space="0"/>
              <w:left w:val="single" w:color="auto" w:sz="4" w:space="0"/>
              <w:bottom w:val="single" w:color="auto" w:sz="4" w:space="0"/>
              <w:right w:val="single" w:color="auto" w:sz="4" w:space="0"/>
            </w:tcBorders>
            <w:vAlign w:val="center"/>
          </w:tcPr>
          <w:p w14:paraId="701AC55A">
            <w:pPr>
              <w:rPr>
                <w:rFonts w:ascii="宋体" w:hAnsi="宋体"/>
                <w:bCs/>
                <w:iCs/>
                <w:color w:val="000000"/>
                <w:sz w:val="24"/>
              </w:rPr>
            </w:pPr>
            <w:r>
              <w:rPr>
                <w:rFonts w:hint="eastAsia" w:ascii="宋体" w:hAnsi="宋体"/>
                <w:bCs/>
                <w:iCs/>
                <w:color w:val="000000"/>
                <w:sz w:val="24"/>
              </w:rPr>
              <w:t>参与单位名称</w:t>
            </w:r>
          </w:p>
        </w:tc>
        <w:tc>
          <w:tcPr>
            <w:tcW w:w="6627" w:type="dxa"/>
            <w:tcBorders>
              <w:top w:val="single" w:color="auto" w:sz="4" w:space="0"/>
              <w:left w:val="single" w:color="auto" w:sz="4" w:space="0"/>
              <w:bottom w:val="single" w:color="auto" w:sz="4" w:space="0"/>
              <w:right w:val="single" w:color="auto" w:sz="4" w:space="0"/>
            </w:tcBorders>
            <w:vAlign w:val="center"/>
          </w:tcPr>
          <w:p w14:paraId="4E11FCAA">
            <w:pPr>
              <w:spacing w:line="300" w:lineRule="auto"/>
              <w:rPr>
                <w:sz w:val="24"/>
              </w:rPr>
            </w:pPr>
            <w:r>
              <w:rPr>
                <w:rFonts w:hint="eastAsia"/>
                <w:sz w:val="24"/>
              </w:rPr>
              <w:t>通过网络互动的方式参加本次说明会的投资者</w:t>
            </w:r>
          </w:p>
        </w:tc>
      </w:tr>
      <w:tr w14:paraId="6F34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9" w:type="dxa"/>
            <w:tcBorders>
              <w:top w:val="single" w:color="auto" w:sz="4" w:space="0"/>
              <w:left w:val="single" w:color="auto" w:sz="4" w:space="0"/>
              <w:bottom w:val="single" w:color="auto" w:sz="4" w:space="0"/>
              <w:right w:val="single" w:color="auto" w:sz="4" w:space="0"/>
            </w:tcBorders>
            <w:vAlign w:val="center"/>
          </w:tcPr>
          <w:p w14:paraId="3F9E017A">
            <w:pPr>
              <w:rPr>
                <w:rFonts w:ascii="宋体" w:hAnsi="宋体"/>
                <w:bCs/>
                <w:iCs/>
                <w:color w:val="000000"/>
                <w:sz w:val="24"/>
              </w:rPr>
            </w:pPr>
            <w:r>
              <w:rPr>
                <w:rFonts w:hint="eastAsia" w:ascii="宋体" w:hAnsi="宋体"/>
                <w:bCs/>
                <w:iCs/>
                <w:color w:val="000000"/>
                <w:sz w:val="24"/>
              </w:rPr>
              <w:t>时间</w:t>
            </w:r>
          </w:p>
        </w:tc>
        <w:tc>
          <w:tcPr>
            <w:tcW w:w="6627" w:type="dxa"/>
            <w:tcBorders>
              <w:top w:val="single" w:color="auto" w:sz="4" w:space="0"/>
              <w:left w:val="single" w:color="auto" w:sz="4" w:space="0"/>
              <w:bottom w:val="single" w:color="auto" w:sz="4" w:space="0"/>
              <w:right w:val="single" w:color="auto" w:sz="4" w:space="0"/>
            </w:tcBorders>
            <w:vAlign w:val="center"/>
          </w:tcPr>
          <w:p w14:paraId="2BAB8C59">
            <w:pPr>
              <w:rPr>
                <w:rFonts w:ascii="宋体" w:hAnsi="宋体"/>
                <w:bCs/>
                <w:iCs/>
                <w:color w:val="000000"/>
                <w:sz w:val="24"/>
              </w:rPr>
            </w:pPr>
            <w:r>
              <w:rPr>
                <w:rFonts w:hint="eastAsia" w:ascii="宋体" w:hAnsi="宋体"/>
                <w:bCs/>
                <w:iCs/>
                <w:color w:val="000000"/>
                <w:sz w:val="24"/>
              </w:rPr>
              <w:t>2025年</w:t>
            </w:r>
            <w:r>
              <w:rPr>
                <w:rFonts w:hint="eastAsia" w:ascii="宋体" w:hAnsi="宋体"/>
                <w:bCs/>
                <w:iCs/>
                <w:color w:val="000000"/>
                <w:sz w:val="24"/>
                <w:lang w:val="en-US" w:eastAsia="zh-CN"/>
              </w:rPr>
              <w:t>11</w:t>
            </w:r>
            <w:r>
              <w:rPr>
                <w:rFonts w:hint="eastAsia" w:ascii="宋体" w:hAnsi="宋体"/>
                <w:bCs/>
                <w:iCs/>
                <w:color w:val="000000"/>
                <w:sz w:val="24"/>
              </w:rPr>
              <w:t>月</w:t>
            </w:r>
            <w:r>
              <w:rPr>
                <w:rFonts w:hint="eastAsia" w:ascii="宋体" w:hAnsi="宋体"/>
                <w:bCs/>
                <w:iCs/>
                <w:color w:val="000000"/>
                <w:sz w:val="24"/>
                <w:lang w:val="en-US" w:eastAsia="zh-CN"/>
              </w:rPr>
              <w:t>14</w:t>
            </w:r>
            <w:r>
              <w:rPr>
                <w:rFonts w:hint="eastAsia" w:ascii="宋体" w:hAnsi="宋体"/>
                <w:bCs/>
                <w:iCs/>
                <w:color w:val="000000"/>
                <w:sz w:val="24"/>
              </w:rPr>
              <w:t>日1</w:t>
            </w:r>
            <w:r>
              <w:rPr>
                <w:rFonts w:hint="eastAsia" w:ascii="宋体" w:hAnsi="宋体"/>
                <w:bCs/>
                <w:iCs/>
                <w:color w:val="000000"/>
                <w:sz w:val="24"/>
                <w:lang w:val="en-US" w:eastAsia="zh-CN"/>
              </w:rPr>
              <w:t>4</w:t>
            </w:r>
            <w:r>
              <w:rPr>
                <w:rFonts w:hint="eastAsia" w:ascii="宋体" w:hAnsi="宋体"/>
                <w:bCs/>
                <w:iCs/>
                <w:color w:val="000000"/>
                <w:sz w:val="24"/>
              </w:rPr>
              <w:t>:00-1</w:t>
            </w:r>
            <w:r>
              <w:rPr>
                <w:rFonts w:hint="eastAsia" w:ascii="宋体" w:hAnsi="宋体"/>
                <w:bCs/>
                <w:iCs/>
                <w:color w:val="000000"/>
                <w:sz w:val="24"/>
                <w:lang w:val="en-US" w:eastAsia="zh-CN"/>
              </w:rPr>
              <w:t>5</w:t>
            </w:r>
            <w:r>
              <w:rPr>
                <w:rFonts w:hint="eastAsia" w:ascii="宋体" w:hAnsi="宋体"/>
                <w:bCs/>
                <w:iCs/>
                <w:color w:val="000000"/>
                <w:sz w:val="24"/>
              </w:rPr>
              <w:t>:</w:t>
            </w:r>
            <w:r>
              <w:rPr>
                <w:rFonts w:ascii="宋体" w:hAnsi="宋体"/>
                <w:bCs/>
                <w:iCs/>
                <w:color w:val="000000"/>
                <w:sz w:val="24"/>
              </w:rPr>
              <w:t>0</w:t>
            </w:r>
            <w:r>
              <w:rPr>
                <w:rFonts w:hint="eastAsia" w:ascii="宋体" w:hAnsi="宋体"/>
                <w:bCs/>
                <w:iCs/>
                <w:color w:val="000000"/>
                <w:sz w:val="24"/>
              </w:rPr>
              <w:t>0</w:t>
            </w:r>
          </w:p>
        </w:tc>
      </w:tr>
      <w:tr w14:paraId="47F5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9" w:type="dxa"/>
            <w:tcBorders>
              <w:top w:val="single" w:color="auto" w:sz="4" w:space="0"/>
              <w:left w:val="single" w:color="auto" w:sz="4" w:space="0"/>
              <w:bottom w:val="single" w:color="auto" w:sz="4" w:space="0"/>
              <w:right w:val="single" w:color="auto" w:sz="4" w:space="0"/>
            </w:tcBorders>
            <w:vAlign w:val="center"/>
          </w:tcPr>
          <w:p w14:paraId="395C75D3">
            <w:pPr>
              <w:rPr>
                <w:rFonts w:ascii="宋体" w:hAnsi="宋体"/>
                <w:bCs/>
                <w:iCs/>
                <w:color w:val="000000"/>
                <w:sz w:val="24"/>
              </w:rPr>
            </w:pPr>
            <w:r>
              <w:rPr>
                <w:rFonts w:hint="eastAsia" w:ascii="宋体" w:hAnsi="宋体"/>
                <w:bCs/>
                <w:iCs/>
                <w:color w:val="000000"/>
                <w:sz w:val="24"/>
              </w:rPr>
              <w:t>地点</w:t>
            </w:r>
          </w:p>
        </w:tc>
        <w:tc>
          <w:tcPr>
            <w:tcW w:w="6627" w:type="dxa"/>
            <w:tcBorders>
              <w:top w:val="single" w:color="auto" w:sz="4" w:space="0"/>
              <w:left w:val="single" w:color="auto" w:sz="4" w:space="0"/>
              <w:bottom w:val="single" w:color="auto" w:sz="4" w:space="0"/>
              <w:right w:val="single" w:color="auto" w:sz="4" w:space="0"/>
            </w:tcBorders>
            <w:vAlign w:val="center"/>
          </w:tcPr>
          <w:p w14:paraId="2B20E32A">
            <w:pPr>
              <w:spacing w:line="360" w:lineRule="auto"/>
              <w:rPr>
                <w:rFonts w:ascii="宋体" w:hAnsi="宋体"/>
                <w:bCs/>
                <w:iCs/>
                <w:color w:val="000000"/>
                <w:sz w:val="24"/>
              </w:rPr>
            </w:pPr>
            <w:r>
              <w:rPr>
                <w:rFonts w:hint="eastAsia" w:ascii="宋体" w:hAnsi="宋体"/>
                <w:bCs/>
                <w:iCs/>
                <w:color w:val="000000"/>
                <w:sz w:val="24"/>
              </w:rPr>
              <w:t>上海证券交易所上证路演中心</w:t>
            </w:r>
          </w:p>
          <w:p w14:paraId="27B78EFC">
            <w:pPr>
              <w:spacing w:line="360" w:lineRule="auto"/>
              <w:rPr>
                <w:rFonts w:ascii="宋体" w:hAnsi="宋体"/>
                <w:bCs/>
                <w:iCs/>
                <w:color w:val="000000"/>
                <w:sz w:val="24"/>
              </w:rPr>
            </w:pPr>
            <w:r>
              <w:rPr>
                <w:rFonts w:hint="eastAsia" w:ascii="宋体" w:hAnsi="宋体"/>
                <w:bCs/>
                <w:iCs/>
                <w:color w:val="000000"/>
                <w:sz w:val="24"/>
              </w:rPr>
              <w:t xml:space="preserve">（网址：https://roadshow.sseinfo.com/） </w:t>
            </w:r>
          </w:p>
        </w:tc>
      </w:tr>
      <w:tr w14:paraId="4CB5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669" w:type="dxa"/>
            <w:tcBorders>
              <w:top w:val="single" w:color="auto" w:sz="4" w:space="0"/>
              <w:left w:val="single" w:color="auto" w:sz="4" w:space="0"/>
              <w:bottom w:val="single" w:color="auto" w:sz="4" w:space="0"/>
              <w:right w:val="single" w:color="auto" w:sz="4" w:space="0"/>
            </w:tcBorders>
            <w:vAlign w:val="center"/>
          </w:tcPr>
          <w:p w14:paraId="24C12EA3">
            <w:pPr>
              <w:spacing w:line="360" w:lineRule="auto"/>
              <w:rPr>
                <w:rFonts w:ascii="宋体" w:hAnsi="宋体"/>
                <w:bCs/>
                <w:iCs/>
                <w:color w:val="000000"/>
                <w:sz w:val="24"/>
              </w:rPr>
            </w:pPr>
            <w:r>
              <w:rPr>
                <w:rFonts w:hint="eastAsia" w:ascii="宋体" w:hAnsi="宋体"/>
                <w:bCs/>
                <w:iCs/>
                <w:color w:val="000000"/>
                <w:sz w:val="24"/>
              </w:rPr>
              <w:t>上市公司接待人员姓名</w:t>
            </w:r>
          </w:p>
        </w:tc>
        <w:tc>
          <w:tcPr>
            <w:tcW w:w="6627" w:type="dxa"/>
            <w:tcBorders>
              <w:top w:val="single" w:color="auto" w:sz="4" w:space="0"/>
              <w:left w:val="single" w:color="auto" w:sz="4" w:space="0"/>
              <w:bottom w:val="single" w:color="auto" w:sz="4" w:space="0"/>
              <w:right w:val="single" w:color="auto" w:sz="4" w:space="0"/>
            </w:tcBorders>
            <w:vAlign w:val="center"/>
          </w:tcPr>
          <w:p w14:paraId="2226FC9B">
            <w:pPr>
              <w:spacing w:line="360" w:lineRule="auto"/>
              <w:rPr>
                <w:rFonts w:ascii="宋体" w:hAnsi="宋体"/>
                <w:bCs/>
                <w:iCs/>
                <w:color w:val="000000"/>
                <w:sz w:val="24"/>
              </w:rPr>
            </w:pPr>
            <w:r>
              <w:rPr>
                <w:rFonts w:hint="eastAsia" w:ascii="宋体" w:hAnsi="宋体"/>
                <w:bCs/>
                <w:iCs/>
                <w:color w:val="000000"/>
                <w:sz w:val="24"/>
              </w:rPr>
              <w:t>董事长孙斯薇、董事兼董事会秘书周菡语、财务总监李丽君、独立董事潘志彦</w:t>
            </w:r>
          </w:p>
        </w:tc>
      </w:tr>
      <w:tr w14:paraId="41E0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vAlign w:val="center"/>
          </w:tcPr>
          <w:p w14:paraId="6D101785">
            <w:pPr>
              <w:spacing w:line="480" w:lineRule="atLeast"/>
              <w:rPr>
                <w:rFonts w:ascii="宋体" w:hAnsi="宋体"/>
                <w:bCs/>
                <w:iCs/>
                <w:color w:val="000000"/>
                <w:sz w:val="24"/>
              </w:rPr>
            </w:pPr>
            <w:r>
              <w:rPr>
                <w:rFonts w:hint="eastAsia" w:ascii="宋体" w:hAnsi="宋体"/>
                <w:bCs/>
                <w:iCs/>
                <w:color w:val="000000"/>
                <w:sz w:val="24"/>
              </w:rPr>
              <w:t>投资者关系活动主要内容介绍</w:t>
            </w:r>
          </w:p>
          <w:p w14:paraId="1D633BA9">
            <w:pPr>
              <w:spacing w:line="480" w:lineRule="atLeast"/>
              <w:rPr>
                <w:rFonts w:ascii="宋体" w:hAnsi="宋体"/>
                <w:bCs/>
                <w:iCs/>
                <w:color w:val="000000"/>
                <w:sz w:val="24"/>
              </w:rPr>
            </w:pPr>
          </w:p>
        </w:tc>
        <w:tc>
          <w:tcPr>
            <w:tcW w:w="6627" w:type="dxa"/>
            <w:tcBorders>
              <w:top w:val="single" w:color="auto" w:sz="4" w:space="0"/>
              <w:left w:val="single" w:color="auto" w:sz="4" w:space="0"/>
              <w:bottom w:val="single" w:color="auto" w:sz="4" w:space="0"/>
              <w:right w:val="single" w:color="auto" w:sz="4" w:space="0"/>
            </w:tcBorders>
          </w:tcPr>
          <w:p w14:paraId="02F47D11">
            <w:pPr>
              <w:pStyle w:val="2"/>
            </w:pPr>
            <w:r>
              <w:rPr>
                <w:rFonts w:hint="eastAsia"/>
              </w:rPr>
              <w:t>互动问答回复：</w:t>
            </w:r>
          </w:p>
          <w:p w14:paraId="52B2BDAF">
            <w:pPr>
              <w:pStyle w:val="2"/>
              <w:numPr>
                <w:ilvl w:val="0"/>
                <w:numId w:val="1"/>
              </w:numPr>
              <w:rPr>
                <w:rFonts w:hint="eastAsia"/>
                <w:b/>
              </w:rPr>
            </w:pPr>
            <w:r>
              <w:rPr>
                <w:rFonts w:hint="eastAsia"/>
                <w:b/>
              </w:rPr>
              <w:t>公司三季度的应收账款体量相对较大。请问公司将采取哪些具体的措施来加强应收账款管理，确保资金周转的效率和安全性？</w:t>
            </w:r>
          </w:p>
          <w:p w14:paraId="49937178">
            <w:pPr>
              <w:pStyle w:val="2"/>
              <w:numPr>
                <w:ilvl w:val="0"/>
                <w:numId w:val="0"/>
              </w:numPr>
            </w:pPr>
            <w:r>
              <w:rPr>
                <w:rFonts w:hint="eastAsia"/>
              </w:rPr>
              <w:t>答：尊敬的投资者，您好，三季度末公司应收账款较同期未有明显增长，规模仍在可控范围。公司主要客户资信能力和回款状况良好，公司会持续关注经营环境和客户状况，做好风险控制，谢谢！</w:t>
            </w:r>
          </w:p>
          <w:p w14:paraId="3874EB6D">
            <w:pPr>
              <w:pStyle w:val="2"/>
            </w:pPr>
          </w:p>
          <w:p w14:paraId="78787E79">
            <w:pPr>
              <w:pStyle w:val="2"/>
              <w:rPr>
                <w:b/>
              </w:rPr>
            </w:pPr>
            <w:r>
              <w:rPr>
                <w:b/>
              </w:rPr>
              <w:t>2.</w:t>
            </w:r>
            <w:r>
              <w:rPr>
                <w:rFonts w:hint="eastAsia"/>
                <w:b/>
              </w:rPr>
              <w:t>三季报显示，公司主要产品中，染发剂原料和植保材料的平均单价在三季度环比有所下降。公司如何看待后续这些主力产品的价格趋势？有哪些措施来应对价格波动，稳定盈利能力？</w:t>
            </w:r>
          </w:p>
          <w:p w14:paraId="4198EBE8">
            <w:pPr>
              <w:pStyle w:val="2"/>
            </w:pPr>
            <w:r>
              <w:rPr>
                <w:rFonts w:hint="eastAsia"/>
              </w:rPr>
              <w:t>答：尊敬的投资者，您好，公司主要经营数据显示的染发剂原料和植保材料平均单价（按量加权）环比下降，主要是因为细分品种较多，价格差异大，受结构影响所致，主力品种的价格仍然比较稳定。公司持续通过技术创新、降本增效、综合服务等方式提升产品毛利率、竞争力。谢谢！</w:t>
            </w:r>
            <w:r>
              <w:t xml:space="preserve"> </w:t>
            </w:r>
          </w:p>
          <w:p w14:paraId="229EF82D">
            <w:pPr>
              <w:pStyle w:val="2"/>
            </w:pPr>
          </w:p>
          <w:p w14:paraId="47A3A878">
            <w:pPr>
              <w:pStyle w:val="2"/>
              <w:rPr>
                <w:b/>
              </w:rPr>
            </w:pPr>
            <w:r>
              <w:rPr>
                <w:b/>
              </w:rPr>
              <w:t>3.</w:t>
            </w:r>
            <w:r>
              <w:rPr>
                <w:rFonts w:hint="eastAsia"/>
                <w:b/>
              </w:rPr>
              <w:t>公司在互动平台提到，三季度特种工程材料单体销售额增长主要受聚酰亚胺单体产品集中交付影响。想请教管理层，这种集中的交付节奏是偶发性的，还是未来可能会成为一种常态？</w:t>
            </w:r>
          </w:p>
          <w:p w14:paraId="73E8B7D2">
            <w:pPr>
              <w:pStyle w:val="2"/>
            </w:pPr>
            <w:r>
              <w:rPr>
                <w:rFonts w:hint="eastAsia"/>
              </w:rPr>
              <w:t>答：尊敬的投资者，您好，聚酰亚胺单体客户一般是根据其下游需求、自身储备、生产计划等情况要求交付，通常不具有季节性，但据观察近几年下半年出货量相对集中，谢谢！</w:t>
            </w:r>
          </w:p>
        </w:tc>
      </w:tr>
      <w:tr w14:paraId="626B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vAlign w:val="center"/>
          </w:tcPr>
          <w:p w14:paraId="6C298EB1">
            <w:pPr>
              <w:spacing w:line="480" w:lineRule="atLeast"/>
              <w:rPr>
                <w:rFonts w:ascii="宋体" w:hAnsi="宋体"/>
                <w:bCs/>
                <w:iCs/>
                <w:color w:val="000000"/>
                <w:sz w:val="24"/>
              </w:rPr>
            </w:pPr>
            <w:r>
              <w:rPr>
                <w:rFonts w:hint="eastAsia" w:ascii="宋体" w:hAnsi="宋体"/>
                <w:bCs/>
                <w:iCs/>
                <w:color w:val="000000"/>
                <w:sz w:val="24"/>
              </w:rPr>
              <w:t>附件清单（如有）</w:t>
            </w:r>
          </w:p>
        </w:tc>
        <w:tc>
          <w:tcPr>
            <w:tcW w:w="6627" w:type="dxa"/>
            <w:tcBorders>
              <w:top w:val="single" w:color="auto" w:sz="4" w:space="0"/>
              <w:left w:val="single" w:color="auto" w:sz="4" w:space="0"/>
              <w:bottom w:val="single" w:color="auto" w:sz="4" w:space="0"/>
              <w:right w:val="single" w:color="auto" w:sz="4" w:space="0"/>
            </w:tcBorders>
          </w:tcPr>
          <w:p w14:paraId="115419BC">
            <w:pPr>
              <w:spacing w:line="480" w:lineRule="atLeast"/>
              <w:rPr>
                <w:sz w:val="24"/>
              </w:rPr>
            </w:pPr>
          </w:p>
        </w:tc>
      </w:tr>
    </w:tbl>
    <w:p w14:paraId="63019CF2"/>
    <w:p w14:paraId="4FEECE6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44F6E"/>
    <w:multiLevelType w:val="singleLevel"/>
    <w:tmpl w:val="B6244F6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hYzdhMTU5NjlhODM3YjVhYjdhZmM5Mjg4ZTI4YmIifQ=="/>
  </w:docVars>
  <w:rsids>
    <w:rsidRoot w:val="00402796"/>
    <w:rsid w:val="00045273"/>
    <w:rsid w:val="000762F0"/>
    <w:rsid w:val="000A3F3A"/>
    <w:rsid w:val="000C1067"/>
    <w:rsid w:val="000D1B07"/>
    <w:rsid w:val="000D2CDE"/>
    <w:rsid w:val="001001A6"/>
    <w:rsid w:val="00103C54"/>
    <w:rsid w:val="00106496"/>
    <w:rsid w:val="00115AE3"/>
    <w:rsid w:val="00120F30"/>
    <w:rsid w:val="00164EBD"/>
    <w:rsid w:val="0018757D"/>
    <w:rsid w:val="00192268"/>
    <w:rsid w:val="001D62B0"/>
    <w:rsid w:val="001D722E"/>
    <w:rsid w:val="00200E15"/>
    <w:rsid w:val="00227E76"/>
    <w:rsid w:val="002E2C1B"/>
    <w:rsid w:val="002E6352"/>
    <w:rsid w:val="00305A71"/>
    <w:rsid w:val="003208B5"/>
    <w:rsid w:val="0033278A"/>
    <w:rsid w:val="00340502"/>
    <w:rsid w:val="003735E6"/>
    <w:rsid w:val="00390D74"/>
    <w:rsid w:val="003A3AB9"/>
    <w:rsid w:val="003D6544"/>
    <w:rsid w:val="003E3905"/>
    <w:rsid w:val="00402796"/>
    <w:rsid w:val="00405F32"/>
    <w:rsid w:val="00411668"/>
    <w:rsid w:val="00427B17"/>
    <w:rsid w:val="0044456A"/>
    <w:rsid w:val="00484092"/>
    <w:rsid w:val="004A4F5C"/>
    <w:rsid w:val="004B4470"/>
    <w:rsid w:val="004C2CCE"/>
    <w:rsid w:val="004C4C0C"/>
    <w:rsid w:val="00511CA2"/>
    <w:rsid w:val="00521332"/>
    <w:rsid w:val="005230F8"/>
    <w:rsid w:val="00535FA4"/>
    <w:rsid w:val="005C79AB"/>
    <w:rsid w:val="005D35F7"/>
    <w:rsid w:val="006040CF"/>
    <w:rsid w:val="00640A44"/>
    <w:rsid w:val="00666A33"/>
    <w:rsid w:val="006B2A0C"/>
    <w:rsid w:val="00704CD8"/>
    <w:rsid w:val="007511E6"/>
    <w:rsid w:val="0075610B"/>
    <w:rsid w:val="00780634"/>
    <w:rsid w:val="007869BB"/>
    <w:rsid w:val="007B7B62"/>
    <w:rsid w:val="007C466C"/>
    <w:rsid w:val="007C605A"/>
    <w:rsid w:val="007C64AD"/>
    <w:rsid w:val="008060B3"/>
    <w:rsid w:val="00815260"/>
    <w:rsid w:val="00825F1E"/>
    <w:rsid w:val="00847708"/>
    <w:rsid w:val="008511F7"/>
    <w:rsid w:val="00886347"/>
    <w:rsid w:val="00892DAF"/>
    <w:rsid w:val="0089632F"/>
    <w:rsid w:val="00897522"/>
    <w:rsid w:val="008B5F53"/>
    <w:rsid w:val="008D49D8"/>
    <w:rsid w:val="008F0BA7"/>
    <w:rsid w:val="00967F4E"/>
    <w:rsid w:val="00983384"/>
    <w:rsid w:val="009A2378"/>
    <w:rsid w:val="009D2F13"/>
    <w:rsid w:val="009E27F8"/>
    <w:rsid w:val="00A43EE3"/>
    <w:rsid w:val="00A55C7E"/>
    <w:rsid w:val="00A55EED"/>
    <w:rsid w:val="00A8021B"/>
    <w:rsid w:val="00AB2A06"/>
    <w:rsid w:val="00AB7468"/>
    <w:rsid w:val="00AD31D4"/>
    <w:rsid w:val="00AD65F9"/>
    <w:rsid w:val="00B04752"/>
    <w:rsid w:val="00B55370"/>
    <w:rsid w:val="00BC5071"/>
    <w:rsid w:val="00C55B9B"/>
    <w:rsid w:val="00CC4CC2"/>
    <w:rsid w:val="00CD4AEF"/>
    <w:rsid w:val="00CE5F59"/>
    <w:rsid w:val="00D239FC"/>
    <w:rsid w:val="00D422DE"/>
    <w:rsid w:val="00D4591E"/>
    <w:rsid w:val="00D5335C"/>
    <w:rsid w:val="00DB7D0C"/>
    <w:rsid w:val="00E03E31"/>
    <w:rsid w:val="00E35FD9"/>
    <w:rsid w:val="00EC3023"/>
    <w:rsid w:val="00F60641"/>
    <w:rsid w:val="00F81096"/>
    <w:rsid w:val="00F847EF"/>
    <w:rsid w:val="00F84E7E"/>
    <w:rsid w:val="00FB4BE4"/>
    <w:rsid w:val="00FB5A81"/>
    <w:rsid w:val="00FD4826"/>
    <w:rsid w:val="00FE01F9"/>
    <w:rsid w:val="00FF5B3F"/>
    <w:rsid w:val="04DA1100"/>
    <w:rsid w:val="39231196"/>
    <w:rsid w:val="484F5510"/>
    <w:rsid w:val="66E73BA6"/>
    <w:rsid w:val="72E277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qFormat/>
    <w:uiPriority w:val="0"/>
    <w:pPr>
      <w:spacing w:line="360" w:lineRule="auto"/>
    </w:pPr>
    <w:rPr>
      <w:rFonts w:ascii="宋体" w:hAnsi="宋体"/>
      <w:bCs/>
      <w:sz w:val="24"/>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10">
    <w:name w:val="纯文本 字符"/>
    <w:basedOn w:val="6"/>
    <w:link w:val="2"/>
    <w:autoRedefine/>
    <w:qFormat/>
    <w:uiPriority w:val="0"/>
    <w:rPr>
      <w:rFonts w:ascii="宋体" w:hAnsi="宋体" w:eastAsia="宋体" w:cs="Times New Roman"/>
      <w:bCs/>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756</Words>
  <Characters>816</Characters>
  <Lines>66</Lines>
  <Paragraphs>59</Paragraphs>
  <TotalTime>6</TotalTime>
  <ScaleCrop>false</ScaleCrop>
  <LinksUpToDate>false</LinksUpToDate>
  <CharactersWithSpaces>940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2024-11-14T08:16:00Z</dcterms:created>
  <dc:creator>zhou</dc:creator>
  <cp:lastModifiedBy>Claire</cp:lastModifiedBy>
  <dcterms:modified xsi:type="dcterms:W3CDTF">2025-11-14T07:11:15Z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41B35E4651E440E4BFF4815BED39233C_13</vt:lpwstr>
  </property>
  <property fmtid="{D5CDD505-2E9C-101B-9397-08002B2CF9AE}" pid="4" name="KSOTemplateDocerSaveRecord">
    <vt:lpwstr>eyJoZGlkIjoiZjg1ZmQ2OTgzMzJmNDU5YzdlYWU3ZjU1YzQwMjFmZTYiLCJ1c2VySWQiOiIzOTg4MTcyMzQifQ==</vt:lpwstr>
  </property>
</Properties>
</file>