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9340D3">
      <w:pPr>
        <w:spacing w:before="156" w:beforeLines="50" w:after="156" w:afterLines="50" w:line="400" w:lineRule="exact"/>
        <w:jc w:val="center"/>
        <w:rPr>
          <w:rStyle w:val="6"/>
          <w:b/>
          <w:color w:val="000000" w:themeColor="text1"/>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证券代码：</w:t>
      </w:r>
      <w:r>
        <w:rPr>
          <w:b/>
          <w:iCs/>
          <w:color w:val="000000" w:themeColor="text1"/>
          <w:sz w:val="24"/>
          <w:highlight w:val="none"/>
          <w14:textFill>
            <w14:solidFill>
              <w14:schemeClr w14:val="tx1"/>
            </w14:solidFill>
          </w14:textFill>
        </w:rPr>
        <w:t>688026</w:t>
      </w:r>
      <w:r>
        <w:rPr>
          <w:rFonts w:hint="eastAsia"/>
          <w:b/>
          <w:iCs/>
          <w:color w:val="000000" w:themeColor="text1"/>
          <w:sz w:val="24"/>
          <w:highlight w:val="none"/>
          <w14:textFill>
            <w14:solidFill>
              <w14:schemeClr w14:val="tx1"/>
            </w14:solidFill>
          </w14:textFill>
        </w:rPr>
        <w:t xml:space="preserve"> </w:t>
      </w:r>
      <w:r>
        <w:rPr>
          <w:rFonts w:hint="eastAsia" w:ascii="宋体" w:hAnsi="宋体"/>
          <w:b/>
          <w:iCs/>
          <w:color w:val="000000" w:themeColor="text1"/>
          <w:sz w:val="24"/>
          <w:highlight w:val="none"/>
          <w14:textFill>
            <w14:solidFill>
              <w14:schemeClr w14:val="tx1"/>
            </w14:solidFill>
          </w14:textFill>
        </w:rPr>
        <w:t xml:space="preserve">                 证券简称：洁特生物</w:t>
      </w:r>
    </w:p>
    <w:p w14:paraId="129340D4">
      <w:pPr>
        <w:spacing w:before="156" w:beforeLines="50" w:after="156" w:afterLines="50" w:line="400" w:lineRule="exact"/>
        <w:jc w:val="center"/>
        <w:rPr>
          <w:rStyle w:val="6"/>
          <w:b/>
          <w:color w:val="000000" w:themeColor="text1"/>
          <w:highlight w:val="none"/>
          <w14:textFill>
            <w14:solidFill>
              <w14:schemeClr w14:val="tx1"/>
            </w14:solidFill>
          </w14:textFill>
        </w:rPr>
      </w:pPr>
      <w:r>
        <w:rPr>
          <w:rFonts w:hint="eastAsia" w:ascii="宋体" w:hAnsi="宋体"/>
          <w:b/>
          <w:iCs/>
          <w:color w:val="000000" w:themeColor="text1"/>
          <w:sz w:val="24"/>
          <w:highlight w:val="none"/>
          <w14:textFill>
            <w14:solidFill>
              <w14:schemeClr w14:val="tx1"/>
            </w14:solidFill>
          </w14:textFill>
        </w:rPr>
        <w:t>转债代码：</w:t>
      </w:r>
      <w:r>
        <w:rPr>
          <w:b/>
          <w:iCs/>
          <w:color w:val="000000" w:themeColor="text1"/>
          <w:sz w:val="24"/>
          <w:highlight w:val="none"/>
          <w14:textFill>
            <w14:solidFill>
              <w14:schemeClr w14:val="tx1"/>
            </w14:solidFill>
          </w14:textFill>
        </w:rPr>
        <w:t>118010</w:t>
      </w:r>
      <w:r>
        <w:rPr>
          <w:rFonts w:hint="eastAsia"/>
          <w:b/>
          <w:iCs/>
          <w:color w:val="000000" w:themeColor="text1"/>
          <w:sz w:val="24"/>
          <w:highlight w:val="none"/>
          <w14:textFill>
            <w14:solidFill>
              <w14:schemeClr w14:val="tx1"/>
            </w14:solidFill>
          </w14:textFill>
        </w:rPr>
        <w:t xml:space="preserve"> </w:t>
      </w:r>
      <w:r>
        <w:rPr>
          <w:rFonts w:hint="eastAsia" w:ascii="宋体" w:hAnsi="宋体"/>
          <w:b/>
          <w:iCs/>
          <w:color w:val="000000" w:themeColor="text1"/>
          <w:sz w:val="24"/>
          <w:highlight w:val="none"/>
          <w14:textFill>
            <w14:solidFill>
              <w14:schemeClr w14:val="tx1"/>
            </w14:solidFill>
          </w14:textFill>
        </w:rPr>
        <w:t xml:space="preserve">                 转债简称：洁特转债</w:t>
      </w:r>
    </w:p>
    <w:p w14:paraId="129340D5">
      <w:pPr>
        <w:spacing w:before="156" w:beforeLines="50" w:after="156" w:afterLines="50" w:line="400" w:lineRule="exact"/>
        <w:ind w:firstLine="840" w:firstLineChars="400"/>
        <w:rPr>
          <w:rFonts w:hint="eastAsia" w:ascii="宋体" w:hAnsi="宋体"/>
          <w:bCs/>
          <w:color w:val="000000" w:themeColor="text1"/>
          <w:szCs w:val="21"/>
          <w:highlight w:val="none"/>
          <w14:textFill>
            <w14:solidFill>
              <w14:schemeClr w14:val="tx1"/>
            </w14:solidFill>
          </w14:textFill>
        </w:rPr>
      </w:pPr>
    </w:p>
    <w:p w14:paraId="129340D6">
      <w:pPr>
        <w:spacing w:before="156" w:beforeLines="50" w:after="156" w:afterLines="50" w:line="400" w:lineRule="exact"/>
        <w:jc w:val="center"/>
        <w:rPr>
          <w:rFonts w:hint="eastAsia" w:ascii="宋体" w:hAnsi="宋体"/>
          <w:b/>
          <w:bCs/>
          <w:iCs/>
          <w:color w:val="000000" w:themeColor="text1"/>
          <w:sz w:val="32"/>
          <w:szCs w:val="32"/>
          <w:highlight w:val="none"/>
          <w14:textFill>
            <w14:solidFill>
              <w14:schemeClr w14:val="tx1"/>
            </w14:solidFill>
          </w14:textFill>
        </w:rPr>
      </w:pPr>
      <w:r>
        <w:rPr>
          <w:rFonts w:hint="eastAsia" w:ascii="宋体" w:hAnsi="宋体"/>
          <w:b/>
          <w:bCs/>
          <w:iCs/>
          <w:color w:val="000000" w:themeColor="text1"/>
          <w:sz w:val="32"/>
          <w:szCs w:val="32"/>
          <w:highlight w:val="none"/>
          <w14:textFill>
            <w14:solidFill>
              <w14:schemeClr w14:val="tx1"/>
            </w14:solidFill>
          </w14:textFill>
        </w:rPr>
        <w:t>广州洁特生物过滤股份有限公司</w:t>
      </w:r>
    </w:p>
    <w:p w14:paraId="129340D7">
      <w:pPr>
        <w:spacing w:before="156" w:beforeLines="50" w:after="156" w:afterLines="50" w:line="400" w:lineRule="exact"/>
        <w:jc w:val="center"/>
        <w:rPr>
          <w:rFonts w:hint="eastAsia" w:ascii="宋体" w:hAnsi="宋体"/>
          <w:b/>
          <w:bCs/>
          <w:iCs/>
          <w:color w:val="000000" w:themeColor="text1"/>
          <w:sz w:val="32"/>
          <w:szCs w:val="32"/>
          <w:highlight w:val="none"/>
          <w14:textFill>
            <w14:solidFill>
              <w14:schemeClr w14:val="tx1"/>
            </w14:solidFill>
          </w14:textFill>
        </w:rPr>
      </w:pPr>
      <w:r>
        <w:rPr>
          <w:rFonts w:hint="eastAsia" w:ascii="宋体" w:hAnsi="宋体"/>
          <w:b/>
          <w:bCs/>
          <w:iCs/>
          <w:color w:val="000000" w:themeColor="text1"/>
          <w:sz w:val="32"/>
          <w:szCs w:val="32"/>
          <w:highlight w:val="none"/>
          <w14:textFill>
            <w14:solidFill>
              <w14:schemeClr w14:val="tx1"/>
            </w14:solidFill>
          </w14:textFill>
        </w:rPr>
        <w:t>投资者关</w:t>
      </w:r>
      <w:bookmarkStart w:id="0" w:name="_GoBack"/>
      <w:bookmarkEnd w:id="0"/>
      <w:r>
        <w:rPr>
          <w:rFonts w:hint="eastAsia" w:ascii="宋体" w:hAnsi="宋体"/>
          <w:b/>
          <w:bCs/>
          <w:iCs/>
          <w:color w:val="000000" w:themeColor="text1"/>
          <w:sz w:val="32"/>
          <w:szCs w:val="32"/>
          <w:highlight w:val="none"/>
          <w14:textFill>
            <w14:solidFill>
              <w14:schemeClr w14:val="tx1"/>
            </w14:solidFill>
          </w14:textFill>
        </w:rPr>
        <w:t>系活动记录表</w:t>
      </w:r>
    </w:p>
    <w:p w14:paraId="129340D8">
      <w:pPr>
        <w:spacing w:line="400" w:lineRule="exact"/>
        <w:jc w:val="right"/>
        <w:rPr>
          <w:rFonts w:hint="eastAsia" w:ascii="宋体" w:hAnsi="宋体"/>
          <w:bCs/>
          <w:iCs/>
          <w:color w:val="000000" w:themeColor="text1"/>
          <w:sz w:val="24"/>
          <w:highlight w:val="none"/>
          <w14:textFill>
            <w14:solidFill>
              <w14:schemeClr w14:val="tx1"/>
            </w14:solidFill>
          </w14:textFill>
        </w:rPr>
      </w:pPr>
      <w:r>
        <w:rPr>
          <w:rFonts w:hint="eastAsia" w:ascii="宋体" w:hAnsi="宋体"/>
          <w:bCs/>
          <w:iCs/>
          <w:color w:val="000000" w:themeColor="text1"/>
          <w:sz w:val="24"/>
          <w:highlight w:val="none"/>
          <w14:textFill>
            <w14:solidFill>
              <w14:schemeClr w14:val="tx1"/>
            </w14:solidFill>
          </w14:textFill>
        </w:rPr>
        <w:t xml:space="preserve">                                                  </w:t>
      </w:r>
    </w:p>
    <w:tbl>
      <w:tblPr>
        <w:tblStyle w:val="4"/>
        <w:tblW w:w="505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2"/>
        <w:gridCol w:w="6580"/>
      </w:tblGrid>
      <w:tr w14:paraId="12934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D9">
            <w:pPr>
              <w:spacing w:line="480" w:lineRule="atLeast"/>
              <w:rPr>
                <w:rFonts w:hint="eastAsia" w:ascii="宋体" w:hAnsi="宋体"/>
                <w:b/>
                <w:bCs/>
                <w:iCs/>
                <w:color w:val="000000" w:themeColor="text1"/>
                <w:sz w:val="24"/>
                <w:highlight w:val="none"/>
                <w14:textFill>
                  <w14:solidFill>
                    <w14:schemeClr w14:val="tx1"/>
                  </w14:solidFill>
                </w14:textFill>
              </w:rPr>
            </w:pPr>
            <w:r>
              <w:rPr>
                <w:rFonts w:hint="eastAsia" w:ascii="宋体" w:hAnsi="宋体"/>
                <w:b/>
                <w:bCs/>
                <w:iCs/>
                <w:color w:val="000000" w:themeColor="text1"/>
                <w:sz w:val="24"/>
                <w:highlight w:val="none"/>
                <w14:textFill>
                  <w14:solidFill>
                    <w14:schemeClr w14:val="tx1"/>
                  </w14:solidFill>
                </w14:textFill>
              </w:rPr>
              <w:t>投资者关系活动类别</w:t>
            </w:r>
          </w:p>
        </w:tc>
        <w:tc>
          <w:tcPr>
            <w:tcW w:w="3820" w:type="pct"/>
            <w:tcBorders>
              <w:top w:val="single" w:color="auto" w:sz="4" w:space="0"/>
              <w:left w:val="single" w:color="auto" w:sz="4" w:space="0"/>
              <w:bottom w:val="single" w:color="auto" w:sz="4" w:space="0"/>
              <w:right w:val="single" w:color="auto" w:sz="4" w:space="0"/>
            </w:tcBorders>
          </w:tcPr>
          <w:p w14:paraId="129340DA">
            <w:pPr>
              <w:spacing w:line="480" w:lineRule="atLeast"/>
              <w:rPr>
                <w:rFonts w:hint="eastAsia" w:ascii="宋体" w:hAnsi="宋体"/>
                <w:bCs/>
                <w:iCs/>
                <w:color w:val="000000" w:themeColor="text1"/>
                <w:szCs w:val="21"/>
                <w:highlight w:val="none"/>
                <w14:textFill>
                  <w14:solidFill>
                    <w14:schemeClr w14:val="tx1"/>
                  </w14:solidFill>
                </w14:textFill>
              </w:rPr>
            </w:pP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特定对象调研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分析师会议 </w:t>
            </w:r>
            <w:r>
              <w:rPr>
                <w:rFonts w:ascii="宋体" w:hAnsi="宋体"/>
                <w:color w:val="000000" w:themeColor="text1"/>
                <w:szCs w:val="21"/>
                <w:highlight w:val="none"/>
                <w14:textFill>
                  <w14:solidFill>
                    <w14:schemeClr w14:val="tx1"/>
                  </w14:solidFill>
                </w14:textFill>
              </w:rPr>
              <w:t xml:space="preserve">         </w:t>
            </w: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新闻发布会</w:t>
            </w:r>
          </w:p>
          <w:p w14:paraId="129340DB">
            <w:pPr>
              <w:spacing w:line="480" w:lineRule="atLeast"/>
              <w:rPr>
                <w:rFonts w:hint="eastAsia" w:ascii="宋体" w:hAnsi="宋体"/>
                <w:bCs/>
                <w:iCs/>
                <w:color w:val="000000" w:themeColor="text1"/>
                <w:szCs w:val="21"/>
                <w:highlight w:val="none"/>
                <w14:textFill>
                  <w14:solidFill>
                    <w14:schemeClr w14:val="tx1"/>
                  </w14:solidFill>
                </w14:textFill>
              </w:rPr>
            </w:pP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 xml:space="preserve">媒体采访    </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 xml:space="preserve">       </w:t>
            </w:r>
            <w:r>
              <w:rPr>
                <w:rFonts w:hint="eastAsia" w:ascii="宋体" w:hAnsi="宋体" w:cs="宋体"/>
                <w:color w:val="000000" w:themeColor="text1"/>
                <w:szCs w:val="21"/>
                <w:highlight w:val="none"/>
                <w14:textFill>
                  <w14:solidFill>
                    <w14:schemeClr w14:val="tx1"/>
                  </w14:solidFill>
                </w14:textFill>
              </w:rPr>
              <w:sym w:font="Wingdings 2" w:char="00A3"/>
            </w:r>
            <w:r>
              <w:rPr>
                <w:rFonts w:hint="eastAsia" w:ascii="宋体" w:hAnsi="宋体"/>
                <w:color w:val="000000" w:themeColor="text1"/>
                <w:szCs w:val="21"/>
                <w:highlight w:val="none"/>
                <w14:textFill>
                  <w14:solidFill>
                    <w14:schemeClr w14:val="tx1"/>
                  </w14:solidFill>
                </w14:textFill>
              </w:rPr>
              <w:t xml:space="preserve">业绩说明会 </w:t>
            </w:r>
            <w:r>
              <w:rPr>
                <w:rFonts w:ascii="宋体" w:hAnsi="宋体"/>
                <w:color w:val="000000" w:themeColor="text1"/>
                <w:szCs w:val="21"/>
                <w:highlight w:val="none"/>
                <w14:textFill>
                  <w14:solidFill>
                    <w14:schemeClr w14:val="tx1"/>
                  </w14:solidFill>
                </w14:textFill>
              </w:rPr>
              <w:t xml:space="preserve">         </w:t>
            </w: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路演活动</w:t>
            </w:r>
          </w:p>
          <w:p w14:paraId="129340DC">
            <w:pPr>
              <w:tabs>
                <w:tab w:val="left" w:pos="3045"/>
                <w:tab w:val="center" w:pos="3199"/>
              </w:tabs>
              <w:spacing w:line="480" w:lineRule="atLeast"/>
              <w:rPr>
                <w:rFonts w:hint="eastAsia" w:ascii="宋体" w:hAnsi="宋体"/>
                <w:bCs/>
                <w:iCs/>
                <w:color w:val="000000" w:themeColor="text1"/>
                <w:szCs w:val="21"/>
                <w:highlight w:val="none"/>
                <w:u w:val="single"/>
                <w14:textFill>
                  <w14:solidFill>
                    <w14:schemeClr w14:val="tx1"/>
                  </w14:solidFill>
                </w14:textFill>
              </w:rPr>
            </w:pP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现场参观</w:t>
            </w:r>
            <w:r>
              <w:rPr>
                <w:rFonts w:hint="eastAsia" w:ascii="宋体" w:hAnsi="宋体"/>
                <w:bCs/>
                <w:iCs/>
                <w:color w:val="000000" w:themeColor="text1"/>
                <w:szCs w:val="21"/>
                <w:highlight w:val="none"/>
                <w14:textFill>
                  <w14:solidFill>
                    <w14:schemeClr w14:val="tx1"/>
                  </w14:solidFill>
                </w14:textFill>
              </w:rPr>
              <w:t xml:space="preserve"> </w:t>
            </w:r>
            <w:r>
              <w:rPr>
                <w:rFonts w:ascii="宋体" w:hAnsi="宋体"/>
                <w:bCs/>
                <w:iCs/>
                <w:color w:val="000000" w:themeColor="text1"/>
                <w:szCs w:val="21"/>
                <w:highlight w:val="none"/>
                <w14:textFill>
                  <w14:solidFill>
                    <w14:schemeClr w14:val="tx1"/>
                  </w14:solidFill>
                </w14:textFill>
              </w:rPr>
              <w:t xml:space="preserve">           </w:t>
            </w:r>
            <w:r>
              <w:rPr>
                <w:rFonts w:hint="eastAsia" w:ascii="宋体" w:hAnsi="宋体"/>
                <w:bCs/>
                <w:i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其他</w:t>
            </w:r>
          </w:p>
        </w:tc>
      </w:tr>
      <w:tr w14:paraId="12934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DE">
            <w:pPr>
              <w:spacing w:line="480" w:lineRule="atLeast"/>
              <w:rPr>
                <w:rFonts w:hint="eastAsia" w:ascii="宋体" w:hAnsi="宋体"/>
                <w:b/>
                <w:bCs/>
                <w:iCs/>
                <w:color w:val="000000" w:themeColor="text1"/>
                <w:sz w:val="24"/>
                <w:highlight w:val="none"/>
                <w14:textFill>
                  <w14:solidFill>
                    <w14:schemeClr w14:val="tx1"/>
                  </w14:solidFill>
                </w14:textFill>
              </w:rPr>
            </w:pPr>
            <w:r>
              <w:rPr>
                <w:rFonts w:hint="eastAsia" w:ascii="宋体" w:hAnsi="宋体"/>
                <w:b/>
                <w:bCs/>
                <w:iCs/>
                <w:color w:val="000000" w:themeColor="text1"/>
                <w:sz w:val="24"/>
                <w:highlight w:val="none"/>
                <w14:textFill>
                  <w14:solidFill>
                    <w14:schemeClr w14:val="tx1"/>
                  </w14:solidFill>
                </w14:textFill>
              </w:rPr>
              <w:t>参与单位名称</w:t>
            </w:r>
          </w:p>
        </w:tc>
        <w:tc>
          <w:tcPr>
            <w:tcW w:w="3820" w:type="pct"/>
            <w:tcBorders>
              <w:top w:val="single" w:color="auto" w:sz="4" w:space="0"/>
              <w:left w:val="single" w:color="auto" w:sz="4" w:space="0"/>
              <w:bottom w:val="single" w:color="auto" w:sz="4" w:space="0"/>
              <w:right w:val="single" w:color="auto" w:sz="4" w:space="0"/>
            </w:tcBorders>
          </w:tcPr>
          <w:p w14:paraId="129340DF">
            <w:pPr>
              <w:spacing w:line="480" w:lineRule="atLeast"/>
              <w:rPr>
                <w:bCs/>
                <w:iCs/>
                <w:color w:val="000000" w:themeColor="text1"/>
                <w:szCs w:val="21"/>
                <w:highlight w:val="none"/>
                <w14:textFill>
                  <w14:solidFill>
                    <w14:schemeClr w14:val="tx1"/>
                  </w14:solidFill>
                </w14:textFill>
              </w:rPr>
            </w:pPr>
            <w:r>
              <w:rPr>
                <w:rFonts w:hint="eastAsia"/>
                <w:bCs/>
                <w:iCs/>
                <w:color w:val="000000" w:themeColor="text1"/>
                <w:szCs w:val="21"/>
                <w:highlight w:val="none"/>
                <w14:textFill>
                  <w14:solidFill>
                    <w14:schemeClr w14:val="tx1"/>
                  </w14:solidFill>
                </w14:textFill>
              </w:rPr>
              <w:t>中信建投证券</w:t>
            </w:r>
          </w:p>
        </w:tc>
      </w:tr>
      <w:tr w14:paraId="12934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E1">
            <w:pPr>
              <w:spacing w:line="480" w:lineRule="atLeast"/>
              <w:rPr>
                <w:rFonts w:hint="eastAsia" w:ascii="宋体" w:hAnsi="宋体"/>
                <w:b/>
                <w:bCs/>
                <w:iCs/>
                <w:color w:val="000000" w:themeColor="text1"/>
                <w:sz w:val="24"/>
                <w:highlight w:val="none"/>
                <w14:textFill>
                  <w14:solidFill>
                    <w14:schemeClr w14:val="tx1"/>
                  </w14:solidFill>
                </w14:textFill>
              </w:rPr>
            </w:pPr>
            <w:r>
              <w:rPr>
                <w:rFonts w:hint="eastAsia" w:ascii="宋体" w:hAnsi="宋体"/>
                <w:b/>
                <w:bCs/>
                <w:iCs/>
                <w:color w:val="000000" w:themeColor="text1"/>
                <w:sz w:val="24"/>
                <w:highlight w:val="none"/>
                <w14:textFill>
                  <w14:solidFill>
                    <w14:schemeClr w14:val="tx1"/>
                  </w14:solidFill>
                </w14:textFill>
              </w:rPr>
              <w:t>时间</w:t>
            </w:r>
          </w:p>
        </w:tc>
        <w:tc>
          <w:tcPr>
            <w:tcW w:w="3820" w:type="pct"/>
            <w:tcBorders>
              <w:top w:val="single" w:color="auto" w:sz="4" w:space="0"/>
              <w:left w:val="single" w:color="auto" w:sz="4" w:space="0"/>
              <w:bottom w:val="single" w:color="auto" w:sz="4" w:space="0"/>
              <w:right w:val="single" w:color="auto" w:sz="4" w:space="0"/>
            </w:tcBorders>
          </w:tcPr>
          <w:p w14:paraId="129340E2">
            <w:pPr>
              <w:spacing w:line="480" w:lineRule="atLeast"/>
              <w:rPr>
                <w:bCs/>
                <w:iCs/>
                <w:color w:val="000000" w:themeColor="text1"/>
                <w:szCs w:val="21"/>
                <w:highlight w:val="none"/>
                <w14:textFill>
                  <w14:solidFill>
                    <w14:schemeClr w14:val="tx1"/>
                  </w14:solidFill>
                </w14:textFill>
              </w:rPr>
            </w:pPr>
            <w:r>
              <w:rPr>
                <w:rFonts w:hint="eastAsia"/>
                <w:bCs/>
                <w:iCs/>
                <w:color w:val="000000" w:themeColor="text1"/>
                <w:szCs w:val="21"/>
                <w:highlight w:val="none"/>
                <w14:textFill>
                  <w14:solidFill>
                    <w14:schemeClr w14:val="tx1"/>
                  </w14:solidFill>
                </w14:textFill>
              </w:rPr>
              <w:t>2</w:t>
            </w:r>
            <w:r>
              <w:rPr>
                <w:bCs/>
                <w:iCs/>
                <w:color w:val="000000" w:themeColor="text1"/>
                <w:szCs w:val="21"/>
                <w:highlight w:val="none"/>
                <w14:textFill>
                  <w14:solidFill>
                    <w14:schemeClr w14:val="tx1"/>
                  </w14:solidFill>
                </w14:textFill>
              </w:rPr>
              <w:t>02</w:t>
            </w:r>
            <w:r>
              <w:rPr>
                <w:rFonts w:hint="eastAsia"/>
                <w:bCs/>
                <w:iCs/>
                <w:color w:val="000000" w:themeColor="text1"/>
                <w:szCs w:val="21"/>
                <w:highlight w:val="none"/>
                <w14:textFill>
                  <w14:solidFill>
                    <w14:schemeClr w14:val="tx1"/>
                  </w14:solidFill>
                </w14:textFill>
              </w:rPr>
              <w:t>5年11</w:t>
            </w:r>
            <w:r>
              <w:rPr>
                <w:bCs/>
                <w:iCs/>
                <w:color w:val="000000" w:themeColor="text1"/>
                <w:szCs w:val="21"/>
                <w:highlight w:val="none"/>
                <w14:textFill>
                  <w14:solidFill>
                    <w14:schemeClr w14:val="tx1"/>
                  </w14:solidFill>
                </w14:textFill>
              </w:rPr>
              <w:t>月</w:t>
            </w:r>
            <w:r>
              <w:rPr>
                <w:rFonts w:hint="eastAsia"/>
                <w:bCs/>
                <w:iCs/>
                <w:color w:val="000000" w:themeColor="text1"/>
                <w:szCs w:val="21"/>
                <w:highlight w:val="none"/>
                <w14:textFill>
                  <w14:solidFill>
                    <w14:schemeClr w14:val="tx1"/>
                  </w14:solidFill>
                </w14:textFill>
              </w:rPr>
              <w:t>14日</w:t>
            </w:r>
            <w:r>
              <w:rPr>
                <w:rFonts w:hint="eastAsia"/>
                <w:bCs/>
                <w:iCs/>
                <w:color w:val="000000" w:themeColor="text1"/>
                <w:szCs w:val="21"/>
                <w:highlight w:val="none"/>
                <w14:textFill>
                  <w14:solidFill>
                    <w14:schemeClr w14:val="tx1"/>
                  </w14:solidFill>
                </w14:textFill>
              </w:rPr>
              <w:t>15</w:t>
            </w:r>
            <w:r>
              <w:rPr>
                <w:bCs/>
                <w:iCs/>
                <w:color w:val="000000" w:themeColor="text1"/>
                <w:szCs w:val="21"/>
                <w:highlight w:val="none"/>
                <w14:textFill>
                  <w14:solidFill>
                    <w14:schemeClr w14:val="tx1"/>
                  </w14:solidFill>
                </w14:textFill>
              </w:rPr>
              <w:t>:00-</w:t>
            </w:r>
            <w:r>
              <w:rPr>
                <w:rFonts w:hint="eastAsia"/>
                <w:bCs/>
                <w:iCs/>
                <w:color w:val="000000" w:themeColor="text1"/>
                <w:szCs w:val="21"/>
                <w:highlight w:val="none"/>
                <w14:textFill>
                  <w14:solidFill>
                    <w14:schemeClr w14:val="tx1"/>
                  </w14:solidFill>
                </w14:textFill>
              </w:rPr>
              <w:t>16</w:t>
            </w:r>
            <w:r>
              <w:rPr>
                <w:bCs/>
                <w:iCs/>
                <w:color w:val="000000" w:themeColor="text1"/>
                <w:szCs w:val="21"/>
                <w:highlight w:val="none"/>
                <w14:textFill>
                  <w14:solidFill>
                    <w14:schemeClr w14:val="tx1"/>
                  </w14:solidFill>
                </w14:textFill>
              </w:rPr>
              <w:t>:00</w:t>
            </w:r>
          </w:p>
        </w:tc>
      </w:tr>
      <w:tr w14:paraId="12934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E4">
            <w:pPr>
              <w:spacing w:line="480" w:lineRule="atLeast"/>
              <w:rPr>
                <w:b/>
                <w:bCs/>
                <w:iCs/>
                <w:color w:val="000000" w:themeColor="text1"/>
                <w:sz w:val="24"/>
                <w:highlight w:val="none"/>
                <w14:textFill>
                  <w14:solidFill>
                    <w14:schemeClr w14:val="tx1"/>
                  </w14:solidFill>
                </w14:textFill>
              </w:rPr>
            </w:pPr>
            <w:r>
              <w:rPr>
                <w:b/>
                <w:bCs/>
                <w:iCs/>
                <w:color w:val="000000" w:themeColor="text1"/>
                <w:sz w:val="24"/>
                <w:highlight w:val="none"/>
                <w14:textFill>
                  <w14:solidFill>
                    <w14:schemeClr w14:val="tx1"/>
                  </w14:solidFill>
                </w14:textFill>
              </w:rPr>
              <w:t>地点</w:t>
            </w:r>
          </w:p>
        </w:tc>
        <w:tc>
          <w:tcPr>
            <w:tcW w:w="3820" w:type="pct"/>
            <w:tcBorders>
              <w:top w:val="single" w:color="auto" w:sz="4" w:space="0"/>
              <w:left w:val="single" w:color="auto" w:sz="4" w:space="0"/>
              <w:bottom w:val="single" w:color="auto" w:sz="4" w:space="0"/>
              <w:right w:val="single" w:color="auto" w:sz="4" w:space="0"/>
            </w:tcBorders>
          </w:tcPr>
          <w:p w14:paraId="129340E5">
            <w:pPr>
              <w:spacing w:line="480" w:lineRule="atLeast"/>
              <w:rPr>
                <w:bCs/>
                <w:iCs/>
                <w:color w:val="000000" w:themeColor="text1"/>
                <w:szCs w:val="21"/>
                <w:highlight w:val="none"/>
                <w14:textFill>
                  <w14:solidFill>
                    <w14:schemeClr w14:val="tx1"/>
                  </w14:solidFill>
                </w14:textFill>
              </w:rPr>
            </w:pPr>
            <w:r>
              <w:rPr>
                <w:rFonts w:hint="eastAsia"/>
                <w:bCs/>
                <w:iCs/>
                <w:color w:val="000000" w:themeColor="text1"/>
                <w:szCs w:val="21"/>
                <w:highlight w:val="none"/>
                <w14:textFill>
                  <w14:solidFill>
                    <w14:schemeClr w14:val="tx1"/>
                  </w14:solidFill>
                </w14:textFill>
              </w:rPr>
              <w:t>线上交流</w:t>
            </w:r>
          </w:p>
        </w:tc>
      </w:tr>
      <w:tr w14:paraId="1293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E7">
            <w:pPr>
              <w:spacing w:line="480" w:lineRule="atLeast"/>
              <w:rPr>
                <w:b/>
                <w:bCs/>
                <w:iCs/>
                <w:color w:val="000000" w:themeColor="text1"/>
                <w:sz w:val="24"/>
                <w:highlight w:val="none"/>
                <w14:textFill>
                  <w14:solidFill>
                    <w14:schemeClr w14:val="tx1"/>
                  </w14:solidFill>
                </w14:textFill>
              </w:rPr>
            </w:pPr>
            <w:r>
              <w:rPr>
                <w:b/>
                <w:bCs/>
                <w:iCs/>
                <w:color w:val="000000" w:themeColor="text1"/>
                <w:sz w:val="24"/>
                <w:highlight w:val="none"/>
                <w14:textFill>
                  <w14:solidFill>
                    <w14:schemeClr w14:val="tx1"/>
                  </w14:solidFill>
                </w14:textFill>
              </w:rPr>
              <w:t>上市公司接待人</w:t>
            </w:r>
          </w:p>
        </w:tc>
        <w:tc>
          <w:tcPr>
            <w:tcW w:w="3820" w:type="pct"/>
            <w:tcBorders>
              <w:top w:val="single" w:color="auto" w:sz="4" w:space="0"/>
              <w:left w:val="single" w:color="auto" w:sz="4" w:space="0"/>
              <w:bottom w:val="single" w:color="auto" w:sz="4" w:space="0"/>
              <w:right w:val="single" w:color="auto" w:sz="4" w:space="0"/>
            </w:tcBorders>
          </w:tcPr>
          <w:p w14:paraId="129340E8">
            <w:pPr>
              <w:spacing w:line="480" w:lineRule="atLeast"/>
              <w:rPr>
                <w:bCs/>
                <w:iCs/>
                <w:color w:val="000000" w:themeColor="text1"/>
                <w:szCs w:val="21"/>
                <w:highlight w:val="none"/>
                <w14:textFill>
                  <w14:solidFill>
                    <w14:schemeClr w14:val="tx1"/>
                  </w14:solidFill>
                </w14:textFill>
              </w:rPr>
            </w:pPr>
            <w:r>
              <w:rPr>
                <w:rFonts w:hint="eastAsia"/>
                <w:bCs/>
                <w:iCs/>
                <w:color w:val="000000" w:themeColor="text1"/>
                <w:szCs w:val="21"/>
                <w:highlight w:val="none"/>
                <w14:textFill>
                  <w14:solidFill>
                    <w14:schemeClr w14:val="tx1"/>
                  </w14:solidFill>
                </w14:textFill>
              </w:rPr>
              <w:t>董事、总经理：Yuan Ye James；副总经理：何静；</w:t>
            </w:r>
          </w:p>
          <w:p w14:paraId="129340E9">
            <w:pPr>
              <w:spacing w:line="480" w:lineRule="atLeast"/>
              <w:rPr>
                <w:bCs/>
                <w:iCs/>
                <w:color w:val="000000" w:themeColor="text1"/>
                <w:szCs w:val="21"/>
                <w:highlight w:val="none"/>
                <w14:textFill>
                  <w14:solidFill>
                    <w14:schemeClr w14:val="tx1"/>
                  </w14:solidFill>
                </w14:textFill>
              </w:rPr>
            </w:pPr>
            <w:r>
              <w:rPr>
                <w:rFonts w:hint="eastAsia"/>
                <w:bCs/>
                <w:iCs/>
                <w:color w:val="000000" w:themeColor="text1"/>
                <w:szCs w:val="21"/>
                <w:highlight w:val="none"/>
                <w14:textFill>
                  <w14:solidFill>
                    <w14:schemeClr w14:val="tx1"/>
                  </w14:solidFill>
                </w14:textFill>
              </w:rPr>
              <w:t>财务总监：谢锋；海外销售总监：Jack；投资总监：鲍珉璋</w:t>
            </w:r>
          </w:p>
        </w:tc>
      </w:tr>
      <w:tr w14:paraId="12934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0EB">
            <w:pPr>
              <w:spacing w:line="480" w:lineRule="atLeast"/>
              <w:rPr>
                <w:rFonts w:hint="eastAsia" w:ascii="宋体" w:hAnsi="宋体"/>
                <w:b/>
                <w:bCs/>
                <w:iCs/>
                <w:color w:val="000000" w:themeColor="text1"/>
                <w:sz w:val="24"/>
                <w:highlight w:val="none"/>
                <w14:textFill>
                  <w14:solidFill>
                    <w14:schemeClr w14:val="tx1"/>
                  </w14:solidFill>
                </w14:textFill>
              </w:rPr>
            </w:pPr>
            <w:r>
              <w:rPr>
                <w:rFonts w:hint="eastAsia" w:ascii="宋体" w:hAnsi="宋体"/>
                <w:b/>
                <w:bCs/>
                <w:iCs/>
                <w:color w:val="000000" w:themeColor="text1"/>
                <w:sz w:val="24"/>
                <w:highlight w:val="none"/>
                <w14:textFill>
                  <w14:solidFill>
                    <w14:schemeClr w14:val="tx1"/>
                  </w14:solidFill>
                </w14:textFill>
              </w:rPr>
              <w:t>投资者关系活动主要内容介绍</w:t>
            </w:r>
          </w:p>
        </w:tc>
        <w:tc>
          <w:tcPr>
            <w:tcW w:w="3820" w:type="pct"/>
            <w:tcBorders>
              <w:top w:val="single" w:color="auto" w:sz="4" w:space="0"/>
              <w:left w:val="single" w:color="auto" w:sz="4" w:space="0"/>
              <w:bottom w:val="single" w:color="auto" w:sz="4" w:space="0"/>
              <w:right w:val="single" w:color="auto" w:sz="4" w:space="0"/>
            </w:tcBorders>
          </w:tcPr>
          <w:p w14:paraId="129340EC">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一、关税及海外市场相关问题</w:t>
            </w:r>
          </w:p>
          <w:p w14:paraId="129340ED">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w:t>
            </w:r>
            <w:r>
              <w:rPr>
                <w:rFonts w:ascii="宋体" w:hAnsi="宋体" w:cs="宋体"/>
                <w:b/>
                <w:bCs/>
                <w:szCs w:val="21"/>
                <w:highlight w:val="none"/>
                <w14:ligatures w14:val="standardContextual"/>
              </w:rPr>
              <w:t>1</w:t>
            </w:r>
            <w:r>
              <w:rPr>
                <w:rFonts w:hint="eastAsia" w:ascii="宋体" w:hAnsi="宋体" w:cs="宋体"/>
                <w:b/>
                <w:bCs/>
                <w:szCs w:val="21"/>
                <w:highlight w:val="none"/>
                <w14:ligatures w14:val="standardContextual"/>
              </w:rPr>
              <w:t>：公司前三季度海外各市场的收入占比及增速情况如何？</w:t>
            </w:r>
          </w:p>
          <w:p w14:paraId="129340EE">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今年前三季度中，公司海外销售合计2.40亿元，较去年同期减少了3.54%，其中美国市场收入1.28亿元，较去年同期减少了2.53%。</w:t>
            </w:r>
          </w:p>
          <w:p w14:paraId="129340EF">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问2：能否请公司复盘一下关税政策对我们过去一年的影响？</w:t>
            </w:r>
          </w:p>
          <w:p w14:paraId="129340F0">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今年年初自特朗普上台以来，威胁对我国征收的关税曾一度超过150%，当时确实对公司的海外业务造成了一定的冲击。此后，随着关税的征收被推迟，公司的部分海外客户为规避后续关税征收的不确定性，选择在上半年提前备货，从而导致了公司今年的业绩相对偏向集中于上半年。此后，中美双方的贸易摩擦不断，公司的主要海外客户出于供应安全性的考虑，确实存在部分客户寻找了其他供应商的情形，使得公司的部分海外业务订单被分流。</w:t>
            </w:r>
          </w:p>
          <w:p w14:paraId="129340F1">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问3：近期关税缓和之后，我们的产品关税水平是多少，和客户是怎么来商谈关税成本？</w:t>
            </w:r>
          </w:p>
          <w:p w14:paraId="129340F2">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目前，公司美国市场的平均关税为35.3%，待芬太尼关税取消的事项落地后，公司向美国市场的关税将下降到25.3%。目前，根据公司与主要客户的约定，公司与海外客户主要通过FOB进行结算，因此公司海外业务的关税完全由客户承担，但是公司同时会通过一些促销手段为海外客户缓解部分关税压力。</w:t>
            </w:r>
          </w:p>
          <w:p w14:paraId="129340F3">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问4：公司的ODM产品主要是哪些？</w:t>
            </w:r>
          </w:p>
          <w:p w14:paraId="129340F4">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公司的ODM产品主要是为海外的生物实验综合供应商贴牌生产的生物实验耗材类产品，主要包括细胞培养类、液体处理类等6种80多个品类。</w:t>
            </w:r>
          </w:p>
          <w:p w14:paraId="129340F5">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问5：在当前的关税背景下，美国客户是否有存在自己生产或者找中国以外客户的情况？未来公司对美国市场如何考虑？</w:t>
            </w:r>
          </w:p>
          <w:p w14:paraId="129340F6">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美国市场仍然是公司的海外市场。在当前环境下，公司研判认为中国与美国在生物实验耗材领域发生完全脱钩的可能性不大。虽然公司今年上半年受关税战的影响导致公司来自美国市场的业务受到一定的影响，但是随着目前贸易环境趋于稳定，公司的主要美国客户的订单量已经逐步恢复。在现行约35%的关税背景下，公司产品的价格较其他主要产地仍然具有一定的优势，在未来芬太尼关税取消后，公司产品价格的竞争力将得到进一步提高。</w:t>
            </w:r>
          </w:p>
          <w:p w14:paraId="129340F7">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但是，考虑到中美未来的贸易关系仍然存在着一定的不确定性，公司认为确实需要采取一定的应对措施。首先，公司希望通过收并购的方式，通过收购海外工厂或者销售渠道商，进一步开拓北美之外的海外市场，或者新增能够规避贸易摩擦的海外产地，从而对冲或减少贸易摩擦对公司美国市场业务的影响。目前，公司已经在积极的筛选和考察可行的潜在标的。</w:t>
            </w:r>
          </w:p>
          <w:p w14:paraId="129340F8">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另一方面，除了美国市场以外，公司留意到贸易战同样对海外品牌在中国的业务也有一定影响。近年来，国产替代在生物实验耗材领域内已经逐渐成为一种趋势，国产品牌的市场占有率在最近三年内快速提高；因此，在这一波国产替代的市场趋势中争取更高的国内市场份额也将是公司下一步的重要事项。今年前三季度，公司境内的销售收入达到了1.45亿元，较去年同期增长了9.43%。</w:t>
            </w:r>
          </w:p>
          <w:p w14:paraId="129340F9">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问6：未来是否考虑在海外设厂，海外设厂进行生产对比国内的成本如何？</w:t>
            </w:r>
          </w:p>
          <w:p w14:paraId="129340FA">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公司正在考虑各种能够对冲美国市场关税冲击的应对措施，通过收并购的方式实现在海外的销售渠道拓展以及海外设厂等也都在考虑范围之内。目前，公司已在持续考察和筛选与公司具备良好协同效应的相关标的公司。</w:t>
            </w:r>
          </w:p>
          <w:p w14:paraId="129340FB">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海外设厂的成本问题需要综合考虑所在地的人工、土地、物流等相关成本以及工人熟练度、厂房自动化水平、关税等多种因素，不同区域的差异较大，难以现在给出准确回答。</w:t>
            </w:r>
          </w:p>
          <w:p w14:paraId="129340FC">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问7：目前外资是否有看到因为关税问题退出中国市场？当前主要产品线的竞争格局如何？国产化率的水平？国内主要的厂家？公司在国内有多大的市场空间？</w:t>
            </w:r>
          </w:p>
          <w:p w14:paraId="129340FD">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根据相关统计，目前，在境内生物实验耗材和设备相关市场领域，来自进口品牌的市场占比约为60%，市场竞争较为激烈，包括赛默飞、VWR、康宁、洁特生物、思拓凡、赛多利斯等超过40个主要境内外厂商，分别在实验设备、耗材、试剂等细分领域内展开竞争，市占率最高的厂商的市场占有率能够达约7%至10%。</w:t>
            </w:r>
          </w:p>
          <w:p w14:paraId="129340FE">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据公司了解，目前行业内并未出现主要海外品牌大规模撤出中国市场的情形，但是由于关税战的影响以及对供应安全的关注，国产替代已经开始成为一种趋势。在科研客户端，我们看到部分终端用户对海外产品的使用率下降明显。</w:t>
            </w:r>
          </w:p>
          <w:p w14:paraId="129340FF">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目前，国内的主要厂商主要包括耐思生物、东富龙、乐纯生物等，公司2024年的市场占有率在国内生物实验耗材厂商中排名前列。</w:t>
            </w:r>
          </w:p>
          <w:p w14:paraId="12934100">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问8：今年海外非美地区自主品牌业务的占比增长情况？主要销往哪些国家，公司之前也在持续做一些代理商的细化，目前进展怎么样？</w:t>
            </w:r>
          </w:p>
          <w:p w14:paraId="12934101">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2025年前三季度内，公司海外业务中的自主品牌销售收入约为2,994万元，占比12.49%，主要销售的地区包括欧洲、亚太、南美、独联体等地。公司仍然在加大自主品牌在海外的布局，包括将在海外设立自主销售和售后团队及办事处，与海外知名电商平台开展合作、积极寻找在海外拥有优质渠道资源的并购标的等。</w:t>
            </w:r>
          </w:p>
          <w:p w14:paraId="12934102">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问9：海外自主品牌和国内自主品牌和ODM的毛利率水平差别？目前的利润主要是来源于哪一块？</w:t>
            </w:r>
          </w:p>
          <w:p w14:paraId="12934103">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今年三季度公司海外自主品牌、国内自主品牌以及ODM业务的毛利分别为1,286万元、5,688万元和9,274万元，毛利率分别为42.9%、39.3%和44.2%。公司目前的毛利主要来自ODM业务，其毛利占比达到了57.04%。</w:t>
            </w:r>
          </w:p>
          <w:p w14:paraId="12934104">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二、公司未来业务和投资规划</w:t>
            </w:r>
          </w:p>
          <w:p w14:paraId="12934105">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问10：公司之前提到会将细胞与基因治疗（CGT）作为发展重点，想了解具体是做什么产品？目前进展如何？</w:t>
            </w:r>
          </w:p>
          <w:p w14:paraId="12934106">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公司深挖CGT的应用领域主要是出于对CGT未来市场空间的考虑。目前，公司的生物实验耗材产品在生物培养这一应用领域内有着较为突出的优势，产品的终端用户主要是研究所、高校等研究型机构，该类终端用户分布较散且单个客户的使用量有限。目前，CGT作为第四代医疗技术的趋势已经确定，生物制药将会成为下一代药品的主流，而公司的生物培养类耗材产品在这一应用领域内有着巨大的市场潜力，故制定了深挖CGT应用领域的规划。</w:t>
            </w:r>
          </w:p>
          <w:p w14:paraId="12934107">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根据公司的规划，公司未来将以生物培养类耗材为基础，为客户开发细胞培养整体解决方案，针对 CGT 领域的关键环节，研发核心设备和耗材产品，产品将主要包括一次性生物反应器及其耗材、一次性全封闭自动化细胞处理系统及其耗材、配液系统及其耗材、PRP及PBMC全自动处理系统及其耗材、超滤系统及其耗材、预过滤/除菌过滤器等。对传统的细胞培养方案进行自动化和智能化升级，通过自动化细胞工作站及实验室中控软件，实现对培养环境、培养工艺参数的精准控制和实时监测来保证批间质量一致性；对一次性耗材进行优化，提高生物相容性、无菌性、洁净度和合规性，以满足 CGT 细胞培养和药物从小试到产业化大规模生产的工艺要求及合规要求；目标客户将主要包括海内外CGT 药物研发公司、CRO/CDMO 企业、开展细胞治疗的医疗机构等。</w:t>
            </w:r>
          </w:p>
          <w:p w14:paraId="12934108">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目前，公司已经在广州和杭州分别组建了CGT领域的专家团队，包括生物工程、临床医学、材料科学与工程、电气自动化、软件工程、机械工程等多学科及交叉领域人才，并在相关领域处于行业内的领先水平。</w:t>
            </w:r>
          </w:p>
          <w:p w14:paraId="12934109">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目前洁特生物有大量客户有着从实验室小试迈向中试及大规模生产的各种需求，基于对公司实验室解决方案的信任，客户向公司提出了很多联合开发中试解决方案的需求，我们已经在和一些国内外客户共同开发中试工艺并提供相关产品。</w:t>
            </w:r>
          </w:p>
          <w:p w14:paraId="1293410A">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问11：目前CGT细胞培养整体解决方案方面主要有哪些玩家？我们目前投入进去优势在什么地方，是否有一些意向合作的客户？</w:t>
            </w:r>
          </w:p>
          <w:p w14:paraId="1293410B">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目前，国内CGT领域内的玩家更多集中于生物制药的抗体疫苗领域，布局CGT细胞培养的企业主要是传统的偏不锈钢系统或偏耗材的供应商，目前还没有在CGT领域完成设备、耗材、智能软件、试剂、基础材料、工艺开发服务、质量检测服务等布局并获得市场广泛认可的玩家。</w:t>
            </w:r>
          </w:p>
          <w:p w14:paraId="1293410C">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洁特生物向CGT领域扩展业务布局的核心优势集中在供应链、客户资源和合规经验三大维度，能快速降低转型门槛。</w:t>
            </w:r>
          </w:p>
          <w:p w14:paraId="1293410D">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在供应链与生产制造基础方面，洁特生物具备成熟的精密设备加工、耗材规模化生产能力，可快速适配CGT领域对设备精度、耗材一致性的要求，无需从零搭建生产体系。同时，公司拥有长期积累的供应链整合经验，能高效联动原材料采购、物流配送等环节，满足CGT设备耗材“量产+稳定供应”的核心需求。</w:t>
            </w:r>
          </w:p>
          <w:p w14:paraId="1293410E">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在客户资源与行业认知方面，洁特生物已深耕制药、科研、医疗领域二十多年，客户覆盖CGT核心群体（药企、CRO/CDMO、医院实验室），熟悉生物医药行业的基本逻辑，对客户的设备耗材使用习惯、采购流程有深入了解，可快速对接CGT客户的个性化需求，降低合作沟通成本。</w:t>
            </w:r>
          </w:p>
          <w:p w14:paraId="1293410F">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在合规与质量管控经验方面，公司长期服务生命科学行业，已建立符合GMP规范的质量管控体系，熟悉生物医药领域的合规要求（如ISO认证、产品追溯）。这种合规经验可直接迁移至CGT领域，快速满足其对设备耗材“无菌、可追溯、质量可控”的严格监管标准，减少合规建设的时间和资金投入。</w:t>
            </w:r>
          </w:p>
          <w:p w14:paraId="12934110">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问12：公司之前设立的产业投资基金主要用于CGT方面吗？是否还会考虑投资其它方向</w:t>
            </w:r>
          </w:p>
          <w:p w14:paraId="12934111">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公司设立的产业基金主要包括两个方面，一是补足公司在CGT领域内的技术和产品缺口，主要关注在细胞培养领域有着公司目前缺乏的技术、产品、渠道或团队的相关技术型标的公司。</w:t>
            </w:r>
          </w:p>
          <w:p w14:paraId="12934112">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除此以外，公司及产业基金也将关注能够助力公司目前主业的相关标的，主要将关注在境内外有着突出销售渠道、品牌或者产能的同行业公司。此外，公司的投资也不排斥其他能够与公司产生高度协同效应的相关企业。</w:t>
            </w:r>
          </w:p>
          <w:p w14:paraId="12934113">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三、关于公司产能和增城工厂</w:t>
            </w:r>
          </w:p>
          <w:p w14:paraId="12934114">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问13：目前的产能利用情况？新工厂是否已经投入使用，未来预计什么时候能够满产？</w:t>
            </w:r>
          </w:p>
          <w:p w14:paraId="12934115">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公司目前的整体产能利用率约为60%左右。目前，新工厂已经部分投入使用，但仍有部分处于设备和产线调试的阶段，实现满产的时间主要将取决于订单量。</w:t>
            </w:r>
          </w:p>
          <w:p w14:paraId="12934116">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问14：新工厂转固有多少？预计每年的折旧摊销会增加多少？</w:t>
            </w:r>
          </w:p>
          <w:p w14:paraId="12934117">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截止今年三季度，公司增城工厂转固金额已达1.79亿元，每年的折旧摊销约为568万元。</w:t>
            </w:r>
          </w:p>
          <w:p w14:paraId="12934118">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四、关于新产品和研发</w:t>
            </w:r>
          </w:p>
          <w:p w14:paraId="12934119">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问15：未来公司新产品的推出进展以及市场空间如何？</w:t>
            </w:r>
          </w:p>
          <w:p w14:paraId="1293411A">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在现有主要产品领域，公司每年都会根据客户和市场需求推出新产品，该类产品主要为公司原有主要产品的改进或者根据客户需求定制化开发的新产品，其市场空间有着较好的保证。</w:t>
            </w:r>
          </w:p>
          <w:p w14:paraId="1293411B">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在CGT领域内，随着政策的逐步放开和资本的大量涌入，CGT行业正处于快速扩张阶段，预计2027年该产业规模将突破400亿元。中国广阔的患者群体以及不断提升的科研实力，为CGT行业的发展提供了坚实的市场基础。</w:t>
            </w:r>
          </w:p>
          <w:p w14:paraId="1293411C">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除了CGT领域，公司目前还将新增在过滤产品内的布局。过滤膜及过滤包产品是生物实验中常用的耗材产品，市场需求较大且稳定。此前，由于国内过滤产品的质量稳定性尚不能满足公司的相关需求，公司的过滤相关产品主要来自多个海外供应商采购。2022年至2025年9月，公司向外部供应商采购的过滤相关产品的金额累计达到了6,000万元，由于海外供应商的过滤产品销售价格普遍较高，且供应的稳定性也受国际政治因素以及供应商产能安排的影响而不具备稳定性。因此，公司近年已开始自行研发过滤膜及过滤毛相关产品，并已初步完成了对过滤产品基础技术研究并完成了部分基础型产品的开发，进入了部分产品的试用阶段。公司的过滤产品市场需求稳定，且除了生物过滤以外，其在半导体生产封测、水污染治理等领域内也有着广阔的市场空间，未来的潜力较大。</w:t>
            </w:r>
          </w:p>
          <w:p w14:paraId="1293411D">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五、财务相关问题</w:t>
            </w:r>
          </w:p>
          <w:p w14:paraId="1293411E">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问16：今年收入下降，但是毛利率反而由较大幅度提升，主要的原因是什么？</w:t>
            </w:r>
          </w:p>
          <w:p w14:paraId="1293411F">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截止2025年9月30日，公司销售额同比保持问题，略有微增；今年前三季度总体毛利率为42.2%，同比增加2个点，主要得益于公司良好的成本控制。</w:t>
            </w:r>
          </w:p>
          <w:p w14:paraId="12934120">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问17：未来各项费用率的规划？明年研发投入是否会有比较多的增加，净利率水平预计稳态在什么水平？</w:t>
            </w:r>
          </w:p>
          <w:p w14:paraId="12934121">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公司目前已发起2026年全面预算，关于2026年的费用比例、研发投资等情况，将在全面预算完成后取得数据，目前初步预判如下：</w:t>
            </w:r>
          </w:p>
          <w:p w14:paraId="12934122">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在研发费用方面，除了公司现有的产品领域以外，由于公司在近年内开始进一步开发CGT及生物过滤相关领域的产品和技术，因此预计明年的研发投入将会较今年有一定幅度的增加。</w:t>
            </w:r>
          </w:p>
          <w:p w14:paraId="12934123">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在财务费用方面，公司财务费用主要为现有银行贷款本息以及可转债的年度利息，公司预计短期内债务结构不会有大的变化，因此预计财务费用将维持稳定。</w:t>
            </w:r>
          </w:p>
          <w:p w14:paraId="12934124">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公司制造费用变化主要取决于产品的产量并且与产量呈正比关系。不过，随着公司自动化产线的建设投产以及降本增效措施的实行，预计单位产量的制造费用将会有所改善。</w:t>
            </w:r>
          </w:p>
          <w:p w14:paraId="12934125">
            <w:pPr>
              <w:spacing w:before="156" w:beforeLines="50" w:after="156" w:afterLines="50" w:line="360" w:lineRule="auto"/>
              <w:ind w:firstLine="420" w:firstLineChars="200"/>
              <w:rPr>
                <w:rFonts w:hint="eastAsia" w:ascii="宋体" w:hAnsi="宋体" w:cs="宋体"/>
                <w:szCs w:val="21"/>
                <w:highlight w:val="none"/>
                <w14:ligatures w14:val="standardContextual"/>
              </w:rPr>
            </w:pPr>
            <w:r>
              <w:rPr>
                <w:rFonts w:hint="eastAsia" w:ascii="宋体" w:hAnsi="宋体" w:cs="宋体"/>
                <w:szCs w:val="21"/>
                <w:highlight w:val="none"/>
                <w14:ligatures w14:val="standardContextual"/>
              </w:rPr>
              <w:t>公司销售费用同样与订单量呈正比关系，公司将在明年进一步加大对境内外市场的开拓力度，因此初步预计销售费用同样会有所增加。最后，公司的管理层目前保持稳定，预计管理费用也将保持稳定。</w:t>
            </w:r>
          </w:p>
          <w:p w14:paraId="12934126">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问18：可转债未来的规划，是否考虑下修？</w:t>
            </w:r>
          </w:p>
          <w:p w14:paraId="12934127">
            <w:pPr>
              <w:spacing w:before="156" w:beforeLines="50" w:after="156" w:afterLines="50" w:line="360" w:lineRule="auto"/>
              <w:ind w:firstLine="422" w:firstLineChars="200"/>
              <w:rPr>
                <w:rFonts w:hint="eastAsia" w:ascii="宋体" w:hAnsi="宋体" w:cs="宋体"/>
                <w:szCs w:val="21"/>
                <w:highlight w:val="none"/>
                <w14:ligatures w14:val="standardContextua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公司重视可转债投资者的关切。可转债的下修与否将牵扯公司资本结构、股权控制结构、债务影响等多个因素，因此公司将在综合考虑各项因素的影响后适时做出下修与否的考虑。</w:t>
            </w:r>
          </w:p>
          <w:p w14:paraId="12934128">
            <w:pPr>
              <w:spacing w:before="156" w:beforeLines="50" w:after="156" w:afterLines="50" w:line="360" w:lineRule="auto"/>
              <w:rPr>
                <w:rFonts w:hint="eastAsia" w:ascii="宋体" w:hAnsi="宋体" w:cs="宋体"/>
                <w:b/>
                <w:bCs/>
                <w:szCs w:val="21"/>
                <w:highlight w:val="none"/>
                <w14:ligatures w14:val="standardContextual"/>
              </w:rPr>
            </w:pPr>
            <w:r>
              <w:rPr>
                <w:rFonts w:hint="eastAsia" w:ascii="宋体" w:hAnsi="宋体" w:cs="宋体"/>
                <w:b/>
                <w:bCs/>
                <w:szCs w:val="21"/>
                <w:highlight w:val="none"/>
                <w14:ligatures w14:val="standardContextual"/>
              </w:rPr>
              <w:t>问19：公司对于明年的业绩指引或者更长期一点的指引？</w:t>
            </w:r>
          </w:p>
          <w:p w14:paraId="1293412A">
            <w:pPr>
              <w:spacing w:before="156" w:beforeLines="50" w:after="156" w:afterLines="50" w:line="360" w:lineRule="auto"/>
              <w:ind w:firstLine="422" w:firstLineChars="200"/>
              <w:rPr>
                <w:bCs/>
                <w:color w:val="000000" w:themeColor="text1"/>
                <w:highlight w:val="none"/>
                <w14:textFill>
                  <w14:solidFill>
                    <w14:schemeClr w14:val="tx1"/>
                  </w14:solidFill>
                </w14:textFill>
              </w:rPr>
            </w:pPr>
            <w:r>
              <w:rPr>
                <w:rFonts w:hint="eastAsia" w:ascii="宋体" w:hAnsi="宋体" w:cs="宋体"/>
                <w:b/>
                <w:bCs/>
                <w:szCs w:val="21"/>
                <w:highlight w:val="none"/>
                <w14:ligatures w14:val="standardContextual"/>
              </w:rPr>
              <w:t>答：</w:t>
            </w:r>
            <w:r>
              <w:rPr>
                <w:rFonts w:hint="eastAsia" w:ascii="宋体" w:hAnsi="宋体" w:cs="宋体"/>
                <w:szCs w:val="21"/>
                <w:highlight w:val="none"/>
                <w14:ligatures w14:val="standardContextual"/>
              </w:rPr>
              <w:t>由于公司的智能制造工厂已经投入使用，2026年产线建设稳定后，预期公司的产能将有助于业务规模进一步上升。对于CGT和过滤产品的布局，将会有新产品投入市场，为公司开拓新的收入来源。随着中美贸易摩擦逐步缓解，公司在海外主要市场已经趋于稳定，公司近期与部分主要海外客户进行关于明年需求的调研，预计明年来自海外市场的业务将会有所上升。综上，预期明年公司业绩将会在稳定中有所增长。</w:t>
            </w:r>
          </w:p>
        </w:tc>
      </w:tr>
      <w:tr w14:paraId="12934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0" w:type="pct"/>
            <w:tcBorders>
              <w:top w:val="single" w:color="auto" w:sz="4" w:space="0"/>
              <w:left w:val="single" w:color="auto" w:sz="4" w:space="0"/>
              <w:bottom w:val="single" w:color="auto" w:sz="4" w:space="0"/>
              <w:right w:val="single" w:color="auto" w:sz="4" w:space="0"/>
            </w:tcBorders>
            <w:vAlign w:val="center"/>
          </w:tcPr>
          <w:p w14:paraId="1293412C">
            <w:pPr>
              <w:spacing w:line="480" w:lineRule="atLeast"/>
              <w:rPr>
                <w:rFonts w:hint="eastAsia" w:ascii="宋体" w:hAnsi="宋体"/>
                <w:b/>
                <w:bCs/>
                <w:iCs/>
                <w:color w:val="000000" w:themeColor="text1"/>
                <w:sz w:val="24"/>
                <w:highlight w:val="none"/>
                <w14:textFill>
                  <w14:solidFill>
                    <w14:schemeClr w14:val="tx1"/>
                  </w14:solidFill>
                </w14:textFill>
              </w:rPr>
            </w:pPr>
            <w:r>
              <w:rPr>
                <w:rFonts w:hint="eastAsia" w:ascii="宋体" w:hAnsi="宋体"/>
                <w:b/>
                <w:bCs/>
                <w:iCs/>
                <w:color w:val="000000" w:themeColor="text1"/>
                <w:sz w:val="24"/>
                <w:highlight w:val="none"/>
                <w14:textFill>
                  <w14:solidFill>
                    <w14:schemeClr w14:val="tx1"/>
                  </w14:solidFill>
                </w14:textFill>
              </w:rPr>
              <w:t>附件清单（如有）</w:t>
            </w:r>
          </w:p>
        </w:tc>
        <w:tc>
          <w:tcPr>
            <w:tcW w:w="3820" w:type="pct"/>
            <w:tcBorders>
              <w:top w:val="single" w:color="auto" w:sz="4" w:space="0"/>
              <w:left w:val="single" w:color="auto" w:sz="4" w:space="0"/>
              <w:bottom w:val="single" w:color="auto" w:sz="4" w:space="0"/>
              <w:right w:val="single" w:color="auto" w:sz="4" w:space="0"/>
            </w:tcBorders>
          </w:tcPr>
          <w:p w14:paraId="1293412D">
            <w:pPr>
              <w:spacing w:line="480" w:lineRule="atLeast"/>
              <w:rPr>
                <w:rFonts w:hint="eastAsia" w:ascii="宋体" w:hAnsi="宋体"/>
                <w:bCs/>
                <w:iCs/>
                <w:color w:val="000000" w:themeColor="text1"/>
                <w:szCs w:val="21"/>
                <w:highlight w:val="none"/>
                <w14:textFill>
                  <w14:solidFill>
                    <w14:schemeClr w14:val="tx1"/>
                  </w14:solidFill>
                </w14:textFill>
              </w:rPr>
            </w:pPr>
            <w:r>
              <w:rPr>
                <w:rFonts w:hint="eastAsia" w:ascii="宋体" w:hAnsi="宋体"/>
                <w:bCs/>
                <w:iCs/>
                <w:color w:val="000000" w:themeColor="text1"/>
                <w:szCs w:val="21"/>
                <w:highlight w:val="none"/>
                <w14:textFill>
                  <w14:solidFill>
                    <w14:schemeClr w14:val="tx1"/>
                  </w14:solidFill>
                </w14:textFill>
              </w:rPr>
              <w:t>无</w:t>
            </w:r>
          </w:p>
        </w:tc>
      </w:tr>
    </w:tbl>
    <w:p w14:paraId="1293412F">
      <w:pPr>
        <w:rPr>
          <w:color w:val="000000" w:themeColor="text1"/>
          <w:highlight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47743358"/>
    </w:sdtPr>
    <w:sdtContent>
      <w:p w14:paraId="12934130">
        <w:pPr>
          <w:pStyle w:val="2"/>
          <w:jc w:val="center"/>
        </w:pPr>
        <w:r>
          <w:fldChar w:fldCharType="begin"/>
        </w:r>
        <w:r>
          <w:instrText xml:space="preserve">PAGE   \* MERGEFORMAT</w:instrText>
        </w:r>
        <w:r>
          <w:fldChar w:fldCharType="separate"/>
        </w:r>
        <w:r>
          <w:rPr>
            <w:lang w:val="zh-CN"/>
          </w:rPr>
          <w:t>2</w:t>
        </w:r>
        <w:r>
          <w:fldChar w:fldCharType="end"/>
        </w:r>
      </w:p>
    </w:sdtContent>
  </w:sdt>
  <w:p w14:paraId="1293413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gzZmI5OGVjNzgwZTZjODYwNzZiMWU0ZjA0OWNlZDAifQ=="/>
  </w:docVars>
  <w:rsids>
    <w:rsidRoot w:val="004A25A4"/>
    <w:rsid w:val="00001A38"/>
    <w:rsid w:val="000024FB"/>
    <w:rsid w:val="000039C6"/>
    <w:rsid w:val="00010F80"/>
    <w:rsid w:val="00015A1D"/>
    <w:rsid w:val="00016670"/>
    <w:rsid w:val="00017030"/>
    <w:rsid w:val="00022AD8"/>
    <w:rsid w:val="00025A48"/>
    <w:rsid w:val="00027B06"/>
    <w:rsid w:val="00033E8C"/>
    <w:rsid w:val="00034686"/>
    <w:rsid w:val="00034975"/>
    <w:rsid w:val="00041261"/>
    <w:rsid w:val="00044C64"/>
    <w:rsid w:val="00055827"/>
    <w:rsid w:val="0005792F"/>
    <w:rsid w:val="00063517"/>
    <w:rsid w:val="00064F5E"/>
    <w:rsid w:val="00070105"/>
    <w:rsid w:val="00070793"/>
    <w:rsid w:val="00071D50"/>
    <w:rsid w:val="00073177"/>
    <w:rsid w:val="000762D7"/>
    <w:rsid w:val="0008058A"/>
    <w:rsid w:val="0008080C"/>
    <w:rsid w:val="000827D4"/>
    <w:rsid w:val="000831CB"/>
    <w:rsid w:val="00085D11"/>
    <w:rsid w:val="00085FD6"/>
    <w:rsid w:val="00090ADD"/>
    <w:rsid w:val="00094E37"/>
    <w:rsid w:val="00095BC3"/>
    <w:rsid w:val="000979EA"/>
    <w:rsid w:val="000A1222"/>
    <w:rsid w:val="000A1E4C"/>
    <w:rsid w:val="000A485E"/>
    <w:rsid w:val="000A51E0"/>
    <w:rsid w:val="000A7488"/>
    <w:rsid w:val="000B0B6D"/>
    <w:rsid w:val="000B1389"/>
    <w:rsid w:val="000B1B12"/>
    <w:rsid w:val="000B4CB0"/>
    <w:rsid w:val="000B5059"/>
    <w:rsid w:val="000B6447"/>
    <w:rsid w:val="000B685D"/>
    <w:rsid w:val="000B7464"/>
    <w:rsid w:val="000B7F91"/>
    <w:rsid w:val="000C0BCC"/>
    <w:rsid w:val="000C3CA8"/>
    <w:rsid w:val="000C45C0"/>
    <w:rsid w:val="000C7BC8"/>
    <w:rsid w:val="000D0A1E"/>
    <w:rsid w:val="000D21BB"/>
    <w:rsid w:val="000D3C0F"/>
    <w:rsid w:val="000D4835"/>
    <w:rsid w:val="000D4854"/>
    <w:rsid w:val="000E1241"/>
    <w:rsid w:val="000E1D11"/>
    <w:rsid w:val="000E6036"/>
    <w:rsid w:val="000F0106"/>
    <w:rsid w:val="000F0BA0"/>
    <w:rsid w:val="000F1549"/>
    <w:rsid w:val="000F5E9F"/>
    <w:rsid w:val="00103D30"/>
    <w:rsid w:val="001072CC"/>
    <w:rsid w:val="00107575"/>
    <w:rsid w:val="00113869"/>
    <w:rsid w:val="00114592"/>
    <w:rsid w:val="001166B3"/>
    <w:rsid w:val="00122A35"/>
    <w:rsid w:val="0012406F"/>
    <w:rsid w:val="00126729"/>
    <w:rsid w:val="00131842"/>
    <w:rsid w:val="00131C78"/>
    <w:rsid w:val="001331FF"/>
    <w:rsid w:val="00134B1D"/>
    <w:rsid w:val="00135ACD"/>
    <w:rsid w:val="00143769"/>
    <w:rsid w:val="001460A9"/>
    <w:rsid w:val="001520D7"/>
    <w:rsid w:val="00155BB0"/>
    <w:rsid w:val="0015780C"/>
    <w:rsid w:val="001619B9"/>
    <w:rsid w:val="001638A0"/>
    <w:rsid w:val="00164618"/>
    <w:rsid w:val="001706F5"/>
    <w:rsid w:val="00171939"/>
    <w:rsid w:val="00175A08"/>
    <w:rsid w:val="00176F77"/>
    <w:rsid w:val="001776DD"/>
    <w:rsid w:val="001818BA"/>
    <w:rsid w:val="00181FE9"/>
    <w:rsid w:val="00184364"/>
    <w:rsid w:val="00184AB4"/>
    <w:rsid w:val="001864ED"/>
    <w:rsid w:val="00191FF7"/>
    <w:rsid w:val="00194FB8"/>
    <w:rsid w:val="00196A8D"/>
    <w:rsid w:val="0019727C"/>
    <w:rsid w:val="001A3FA0"/>
    <w:rsid w:val="001A6060"/>
    <w:rsid w:val="001A6A18"/>
    <w:rsid w:val="001B07D0"/>
    <w:rsid w:val="001B21D7"/>
    <w:rsid w:val="001B29D9"/>
    <w:rsid w:val="001B4286"/>
    <w:rsid w:val="001B474F"/>
    <w:rsid w:val="001B4822"/>
    <w:rsid w:val="001B4EA5"/>
    <w:rsid w:val="001B4F51"/>
    <w:rsid w:val="001B54B2"/>
    <w:rsid w:val="001B5DE8"/>
    <w:rsid w:val="001C083E"/>
    <w:rsid w:val="001C0A11"/>
    <w:rsid w:val="001C1354"/>
    <w:rsid w:val="001C2CCD"/>
    <w:rsid w:val="001C465F"/>
    <w:rsid w:val="001C5761"/>
    <w:rsid w:val="001C5A7F"/>
    <w:rsid w:val="001C6670"/>
    <w:rsid w:val="001D101E"/>
    <w:rsid w:val="001D375F"/>
    <w:rsid w:val="001D3CF0"/>
    <w:rsid w:val="001D522A"/>
    <w:rsid w:val="001F01BD"/>
    <w:rsid w:val="00200C04"/>
    <w:rsid w:val="002015DE"/>
    <w:rsid w:val="002033EE"/>
    <w:rsid w:val="00205C72"/>
    <w:rsid w:val="00205EE8"/>
    <w:rsid w:val="002124E6"/>
    <w:rsid w:val="0021714E"/>
    <w:rsid w:val="00217DEB"/>
    <w:rsid w:val="00220591"/>
    <w:rsid w:val="00221B50"/>
    <w:rsid w:val="002233C1"/>
    <w:rsid w:val="00223A54"/>
    <w:rsid w:val="00225376"/>
    <w:rsid w:val="00225BEA"/>
    <w:rsid w:val="00226714"/>
    <w:rsid w:val="00226B32"/>
    <w:rsid w:val="00230C59"/>
    <w:rsid w:val="002315DA"/>
    <w:rsid w:val="00234B60"/>
    <w:rsid w:val="0023528D"/>
    <w:rsid w:val="00237420"/>
    <w:rsid w:val="00242CAA"/>
    <w:rsid w:val="00242E03"/>
    <w:rsid w:val="00244CAB"/>
    <w:rsid w:val="0024767F"/>
    <w:rsid w:val="00250595"/>
    <w:rsid w:val="00251836"/>
    <w:rsid w:val="00251C5F"/>
    <w:rsid w:val="00254FA4"/>
    <w:rsid w:val="0025783D"/>
    <w:rsid w:val="00257F9C"/>
    <w:rsid w:val="00260280"/>
    <w:rsid w:val="00260B95"/>
    <w:rsid w:val="00260D37"/>
    <w:rsid w:val="00262117"/>
    <w:rsid w:val="0026211E"/>
    <w:rsid w:val="00266310"/>
    <w:rsid w:val="00266727"/>
    <w:rsid w:val="002669CD"/>
    <w:rsid w:val="00273812"/>
    <w:rsid w:val="0027430A"/>
    <w:rsid w:val="00275CC4"/>
    <w:rsid w:val="002768B6"/>
    <w:rsid w:val="00276AF2"/>
    <w:rsid w:val="00276FE6"/>
    <w:rsid w:val="00277259"/>
    <w:rsid w:val="0029074B"/>
    <w:rsid w:val="00290EA7"/>
    <w:rsid w:val="00294B43"/>
    <w:rsid w:val="002976AF"/>
    <w:rsid w:val="00297A82"/>
    <w:rsid w:val="00297D92"/>
    <w:rsid w:val="002A0810"/>
    <w:rsid w:val="002A1937"/>
    <w:rsid w:val="002B09A6"/>
    <w:rsid w:val="002B16F3"/>
    <w:rsid w:val="002B5CF6"/>
    <w:rsid w:val="002B70CE"/>
    <w:rsid w:val="002B7D9C"/>
    <w:rsid w:val="002C356E"/>
    <w:rsid w:val="002C6993"/>
    <w:rsid w:val="002C6B7B"/>
    <w:rsid w:val="002D0179"/>
    <w:rsid w:val="002D118D"/>
    <w:rsid w:val="002D1B76"/>
    <w:rsid w:val="002D505E"/>
    <w:rsid w:val="002D5F7A"/>
    <w:rsid w:val="002D686A"/>
    <w:rsid w:val="002E0697"/>
    <w:rsid w:val="002E2D74"/>
    <w:rsid w:val="002E3D6B"/>
    <w:rsid w:val="002E4C60"/>
    <w:rsid w:val="002E68B6"/>
    <w:rsid w:val="002F08E7"/>
    <w:rsid w:val="002F210A"/>
    <w:rsid w:val="002F5169"/>
    <w:rsid w:val="002F7C21"/>
    <w:rsid w:val="003015A7"/>
    <w:rsid w:val="0030371C"/>
    <w:rsid w:val="0030580A"/>
    <w:rsid w:val="0030642F"/>
    <w:rsid w:val="00307DB0"/>
    <w:rsid w:val="0031107F"/>
    <w:rsid w:val="0031380D"/>
    <w:rsid w:val="00314B27"/>
    <w:rsid w:val="0031519A"/>
    <w:rsid w:val="0031622F"/>
    <w:rsid w:val="0031713E"/>
    <w:rsid w:val="003202DE"/>
    <w:rsid w:val="00322442"/>
    <w:rsid w:val="00330488"/>
    <w:rsid w:val="00330AC2"/>
    <w:rsid w:val="00333897"/>
    <w:rsid w:val="003339F0"/>
    <w:rsid w:val="00334CE5"/>
    <w:rsid w:val="0033509F"/>
    <w:rsid w:val="003353D2"/>
    <w:rsid w:val="00335F2C"/>
    <w:rsid w:val="00336FBB"/>
    <w:rsid w:val="00343500"/>
    <w:rsid w:val="00345CFF"/>
    <w:rsid w:val="0034615F"/>
    <w:rsid w:val="00350CB9"/>
    <w:rsid w:val="00351B9D"/>
    <w:rsid w:val="00351F08"/>
    <w:rsid w:val="00363425"/>
    <w:rsid w:val="00363952"/>
    <w:rsid w:val="0036466D"/>
    <w:rsid w:val="003721CE"/>
    <w:rsid w:val="003722AE"/>
    <w:rsid w:val="00374FDE"/>
    <w:rsid w:val="00375C2F"/>
    <w:rsid w:val="00377D5D"/>
    <w:rsid w:val="00380EAF"/>
    <w:rsid w:val="00383322"/>
    <w:rsid w:val="00383B58"/>
    <w:rsid w:val="00383EFA"/>
    <w:rsid w:val="003841D3"/>
    <w:rsid w:val="00384819"/>
    <w:rsid w:val="00385442"/>
    <w:rsid w:val="00393A35"/>
    <w:rsid w:val="00394638"/>
    <w:rsid w:val="003A15AB"/>
    <w:rsid w:val="003A1BD4"/>
    <w:rsid w:val="003B00A0"/>
    <w:rsid w:val="003B2B79"/>
    <w:rsid w:val="003B76BC"/>
    <w:rsid w:val="003C2370"/>
    <w:rsid w:val="003C25E4"/>
    <w:rsid w:val="003C2CC0"/>
    <w:rsid w:val="003C3432"/>
    <w:rsid w:val="003C5EF6"/>
    <w:rsid w:val="003D05CC"/>
    <w:rsid w:val="003D257F"/>
    <w:rsid w:val="003D5342"/>
    <w:rsid w:val="003D787A"/>
    <w:rsid w:val="003E39B1"/>
    <w:rsid w:val="003E6764"/>
    <w:rsid w:val="003F15F3"/>
    <w:rsid w:val="003F176D"/>
    <w:rsid w:val="003F253E"/>
    <w:rsid w:val="003F3007"/>
    <w:rsid w:val="003F315C"/>
    <w:rsid w:val="003F5285"/>
    <w:rsid w:val="0040430A"/>
    <w:rsid w:val="004058F0"/>
    <w:rsid w:val="00405F68"/>
    <w:rsid w:val="00410A76"/>
    <w:rsid w:val="00411906"/>
    <w:rsid w:val="00413943"/>
    <w:rsid w:val="0041496B"/>
    <w:rsid w:val="00416B86"/>
    <w:rsid w:val="00420141"/>
    <w:rsid w:val="00420E3F"/>
    <w:rsid w:val="00422553"/>
    <w:rsid w:val="00423385"/>
    <w:rsid w:val="00424322"/>
    <w:rsid w:val="00430242"/>
    <w:rsid w:val="00431FEB"/>
    <w:rsid w:val="004322EF"/>
    <w:rsid w:val="00432325"/>
    <w:rsid w:val="0043557B"/>
    <w:rsid w:val="00435B3A"/>
    <w:rsid w:val="0043687F"/>
    <w:rsid w:val="00443554"/>
    <w:rsid w:val="00443C1A"/>
    <w:rsid w:val="004450DD"/>
    <w:rsid w:val="0044746A"/>
    <w:rsid w:val="00447C53"/>
    <w:rsid w:val="00451D9A"/>
    <w:rsid w:val="004526A4"/>
    <w:rsid w:val="00452A9C"/>
    <w:rsid w:val="00461786"/>
    <w:rsid w:val="00461D52"/>
    <w:rsid w:val="004623F4"/>
    <w:rsid w:val="00465709"/>
    <w:rsid w:val="0047029E"/>
    <w:rsid w:val="00471DAB"/>
    <w:rsid w:val="00472C7B"/>
    <w:rsid w:val="00474856"/>
    <w:rsid w:val="00475192"/>
    <w:rsid w:val="00477890"/>
    <w:rsid w:val="00484F18"/>
    <w:rsid w:val="004877AC"/>
    <w:rsid w:val="0048787F"/>
    <w:rsid w:val="004908D1"/>
    <w:rsid w:val="00490E5A"/>
    <w:rsid w:val="00492C50"/>
    <w:rsid w:val="00495C73"/>
    <w:rsid w:val="00496E54"/>
    <w:rsid w:val="0049771B"/>
    <w:rsid w:val="004A25A4"/>
    <w:rsid w:val="004A3347"/>
    <w:rsid w:val="004A34A5"/>
    <w:rsid w:val="004B00BC"/>
    <w:rsid w:val="004B1329"/>
    <w:rsid w:val="004B1617"/>
    <w:rsid w:val="004B241B"/>
    <w:rsid w:val="004B299A"/>
    <w:rsid w:val="004B6373"/>
    <w:rsid w:val="004C10AA"/>
    <w:rsid w:val="004C143F"/>
    <w:rsid w:val="004C2838"/>
    <w:rsid w:val="004C2985"/>
    <w:rsid w:val="004C36C5"/>
    <w:rsid w:val="004C71A5"/>
    <w:rsid w:val="004C7362"/>
    <w:rsid w:val="004D18C6"/>
    <w:rsid w:val="004D2186"/>
    <w:rsid w:val="004D33E0"/>
    <w:rsid w:val="004D35A2"/>
    <w:rsid w:val="004E06A7"/>
    <w:rsid w:val="004E3A7F"/>
    <w:rsid w:val="004E7193"/>
    <w:rsid w:val="004E7506"/>
    <w:rsid w:val="004E7FCF"/>
    <w:rsid w:val="004F1C94"/>
    <w:rsid w:val="00501EDA"/>
    <w:rsid w:val="00503B3E"/>
    <w:rsid w:val="00506498"/>
    <w:rsid w:val="00507561"/>
    <w:rsid w:val="00507AB8"/>
    <w:rsid w:val="005108EC"/>
    <w:rsid w:val="00510BD0"/>
    <w:rsid w:val="00513E13"/>
    <w:rsid w:val="00520743"/>
    <w:rsid w:val="00520A96"/>
    <w:rsid w:val="00520E18"/>
    <w:rsid w:val="00523AF8"/>
    <w:rsid w:val="00523E87"/>
    <w:rsid w:val="0052459A"/>
    <w:rsid w:val="005321BB"/>
    <w:rsid w:val="0053280E"/>
    <w:rsid w:val="00534178"/>
    <w:rsid w:val="005402A9"/>
    <w:rsid w:val="00540FF2"/>
    <w:rsid w:val="00544294"/>
    <w:rsid w:val="00547EB9"/>
    <w:rsid w:val="00554D60"/>
    <w:rsid w:val="0055505F"/>
    <w:rsid w:val="005556D0"/>
    <w:rsid w:val="00561597"/>
    <w:rsid w:val="00565E16"/>
    <w:rsid w:val="00566CCC"/>
    <w:rsid w:val="0056764C"/>
    <w:rsid w:val="00570366"/>
    <w:rsid w:val="005703BD"/>
    <w:rsid w:val="00570A24"/>
    <w:rsid w:val="00571F9F"/>
    <w:rsid w:val="00577861"/>
    <w:rsid w:val="00584B90"/>
    <w:rsid w:val="00585EEF"/>
    <w:rsid w:val="00590C53"/>
    <w:rsid w:val="005917EC"/>
    <w:rsid w:val="005930A5"/>
    <w:rsid w:val="00593344"/>
    <w:rsid w:val="005969F1"/>
    <w:rsid w:val="005B26FC"/>
    <w:rsid w:val="005B293F"/>
    <w:rsid w:val="005B2A85"/>
    <w:rsid w:val="005B6BC7"/>
    <w:rsid w:val="005B792D"/>
    <w:rsid w:val="005C0CF6"/>
    <w:rsid w:val="005D03BF"/>
    <w:rsid w:val="005D0FE4"/>
    <w:rsid w:val="005D1A37"/>
    <w:rsid w:val="005D7350"/>
    <w:rsid w:val="005E027E"/>
    <w:rsid w:val="005E04E6"/>
    <w:rsid w:val="005E1C73"/>
    <w:rsid w:val="005E49BA"/>
    <w:rsid w:val="005E784D"/>
    <w:rsid w:val="005E7FBD"/>
    <w:rsid w:val="005F06AA"/>
    <w:rsid w:val="005F2469"/>
    <w:rsid w:val="005F3E03"/>
    <w:rsid w:val="005F5C88"/>
    <w:rsid w:val="00602C58"/>
    <w:rsid w:val="00604B8E"/>
    <w:rsid w:val="0060525A"/>
    <w:rsid w:val="00605ED9"/>
    <w:rsid w:val="00607162"/>
    <w:rsid w:val="00607FDD"/>
    <w:rsid w:val="00610630"/>
    <w:rsid w:val="00616BCF"/>
    <w:rsid w:val="00617E7F"/>
    <w:rsid w:val="00621514"/>
    <w:rsid w:val="00625AAE"/>
    <w:rsid w:val="006272E4"/>
    <w:rsid w:val="0062785A"/>
    <w:rsid w:val="00631B77"/>
    <w:rsid w:val="0063604B"/>
    <w:rsid w:val="0063747F"/>
    <w:rsid w:val="00637DD8"/>
    <w:rsid w:val="00640822"/>
    <w:rsid w:val="00640B89"/>
    <w:rsid w:val="0064212B"/>
    <w:rsid w:val="00643370"/>
    <w:rsid w:val="00647754"/>
    <w:rsid w:val="00650A17"/>
    <w:rsid w:val="006528C3"/>
    <w:rsid w:val="006528C7"/>
    <w:rsid w:val="006564EE"/>
    <w:rsid w:val="00660344"/>
    <w:rsid w:val="00661557"/>
    <w:rsid w:val="00661726"/>
    <w:rsid w:val="00663138"/>
    <w:rsid w:val="006655C5"/>
    <w:rsid w:val="006718C8"/>
    <w:rsid w:val="00675CF3"/>
    <w:rsid w:val="00685656"/>
    <w:rsid w:val="00690C82"/>
    <w:rsid w:val="00690F18"/>
    <w:rsid w:val="006937A3"/>
    <w:rsid w:val="00695DAE"/>
    <w:rsid w:val="00697DBF"/>
    <w:rsid w:val="006A000E"/>
    <w:rsid w:val="006A1706"/>
    <w:rsid w:val="006A1DB8"/>
    <w:rsid w:val="006A2661"/>
    <w:rsid w:val="006A5973"/>
    <w:rsid w:val="006A5D7A"/>
    <w:rsid w:val="006A6F1B"/>
    <w:rsid w:val="006B1D6C"/>
    <w:rsid w:val="006B285B"/>
    <w:rsid w:val="006B5A7C"/>
    <w:rsid w:val="006B6615"/>
    <w:rsid w:val="006B7665"/>
    <w:rsid w:val="006B7924"/>
    <w:rsid w:val="006C07B7"/>
    <w:rsid w:val="006C1388"/>
    <w:rsid w:val="006C2372"/>
    <w:rsid w:val="006C3C5D"/>
    <w:rsid w:val="006C4AB0"/>
    <w:rsid w:val="006C5604"/>
    <w:rsid w:val="006C5B4D"/>
    <w:rsid w:val="006C7C77"/>
    <w:rsid w:val="006D1C77"/>
    <w:rsid w:val="006D31A3"/>
    <w:rsid w:val="006D5342"/>
    <w:rsid w:val="006D5B09"/>
    <w:rsid w:val="006D5BA7"/>
    <w:rsid w:val="006D6F3B"/>
    <w:rsid w:val="006D7B20"/>
    <w:rsid w:val="006E04CA"/>
    <w:rsid w:val="006E7707"/>
    <w:rsid w:val="006F04CF"/>
    <w:rsid w:val="006F2AFC"/>
    <w:rsid w:val="006F376B"/>
    <w:rsid w:val="006F6E15"/>
    <w:rsid w:val="006F7167"/>
    <w:rsid w:val="00706209"/>
    <w:rsid w:val="00706558"/>
    <w:rsid w:val="00707CD4"/>
    <w:rsid w:val="007102E1"/>
    <w:rsid w:val="00710BCA"/>
    <w:rsid w:val="00711896"/>
    <w:rsid w:val="00711D34"/>
    <w:rsid w:val="007126A1"/>
    <w:rsid w:val="00712A37"/>
    <w:rsid w:val="007176DA"/>
    <w:rsid w:val="0072107D"/>
    <w:rsid w:val="00721E88"/>
    <w:rsid w:val="00722386"/>
    <w:rsid w:val="00723324"/>
    <w:rsid w:val="0073087F"/>
    <w:rsid w:val="0073402C"/>
    <w:rsid w:val="00734A55"/>
    <w:rsid w:val="007363BF"/>
    <w:rsid w:val="00744FB3"/>
    <w:rsid w:val="007467FA"/>
    <w:rsid w:val="007476BB"/>
    <w:rsid w:val="007503CE"/>
    <w:rsid w:val="007538A9"/>
    <w:rsid w:val="00754528"/>
    <w:rsid w:val="00754556"/>
    <w:rsid w:val="00755DA0"/>
    <w:rsid w:val="00760E76"/>
    <w:rsid w:val="007621E2"/>
    <w:rsid w:val="007629D1"/>
    <w:rsid w:val="007640F4"/>
    <w:rsid w:val="0076412F"/>
    <w:rsid w:val="007644BB"/>
    <w:rsid w:val="007647ED"/>
    <w:rsid w:val="0077259F"/>
    <w:rsid w:val="00772976"/>
    <w:rsid w:val="00775D7F"/>
    <w:rsid w:val="00776D6A"/>
    <w:rsid w:val="00776D76"/>
    <w:rsid w:val="00777929"/>
    <w:rsid w:val="00781B4C"/>
    <w:rsid w:val="0078750A"/>
    <w:rsid w:val="00793F42"/>
    <w:rsid w:val="007A0FA9"/>
    <w:rsid w:val="007A6F63"/>
    <w:rsid w:val="007A7AB0"/>
    <w:rsid w:val="007B7557"/>
    <w:rsid w:val="007C28D2"/>
    <w:rsid w:val="007C533B"/>
    <w:rsid w:val="007D1437"/>
    <w:rsid w:val="007D44B3"/>
    <w:rsid w:val="007D70F9"/>
    <w:rsid w:val="007D737E"/>
    <w:rsid w:val="007E1474"/>
    <w:rsid w:val="007E3403"/>
    <w:rsid w:val="007E518F"/>
    <w:rsid w:val="007E53D2"/>
    <w:rsid w:val="007E5A3A"/>
    <w:rsid w:val="007E602E"/>
    <w:rsid w:val="007E6206"/>
    <w:rsid w:val="007E7CD1"/>
    <w:rsid w:val="007F10C3"/>
    <w:rsid w:val="007F1326"/>
    <w:rsid w:val="007F134C"/>
    <w:rsid w:val="007F1C7F"/>
    <w:rsid w:val="007F2A56"/>
    <w:rsid w:val="007F33CC"/>
    <w:rsid w:val="007F3574"/>
    <w:rsid w:val="007F35C8"/>
    <w:rsid w:val="007F5682"/>
    <w:rsid w:val="007F5DBF"/>
    <w:rsid w:val="007F60CE"/>
    <w:rsid w:val="007F6B1C"/>
    <w:rsid w:val="007F6FCB"/>
    <w:rsid w:val="007F7C1B"/>
    <w:rsid w:val="007F7F7E"/>
    <w:rsid w:val="008032FD"/>
    <w:rsid w:val="00803E92"/>
    <w:rsid w:val="008042E9"/>
    <w:rsid w:val="00806984"/>
    <w:rsid w:val="00811372"/>
    <w:rsid w:val="00814B7F"/>
    <w:rsid w:val="00821FB2"/>
    <w:rsid w:val="00823020"/>
    <w:rsid w:val="0082490E"/>
    <w:rsid w:val="00827AD7"/>
    <w:rsid w:val="008303E7"/>
    <w:rsid w:val="008371EB"/>
    <w:rsid w:val="0084046B"/>
    <w:rsid w:val="008453F0"/>
    <w:rsid w:val="00846989"/>
    <w:rsid w:val="00846D29"/>
    <w:rsid w:val="00847CE7"/>
    <w:rsid w:val="00851874"/>
    <w:rsid w:val="008550A7"/>
    <w:rsid w:val="0085613E"/>
    <w:rsid w:val="00867601"/>
    <w:rsid w:val="0086780A"/>
    <w:rsid w:val="00870E79"/>
    <w:rsid w:val="00871AA7"/>
    <w:rsid w:val="00875F10"/>
    <w:rsid w:val="00876E27"/>
    <w:rsid w:val="008811F6"/>
    <w:rsid w:val="008842C9"/>
    <w:rsid w:val="00884717"/>
    <w:rsid w:val="00885384"/>
    <w:rsid w:val="00886625"/>
    <w:rsid w:val="00890819"/>
    <w:rsid w:val="00891E72"/>
    <w:rsid w:val="00892FE9"/>
    <w:rsid w:val="008A1932"/>
    <w:rsid w:val="008A22ED"/>
    <w:rsid w:val="008A318A"/>
    <w:rsid w:val="008A5EF9"/>
    <w:rsid w:val="008A5F6B"/>
    <w:rsid w:val="008A70E5"/>
    <w:rsid w:val="008A7E69"/>
    <w:rsid w:val="008A7EAC"/>
    <w:rsid w:val="008B2192"/>
    <w:rsid w:val="008B2429"/>
    <w:rsid w:val="008B3769"/>
    <w:rsid w:val="008C1B3C"/>
    <w:rsid w:val="008C20A2"/>
    <w:rsid w:val="008C2CC0"/>
    <w:rsid w:val="008C3190"/>
    <w:rsid w:val="008C5A0F"/>
    <w:rsid w:val="008C7696"/>
    <w:rsid w:val="008D253E"/>
    <w:rsid w:val="008D732C"/>
    <w:rsid w:val="008E0312"/>
    <w:rsid w:val="008E2E27"/>
    <w:rsid w:val="008F03E3"/>
    <w:rsid w:val="008F2062"/>
    <w:rsid w:val="008F6709"/>
    <w:rsid w:val="00900B67"/>
    <w:rsid w:val="00900D62"/>
    <w:rsid w:val="0090519F"/>
    <w:rsid w:val="009141F9"/>
    <w:rsid w:val="00914D3C"/>
    <w:rsid w:val="00915D14"/>
    <w:rsid w:val="00920A2A"/>
    <w:rsid w:val="00921D5B"/>
    <w:rsid w:val="00922C5B"/>
    <w:rsid w:val="00925373"/>
    <w:rsid w:val="00925DDE"/>
    <w:rsid w:val="00932A15"/>
    <w:rsid w:val="00934043"/>
    <w:rsid w:val="009350B5"/>
    <w:rsid w:val="00937507"/>
    <w:rsid w:val="00940118"/>
    <w:rsid w:val="00940831"/>
    <w:rsid w:val="00941999"/>
    <w:rsid w:val="00942029"/>
    <w:rsid w:val="0094261C"/>
    <w:rsid w:val="00945B76"/>
    <w:rsid w:val="00951711"/>
    <w:rsid w:val="00954F59"/>
    <w:rsid w:val="00957CCC"/>
    <w:rsid w:val="00960856"/>
    <w:rsid w:val="00961663"/>
    <w:rsid w:val="00962A2C"/>
    <w:rsid w:val="00963002"/>
    <w:rsid w:val="00963F38"/>
    <w:rsid w:val="0097117A"/>
    <w:rsid w:val="00976F25"/>
    <w:rsid w:val="009806CB"/>
    <w:rsid w:val="0098339E"/>
    <w:rsid w:val="0098547D"/>
    <w:rsid w:val="009862A7"/>
    <w:rsid w:val="009871E3"/>
    <w:rsid w:val="009950E3"/>
    <w:rsid w:val="00995D05"/>
    <w:rsid w:val="009A0094"/>
    <w:rsid w:val="009A27A7"/>
    <w:rsid w:val="009A3254"/>
    <w:rsid w:val="009A3742"/>
    <w:rsid w:val="009A594C"/>
    <w:rsid w:val="009A66BA"/>
    <w:rsid w:val="009B1F31"/>
    <w:rsid w:val="009B27BD"/>
    <w:rsid w:val="009B3854"/>
    <w:rsid w:val="009B475B"/>
    <w:rsid w:val="009C028A"/>
    <w:rsid w:val="009C2324"/>
    <w:rsid w:val="009C35DB"/>
    <w:rsid w:val="009C4759"/>
    <w:rsid w:val="009D1A8D"/>
    <w:rsid w:val="009D7777"/>
    <w:rsid w:val="009E13DE"/>
    <w:rsid w:val="009E30E7"/>
    <w:rsid w:val="009E3F6A"/>
    <w:rsid w:val="009E416C"/>
    <w:rsid w:val="009F24C4"/>
    <w:rsid w:val="009F6AAF"/>
    <w:rsid w:val="009F6F29"/>
    <w:rsid w:val="009F747C"/>
    <w:rsid w:val="00A02813"/>
    <w:rsid w:val="00A028A6"/>
    <w:rsid w:val="00A036A4"/>
    <w:rsid w:val="00A03EDA"/>
    <w:rsid w:val="00A068A6"/>
    <w:rsid w:val="00A14077"/>
    <w:rsid w:val="00A15720"/>
    <w:rsid w:val="00A1757D"/>
    <w:rsid w:val="00A26661"/>
    <w:rsid w:val="00A27F1B"/>
    <w:rsid w:val="00A32812"/>
    <w:rsid w:val="00A35412"/>
    <w:rsid w:val="00A3612A"/>
    <w:rsid w:val="00A42103"/>
    <w:rsid w:val="00A4262F"/>
    <w:rsid w:val="00A4389C"/>
    <w:rsid w:val="00A477F6"/>
    <w:rsid w:val="00A51765"/>
    <w:rsid w:val="00A61600"/>
    <w:rsid w:val="00A66CF9"/>
    <w:rsid w:val="00A739D7"/>
    <w:rsid w:val="00A7572C"/>
    <w:rsid w:val="00A76498"/>
    <w:rsid w:val="00A77F30"/>
    <w:rsid w:val="00A8199E"/>
    <w:rsid w:val="00A81E41"/>
    <w:rsid w:val="00A84B96"/>
    <w:rsid w:val="00A86DAA"/>
    <w:rsid w:val="00A87758"/>
    <w:rsid w:val="00A9128C"/>
    <w:rsid w:val="00A93796"/>
    <w:rsid w:val="00A94798"/>
    <w:rsid w:val="00AA258B"/>
    <w:rsid w:val="00AA298E"/>
    <w:rsid w:val="00AA44A9"/>
    <w:rsid w:val="00AA5CF9"/>
    <w:rsid w:val="00AB4864"/>
    <w:rsid w:val="00AB4ED4"/>
    <w:rsid w:val="00AB6A7F"/>
    <w:rsid w:val="00AC3813"/>
    <w:rsid w:val="00AC3F36"/>
    <w:rsid w:val="00AC4519"/>
    <w:rsid w:val="00AC4B50"/>
    <w:rsid w:val="00AC746C"/>
    <w:rsid w:val="00AC75D5"/>
    <w:rsid w:val="00AD2D8B"/>
    <w:rsid w:val="00AD72BB"/>
    <w:rsid w:val="00AD798D"/>
    <w:rsid w:val="00AE0070"/>
    <w:rsid w:val="00AE7599"/>
    <w:rsid w:val="00AE7CD0"/>
    <w:rsid w:val="00AF621D"/>
    <w:rsid w:val="00AF6298"/>
    <w:rsid w:val="00B00565"/>
    <w:rsid w:val="00B02357"/>
    <w:rsid w:val="00B05AF7"/>
    <w:rsid w:val="00B12847"/>
    <w:rsid w:val="00B14928"/>
    <w:rsid w:val="00B152C4"/>
    <w:rsid w:val="00B15A73"/>
    <w:rsid w:val="00B161DE"/>
    <w:rsid w:val="00B17D0D"/>
    <w:rsid w:val="00B22B23"/>
    <w:rsid w:val="00B25FBD"/>
    <w:rsid w:val="00B26121"/>
    <w:rsid w:val="00B32214"/>
    <w:rsid w:val="00B33384"/>
    <w:rsid w:val="00B34038"/>
    <w:rsid w:val="00B3473E"/>
    <w:rsid w:val="00B35EAC"/>
    <w:rsid w:val="00B3646F"/>
    <w:rsid w:val="00B3702E"/>
    <w:rsid w:val="00B41884"/>
    <w:rsid w:val="00B444D4"/>
    <w:rsid w:val="00B455EB"/>
    <w:rsid w:val="00B457C4"/>
    <w:rsid w:val="00B4603E"/>
    <w:rsid w:val="00B46552"/>
    <w:rsid w:val="00B50AF8"/>
    <w:rsid w:val="00B52731"/>
    <w:rsid w:val="00B52E30"/>
    <w:rsid w:val="00B52F41"/>
    <w:rsid w:val="00B534D8"/>
    <w:rsid w:val="00B53636"/>
    <w:rsid w:val="00B53779"/>
    <w:rsid w:val="00B54B67"/>
    <w:rsid w:val="00B555B6"/>
    <w:rsid w:val="00B55F7A"/>
    <w:rsid w:val="00B576AB"/>
    <w:rsid w:val="00B64B29"/>
    <w:rsid w:val="00B676C9"/>
    <w:rsid w:val="00B72949"/>
    <w:rsid w:val="00B72C62"/>
    <w:rsid w:val="00B73814"/>
    <w:rsid w:val="00B7680D"/>
    <w:rsid w:val="00B7764A"/>
    <w:rsid w:val="00B805A9"/>
    <w:rsid w:val="00B80C49"/>
    <w:rsid w:val="00B81682"/>
    <w:rsid w:val="00B83A39"/>
    <w:rsid w:val="00B8662B"/>
    <w:rsid w:val="00B90D19"/>
    <w:rsid w:val="00B910B0"/>
    <w:rsid w:val="00B9520A"/>
    <w:rsid w:val="00B97492"/>
    <w:rsid w:val="00BA00B7"/>
    <w:rsid w:val="00BA664B"/>
    <w:rsid w:val="00BB0AE5"/>
    <w:rsid w:val="00BB0EC9"/>
    <w:rsid w:val="00BB10FB"/>
    <w:rsid w:val="00BB2F1E"/>
    <w:rsid w:val="00BB67DB"/>
    <w:rsid w:val="00BB771F"/>
    <w:rsid w:val="00BC1D5F"/>
    <w:rsid w:val="00BC38D3"/>
    <w:rsid w:val="00BC3CA6"/>
    <w:rsid w:val="00BC4188"/>
    <w:rsid w:val="00BC4525"/>
    <w:rsid w:val="00BC5A31"/>
    <w:rsid w:val="00BC5FEF"/>
    <w:rsid w:val="00BC772D"/>
    <w:rsid w:val="00BD6D5B"/>
    <w:rsid w:val="00BD7337"/>
    <w:rsid w:val="00BE09AB"/>
    <w:rsid w:val="00BE3F85"/>
    <w:rsid w:val="00BE4FEC"/>
    <w:rsid w:val="00BF1560"/>
    <w:rsid w:val="00BF17A2"/>
    <w:rsid w:val="00BF1BF7"/>
    <w:rsid w:val="00BF4AFA"/>
    <w:rsid w:val="00C00586"/>
    <w:rsid w:val="00C01349"/>
    <w:rsid w:val="00C02EF9"/>
    <w:rsid w:val="00C07232"/>
    <w:rsid w:val="00C075F7"/>
    <w:rsid w:val="00C1122A"/>
    <w:rsid w:val="00C128B6"/>
    <w:rsid w:val="00C13E4E"/>
    <w:rsid w:val="00C20F33"/>
    <w:rsid w:val="00C242CF"/>
    <w:rsid w:val="00C24631"/>
    <w:rsid w:val="00C2514E"/>
    <w:rsid w:val="00C33818"/>
    <w:rsid w:val="00C349FA"/>
    <w:rsid w:val="00C35073"/>
    <w:rsid w:val="00C35711"/>
    <w:rsid w:val="00C36394"/>
    <w:rsid w:val="00C37D73"/>
    <w:rsid w:val="00C47400"/>
    <w:rsid w:val="00C50561"/>
    <w:rsid w:val="00C50B7C"/>
    <w:rsid w:val="00C52616"/>
    <w:rsid w:val="00C5320B"/>
    <w:rsid w:val="00C55820"/>
    <w:rsid w:val="00C55AA1"/>
    <w:rsid w:val="00C55C02"/>
    <w:rsid w:val="00C55E3E"/>
    <w:rsid w:val="00C56E8C"/>
    <w:rsid w:val="00C60958"/>
    <w:rsid w:val="00C63C7D"/>
    <w:rsid w:val="00C64049"/>
    <w:rsid w:val="00C640FE"/>
    <w:rsid w:val="00C64791"/>
    <w:rsid w:val="00C66BD8"/>
    <w:rsid w:val="00C72A2E"/>
    <w:rsid w:val="00C7305E"/>
    <w:rsid w:val="00C81107"/>
    <w:rsid w:val="00C841C3"/>
    <w:rsid w:val="00C86474"/>
    <w:rsid w:val="00C87163"/>
    <w:rsid w:val="00C914BF"/>
    <w:rsid w:val="00C93CBE"/>
    <w:rsid w:val="00C96D3A"/>
    <w:rsid w:val="00CA0147"/>
    <w:rsid w:val="00CA2037"/>
    <w:rsid w:val="00CA4A88"/>
    <w:rsid w:val="00CB1DE0"/>
    <w:rsid w:val="00CB1E59"/>
    <w:rsid w:val="00CB570E"/>
    <w:rsid w:val="00CB5D0C"/>
    <w:rsid w:val="00CB74CF"/>
    <w:rsid w:val="00CC119D"/>
    <w:rsid w:val="00CC227B"/>
    <w:rsid w:val="00CC34C2"/>
    <w:rsid w:val="00CC55BF"/>
    <w:rsid w:val="00CC59A9"/>
    <w:rsid w:val="00CC60A5"/>
    <w:rsid w:val="00CE0851"/>
    <w:rsid w:val="00CE1DA2"/>
    <w:rsid w:val="00CE2379"/>
    <w:rsid w:val="00CE4E92"/>
    <w:rsid w:val="00CE57BC"/>
    <w:rsid w:val="00CE5CD0"/>
    <w:rsid w:val="00CE7C87"/>
    <w:rsid w:val="00CF175F"/>
    <w:rsid w:val="00CF4BE6"/>
    <w:rsid w:val="00CF4DA3"/>
    <w:rsid w:val="00CF6784"/>
    <w:rsid w:val="00CF6CCC"/>
    <w:rsid w:val="00CF7CB2"/>
    <w:rsid w:val="00D02DC8"/>
    <w:rsid w:val="00D06947"/>
    <w:rsid w:val="00D106BF"/>
    <w:rsid w:val="00D12A0A"/>
    <w:rsid w:val="00D14D53"/>
    <w:rsid w:val="00D20A0C"/>
    <w:rsid w:val="00D21547"/>
    <w:rsid w:val="00D21BAE"/>
    <w:rsid w:val="00D23F9A"/>
    <w:rsid w:val="00D339D8"/>
    <w:rsid w:val="00D34AA0"/>
    <w:rsid w:val="00D35817"/>
    <w:rsid w:val="00D363F6"/>
    <w:rsid w:val="00D36C7D"/>
    <w:rsid w:val="00D42B14"/>
    <w:rsid w:val="00D51D37"/>
    <w:rsid w:val="00D52519"/>
    <w:rsid w:val="00D52B6E"/>
    <w:rsid w:val="00D5349B"/>
    <w:rsid w:val="00D565BA"/>
    <w:rsid w:val="00D613F4"/>
    <w:rsid w:val="00D62238"/>
    <w:rsid w:val="00D63ACC"/>
    <w:rsid w:val="00D66B93"/>
    <w:rsid w:val="00D66CFE"/>
    <w:rsid w:val="00D67887"/>
    <w:rsid w:val="00D679F7"/>
    <w:rsid w:val="00D74123"/>
    <w:rsid w:val="00D754DC"/>
    <w:rsid w:val="00D80B63"/>
    <w:rsid w:val="00D81FF4"/>
    <w:rsid w:val="00D82437"/>
    <w:rsid w:val="00D84675"/>
    <w:rsid w:val="00D87062"/>
    <w:rsid w:val="00D94CC5"/>
    <w:rsid w:val="00D95FB3"/>
    <w:rsid w:val="00DA00E2"/>
    <w:rsid w:val="00DA0DC7"/>
    <w:rsid w:val="00DA6A4F"/>
    <w:rsid w:val="00DB4BFC"/>
    <w:rsid w:val="00DB620C"/>
    <w:rsid w:val="00DB625D"/>
    <w:rsid w:val="00DC0898"/>
    <w:rsid w:val="00DC29B7"/>
    <w:rsid w:val="00DD0112"/>
    <w:rsid w:val="00DD1C7E"/>
    <w:rsid w:val="00DD2119"/>
    <w:rsid w:val="00DD224D"/>
    <w:rsid w:val="00DD2539"/>
    <w:rsid w:val="00DD2AC6"/>
    <w:rsid w:val="00DD6A01"/>
    <w:rsid w:val="00DE296A"/>
    <w:rsid w:val="00DE32E0"/>
    <w:rsid w:val="00DE34EA"/>
    <w:rsid w:val="00DE3C3E"/>
    <w:rsid w:val="00DF3ACF"/>
    <w:rsid w:val="00DF565A"/>
    <w:rsid w:val="00DF61C5"/>
    <w:rsid w:val="00DF7622"/>
    <w:rsid w:val="00E03662"/>
    <w:rsid w:val="00E04AE0"/>
    <w:rsid w:val="00E05E1C"/>
    <w:rsid w:val="00E0786D"/>
    <w:rsid w:val="00E14089"/>
    <w:rsid w:val="00E1516B"/>
    <w:rsid w:val="00E157F7"/>
    <w:rsid w:val="00E242A0"/>
    <w:rsid w:val="00E3079B"/>
    <w:rsid w:val="00E33804"/>
    <w:rsid w:val="00E34330"/>
    <w:rsid w:val="00E3490A"/>
    <w:rsid w:val="00E415CD"/>
    <w:rsid w:val="00E4712D"/>
    <w:rsid w:val="00E478D7"/>
    <w:rsid w:val="00E541DB"/>
    <w:rsid w:val="00E55923"/>
    <w:rsid w:val="00E61D22"/>
    <w:rsid w:val="00E65E54"/>
    <w:rsid w:val="00E713CC"/>
    <w:rsid w:val="00E75DF3"/>
    <w:rsid w:val="00E76A68"/>
    <w:rsid w:val="00E76C25"/>
    <w:rsid w:val="00E82250"/>
    <w:rsid w:val="00E82B66"/>
    <w:rsid w:val="00E90542"/>
    <w:rsid w:val="00E91903"/>
    <w:rsid w:val="00E928FB"/>
    <w:rsid w:val="00E9358B"/>
    <w:rsid w:val="00E943F6"/>
    <w:rsid w:val="00E97809"/>
    <w:rsid w:val="00EA2E2D"/>
    <w:rsid w:val="00EA3669"/>
    <w:rsid w:val="00EA55C9"/>
    <w:rsid w:val="00EA64B1"/>
    <w:rsid w:val="00EA6B3B"/>
    <w:rsid w:val="00EA6BD4"/>
    <w:rsid w:val="00EA6F7D"/>
    <w:rsid w:val="00EB0E6D"/>
    <w:rsid w:val="00EB4FDC"/>
    <w:rsid w:val="00EB5503"/>
    <w:rsid w:val="00EB6A62"/>
    <w:rsid w:val="00EB79C7"/>
    <w:rsid w:val="00EC07BD"/>
    <w:rsid w:val="00EC0DC7"/>
    <w:rsid w:val="00EC12E5"/>
    <w:rsid w:val="00EC464B"/>
    <w:rsid w:val="00EC7543"/>
    <w:rsid w:val="00EC7849"/>
    <w:rsid w:val="00ED536D"/>
    <w:rsid w:val="00EE2609"/>
    <w:rsid w:val="00EE5622"/>
    <w:rsid w:val="00EE634C"/>
    <w:rsid w:val="00EF195D"/>
    <w:rsid w:val="00EF43A1"/>
    <w:rsid w:val="00F02A97"/>
    <w:rsid w:val="00F030C8"/>
    <w:rsid w:val="00F14298"/>
    <w:rsid w:val="00F16774"/>
    <w:rsid w:val="00F176B6"/>
    <w:rsid w:val="00F20597"/>
    <w:rsid w:val="00F215B7"/>
    <w:rsid w:val="00F21C1A"/>
    <w:rsid w:val="00F223C0"/>
    <w:rsid w:val="00F23298"/>
    <w:rsid w:val="00F271C4"/>
    <w:rsid w:val="00F335FE"/>
    <w:rsid w:val="00F36A1C"/>
    <w:rsid w:val="00F470CE"/>
    <w:rsid w:val="00F47C46"/>
    <w:rsid w:val="00F47F01"/>
    <w:rsid w:val="00F6191D"/>
    <w:rsid w:val="00F62C43"/>
    <w:rsid w:val="00F63DE7"/>
    <w:rsid w:val="00F67B1C"/>
    <w:rsid w:val="00F74B4B"/>
    <w:rsid w:val="00F76CE5"/>
    <w:rsid w:val="00F802E9"/>
    <w:rsid w:val="00F82012"/>
    <w:rsid w:val="00F84442"/>
    <w:rsid w:val="00F85208"/>
    <w:rsid w:val="00F855BB"/>
    <w:rsid w:val="00F8633E"/>
    <w:rsid w:val="00F91C59"/>
    <w:rsid w:val="00F95722"/>
    <w:rsid w:val="00F96769"/>
    <w:rsid w:val="00F97E6E"/>
    <w:rsid w:val="00FA4250"/>
    <w:rsid w:val="00FA43C6"/>
    <w:rsid w:val="00FA73A6"/>
    <w:rsid w:val="00FB17A8"/>
    <w:rsid w:val="00FB23FE"/>
    <w:rsid w:val="00FB58E0"/>
    <w:rsid w:val="00FB7DC5"/>
    <w:rsid w:val="00FC2EE2"/>
    <w:rsid w:val="00FD4226"/>
    <w:rsid w:val="00FD6EE7"/>
    <w:rsid w:val="00FD703A"/>
    <w:rsid w:val="00FD7F09"/>
    <w:rsid w:val="00FF4046"/>
    <w:rsid w:val="00FF4E7F"/>
    <w:rsid w:val="00FF73BF"/>
    <w:rsid w:val="021C6A11"/>
    <w:rsid w:val="025657AD"/>
    <w:rsid w:val="03A16A61"/>
    <w:rsid w:val="03B64756"/>
    <w:rsid w:val="05AF3B52"/>
    <w:rsid w:val="0668313F"/>
    <w:rsid w:val="068B1EC9"/>
    <w:rsid w:val="06FD1152"/>
    <w:rsid w:val="0A43792E"/>
    <w:rsid w:val="0A892BC4"/>
    <w:rsid w:val="0BFB6956"/>
    <w:rsid w:val="0CEE0054"/>
    <w:rsid w:val="0F655282"/>
    <w:rsid w:val="127E5DF7"/>
    <w:rsid w:val="12DD329C"/>
    <w:rsid w:val="15757288"/>
    <w:rsid w:val="1605412F"/>
    <w:rsid w:val="17FC7140"/>
    <w:rsid w:val="195D78AF"/>
    <w:rsid w:val="1B853B6E"/>
    <w:rsid w:val="1C734345"/>
    <w:rsid w:val="1D37200B"/>
    <w:rsid w:val="1E472722"/>
    <w:rsid w:val="1EDD4E34"/>
    <w:rsid w:val="1F59095F"/>
    <w:rsid w:val="1F8F4381"/>
    <w:rsid w:val="1FED10A7"/>
    <w:rsid w:val="2075775B"/>
    <w:rsid w:val="21B93937"/>
    <w:rsid w:val="24BF1FDE"/>
    <w:rsid w:val="265509A9"/>
    <w:rsid w:val="268362C1"/>
    <w:rsid w:val="291120E1"/>
    <w:rsid w:val="297866BA"/>
    <w:rsid w:val="29C72969"/>
    <w:rsid w:val="2A247DBB"/>
    <w:rsid w:val="2A4A20BF"/>
    <w:rsid w:val="2B9003C6"/>
    <w:rsid w:val="2B98725E"/>
    <w:rsid w:val="2D1B53DC"/>
    <w:rsid w:val="2D57575B"/>
    <w:rsid w:val="2E410EF0"/>
    <w:rsid w:val="2EA414CB"/>
    <w:rsid w:val="2FE57FED"/>
    <w:rsid w:val="31772EC7"/>
    <w:rsid w:val="32F04CDF"/>
    <w:rsid w:val="33D831F4"/>
    <w:rsid w:val="34515C51"/>
    <w:rsid w:val="34B93D2E"/>
    <w:rsid w:val="352073D1"/>
    <w:rsid w:val="38912AC0"/>
    <w:rsid w:val="39A93E39"/>
    <w:rsid w:val="3AB02FA5"/>
    <w:rsid w:val="3B295232"/>
    <w:rsid w:val="3D6179CB"/>
    <w:rsid w:val="3E8D1F7B"/>
    <w:rsid w:val="400E49F6"/>
    <w:rsid w:val="407F2E52"/>
    <w:rsid w:val="435B61A4"/>
    <w:rsid w:val="435F0420"/>
    <w:rsid w:val="43F32B15"/>
    <w:rsid w:val="440A3726"/>
    <w:rsid w:val="45A7200D"/>
    <w:rsid w:val="464E6A92"/>
    <w:rsid w:val="46E26BDC"/>
    <w:rsid w:val="475342CD"/>
    <w:rsid w:val="49170DBF"/>
    <w:rsid w:val="4AEB514B"/>
    <w:rsid w:val="4C827D01"/>
    <w:rsid w:val="4D8012AB"/>
    <w:rsid w:val="4F2A5AEA"/>
    <w:rsid w:val="4F455F5A"/>
    <w:rsid w:val="531E0F9C"/>
    <w:rsid w:val="541E4C3C"/>
    <w:rsid w:val="543D36A4"/>
    <w:rsid w:val="54D933CD"/>
    <w:rsid w:val="54DE4E87"/>
    <w:rsid w:val="55322ADD"/>
    <w:rsid w:val="55F36710"/>
    <w:rsid w:val="56DF6C95"/>
    <w:rsid w:val="57476CAE"/>
    <w:rsid w:val="57D1482F"/>
    <w:rsid w:val="59213594"/>
    <w:rsid w:val="5BF43BC4"/>
    <w:rsid w:val="5E4D0988"/>
    <w:rsid w:val="5F1A6ABC"/>
    <w:rsid w:val="6058095A"/>
    <w:rsid w:val="60AE3960"/>
    <w:rsid w:val="60C82547"/>
    <w:rsid w:val="610C0686"/>
    <w:rsid w:val="61477910"/>
    <w:rsid w:val="618D5C6B"/>
    <w:rsid w:val="6351014E"/>
    <w:rsid w:val="63691DC0"/>
    <w:rsid w:val="64010D7E"/>
    <w:rsid w:val="659A2704"/>
    <w:rsid w:val="6864524C"/>
    <w:rsid w:val="6A527A52"/>
    <w:rsid w:val="6C944351"/>
    <w:rsid w:val="6CC4450B"/>
    <w:rsid w:val="6DEC5AC7"/>
    <w:rsid w:val="6F373053"/>
    <w:rsid w:val="702459EC"/>
    <w:rsid w:val="75E17EDC"/>
    <w:rsid w:val="7670679E"/>
    <w:rsid w:val="76D31F1A"/>
    <w:rsid w:val="76E9529A"/>
    <w:rsid w:val="77E54B1C"/>
    <w:rsid w:val="7803238B"/>
    <w:rsid w:val="79751067"/>
    <w:rsid w:val="7A3E3686"/>
    <w:rsid w:val="7ADB314B"/>
    <w:rsid w:val="7AF661D7"/>
    <w:rsid w:val="7B4A207F"/>
    <w:rsid w:val="7B656EB9"/>
    <w:rsid w:val="7BC434F8"/>
    <w:rsid w:val="7C12344E"/>
    <w:rsid w:val="7D132A29"/>
    <w:rsid w:val="7D332FBE"/>
    <w:rsid w:val="7D3905FD"/>
    <w:rsid w:val="7FE707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Emphasis"/>
    <w:basedOn w:val="5"/>
    <w:qFormat/>
    <w:uiPriority w:val="20"/>
    <w:rPr>
      <w:i/>
      <w:iCs/>
    </w:rPr>
  </w:style>
  <w:style w:type="paragraph" w:styleId="7">
    <w:name w:val="List Paragraph"/>
    <w:basedOn w:val="1"/>
    <w:qFormat/>
    <w:uiPriority w:val="34"/>
    <w:pPr>
      <w:ind w:firstLine="420" w:firstLineChars="200"/>
    </w:pPr>
  </w:style>
  <w:style w:type="character" w:customStyle="1" w:styleId="8">
    <w:name w:val="页眉 字符"/>
    <w:basedOn w:val="5"/>
    <w:link w:val="3"/>
    <w:qFormat/>
    <w:uiPriority w:val="99"/>
    <w:rPr>
      <w:rFonts w:ascii="Times New Roman" w:hAnsi="Times New Roman" w:eastAsia="宋体" w:cs="Times New Roman"/>
      <w:sz w:val="18"/>
      <w:szCs w:val="18"/>
    </w:rPr>
  </w:style>
  <w:style w:type="character" w:customStyle="1" w:styleId="9">
    <w:name w:val="页脚 字符"/>
    <w:basedOn w:val="5"/>
    <w:link w:val="2"/>
    <w:qFormat/>
    <w:uiPriority w:val="99"/>
    <w:rPr>
      <w:rFonts w:ascii="Times New Roman" w:hAnsi="Times New Roman" w:eastAsia="宋体" w:cs="Times New Roman"/>
      <w:sz w:val="18"/>
      <w:szCs w:val="18"/>
    </w:rPr>
  </w:style>
  <w:style w:type="paragraph" w:customStyle="1" w:styleId="1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11">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12">
    <w:name w:val="修订3"/>
    <w:hidden/>
    <w:semiHidden/>
    <w:qFormat/>
    <w:uiPriority w:val="99"/>
    <w:rPr>
      <w:rFonts w:ascii="Times New Roman" w:hAnsi="Times New Roman" w:eastAsia="宋体" w:cs="Times New Roman"/>
      <w:kern w:val="2"/>
      <w:sz w:val="21"/>
      <w:szCs w:val="24"/>
      <w:lang w:val="en-US" w:eastAsia="zh-CN" w:bidi="ar-SA"/>
    </w:rPr>
  </w:style>
  <w:style w:type="paragraph" w:customStyle="1" w:styleId="13">
    <w:name w:val="修订4"/>
    <w:hidden/>
    <w:unhideWhenUsed/>
    <w:qFormat/>
    <w:uiPriority w:val="99"/>
    <w:rPr>
      <w:rFonts w:ascii="Times New Roman" w:hAnsi="Times New Roman" w:eastAsia="宋体" w:cs="Times New Roman"/>
      <w:kern w:val="2"/>
      <w:sz w:val="21"/>
      <w:szCs w:val="24"/>
      <w:lang w:val="en-US" w:eastAsia="zh-CN" w:bidi="ar-SA"/>
    </w:rPr>
  </w:style>
  <w:style w:type="paragraph" w:customStyle="1" w:styleId="14">
    <w:name w:val="修订5"/>
    <w:hidden/>
    <w:unhideWhenUsed/>
    <w:qFormat/>
    <w:uiPriority w:val="99"/>
    <w:rPr>
      <w:rFonts w:ascii="Times New Roman" w:hAnsi="Times New Roman" w:eastAsia="宋体" w:cs="Times New Roman"/>
      <w:kern w:val="2"/>
      <w:sz w:val="21"/>
      <w:szCs w:val="24"/>
      <w:lang w:val="en-US" w:eastAsia="zh-CN" w:bidi="ar-SA"/>
    </w:rPr>
  </w:style>
  <w:style w:type="paragraph" w:customStyle="1" w:styleId="15">
    <w:name w:val="修订6"/>
    <w:hidden/>
    <w:unhideWhenUsed/>
    <w:qFormat/>
    <w:uiPriority w:val="99"/>
    <w:rPr>
      <w:rFonts w:ascii="Times New Roman" w:hAnsi="Times New Roman" w:eastAsia="宋体" w:cs="Times New Roman"/>
      <w:kern w:val="2"/>
      <w:sz w:val="21"/>
      <w:szCs w:val="24"/>
      <w:lang w:val="en-US" w:eastAsia="zh-CN" w:bidi="ar-SA"/>
    </w:rPr>
  </w:style>
  <w:style w:type="paragraph" w:customStyle="1" w:styleId="16">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5611</Words>
  <Characters>5902</Characters>
  <Lines>131</Lines>
  <Paragraphs>86</Paragraphs>
  <TotalTime>0</TotalTime>
  <ScaleCrop>false</ScaleCrop>
  <LinksUpToDate>false</LinksUpToDate>
  <CharactersWithSpaces>6048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2025-11-17T02:01:00Z</dcterms:created>
  <dc:creator>单 泳诗</dc:creator>
  <cp:lastModifiedBy>naijing</cp:lastModifiedBy>
  <cp:lastPrinted>2023-11-02T05:35:00Z</cp:lastPrinted>
  <dcterms:modified xsi:type="dcterms:W3CDTF">2025-11-17T06:25:09Z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676D8746382544F091AC7E89DCE7B91C_13</vt:lpwstr>
  </property>
  <property fmtid="{D5CDD505-2E9C-101B-9397-08002B2CF9AE}" pid="4" name="KSOTemplateDocerSaveRecord">
    <vt:lpwstr>eyJoZGlkIjoiODc4MTFlZDJmNTNjNDFjM2ZhMGZlMjZjNTM4NmEzM2EiLCJ1c2VySWQiOiI3MzkxMDAwMjIifQ==</vt:lpwstr>
  </property>
</Properties>
</file>