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12647C" w14:textId="77777777" w:rsidR="009E66A1" w:rsidRDefault="00000000" w:rsidP="00B367BE">
      <w:pPr>
        <w:pStyle w:val="1"/>
        <w:spacing w:afterLines="100" w:after="240"/>
        <w:rPr>
          <w:rFonts w:ascii="宋体" w:eastAsia="宋体" w:hAnsi="宋体" w:cs="宋体" w:hint="eastAsia"/>
          <w:sz w:val="20"/>
          <w:szCs w:val="20"/>
          <w:lang w:val="en-US"/>
        </w:rPr>
      </w:pPr>
      <w:r>
        <w:rPr>
          <w:rFonts w:ascii="宋体" w:eastAsia="宋体" w:hAnsi="宋体" w:cs="宋体" w:hint="eastAsia"/>
          <w:sz w:val="20"/>
          <w:szCs w:val="20"/>
          <w:lang w:val="en-US"/>
        </w:rPr>
        <w:t xml:space="preserve">证券代码：603038   </w:t>
      </w:r>
      <w:r>
        <w:rPr>
          <w:rFonts w:ascii="宋体" w:eastAsia="宋体" w:hAnsi="宋体" w:cs="宋体" w:hint="eastAsia"/>
          <w:sz w:val="21"/>
          <w:szCs w:val="21"/>
          <w:lang w:val="en-US"/>
        </w:rPr>
        <w:t xml:space="preserve">                                      </w:t>
      </w:r>
      <w:r>
        <w:rPr>
          <w:rFonts w:ascii="宋体" w:eastAsia="宋体" w:hAnsi="宋体" w:cs="宋体" w:hint="eastAsia"/>
          <w:sz w:val="20"/>
          <w:szCs w:val="20"/>
          <w:lang w:val="en-US"/>
        </w:rPr>
        <w:t>证券简称：华立股份</w:t>
      </w:r>
    </w:p>
    <w:p w14:paraId="07F6AFC7" w14:textId="77777777" w:rsidR="009E66A1" w:rsidRDefault="00000000" w:rsidP="00B367BE">
      <w:pPr>
        <w:spacing w:line="360" w:lineRule="auto"/>
        <w:jc w:val="center"/>
        <w:rPr>
          <w:rFonts w:ascii="宋体" w:eastAsia="宋体" w:hAnsi="宋体" w:cs="宋体" w:hint="eastAsia"/>
          <w:b/>
          <w:bCs/>
          <w:sz w:val="44"/>
          <w:szCs w:val="44"/>
        </w:rPr>
      </w:pPr>
      <w:r>
        <w:rPr>
          <w:rFonts w:ascii="宋体" w:eastAsia="宋体" w:hAnsi="宋体" w:cs="宋体" w:hint="eastAsia"/>
          <w:b/>
          <w:bCs/>
          <w:sz w:val="44"/>
          <w:szCs w:val="44"/>
        </w:rPr>
        <w:t>东莞市华立实业股份有限公司</w:t>
      </w:r>
    </w:p>
    <w:p w14:paraId="7677E5CD" w14:textId="77777777" w:rsidR="009E66A1" w:rsidRDefault="00000000">
      <w:pPr>
        <w:spacing w:line="360" w:lineRule="auto"/>
        <w:jc w:val="center"/>
        <w:rPr>
          <w:rFonts w:ascii="宋体" w:eastAsia="宋体" w:hAnsi="宋体" w:cs="宋体" w:hint="eastAsia"/>
          <w:sz w:val="44"/>
          <w:szCs w:val="44"/>
        </w:rPr>
      </w:pPr>
      <w:r>
        <w:rPr>
          <w:rFonts w:ascii="宋体" w:eastAsia="宋体" w:hAnsi="宋体" w:cs="宋体" w:hint="eastAsia"/>
          <w:b/>
          <w:bCs/>
          <w:sz w:val="44"/>
          <w:szCs w:val="44"/>
        </w:rPr>
        <w:t>投资者关系活动记录表</w:t>
      </w:r>
    </w:p>
    <w:p w14:paraId="4F556D09" w14:textId="243817C1" w:rsidR="009E66A1" w:rsidRPr="006F4B71" w:rsidRDefault="00000000">
      <w:pPr>
        <w:spacing w:before="51" w:after="32"/>
        <w:ind w:right="619"/>
        <w:jc w:val="right"/>
        <w:rPr>
          <w:rFonts w:ascii="宋体" w:eastAsia="宋体" w:hAnsi="宋体" w:cs="宋体" w:hint="eastAsia"/>
          <w:sz w:val="20"/>
          <w:szCs w:val="20"/>
          <w:lang w:val="en-US"/>
        </w:rPr>
      </w:pPr>
      <w:r>
        <w:rPr>
          <w:rFonts w:ascii="宋体" w:eastAsia="宋体" w:hAnsi="宋体" w:cs="宋体" w:hint="eastAsia"/>
          <w:sz w:val="20"/>
          <w:szCs w:val="20"/>
        </w:rPr>
        <w:t>编号：</w:t>
      </w:r>
      <w:r>
        <w:rPr>
          <w:rFonts w:ascii="宋体" w:eastAsia="宋体" w:hAnsi="宋体" w:cs="宋体" w:hint="eastAsia"/>
          <w:sz w:val="20"/>
          <w:szCs w:val="20"/>
          <w:lang w:val="en-US"/>
        </w:rPr>
        <w:t>2025</w:t>
      </w:r>
      <w:r>
        <w:rPr>
          <w:rFonts w:ascii="宋体" w:eastAsia="宋体" w:hAnsi="宋体" w:cs="宋体" w:hint="eastAsia"/>
          <w:sz w:val="20"/>
          <w:szCs w:val="20"/>
        </w:rPr>
        <w:t>-</w:t>
      </w:r>
      <w:r w:rsidR="008518C0">
        <w:rPr>
          <w:rFonts w:ascii="宋体" w:eastAsia="宋体" w:hAnsi="宋体" w:cs="宋体" w:hint="eastAsia"/>
          <w:sz w:val="20"/>
          <w:szCs w:val="20"/>
        </w:rPr>
        <w:t>00</w:t>
      </w:r>
      <w:r w:rsidR="009C06C5">
        <w:rPr>
          <w:rFonts w:ascii="宋体" w:eastAsia="宋体" w:hAnsi="宋体" w:cs="宋体" w:hint="eastAsia"/>
          <w:sz w:val="20"/>
          <w:szCs w:val="20"/>
          <w:lang w:val="en-US"/>
        </w:rPr>
        <w:t>3</w:t>
      </w:r>
    </w:p>
    <w:tbl>
      <w:tblPr>
        <w:tblW w:w="85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0" w:type="dxa"/>
        </w:tblCellMar>
        <w:tblLook w:val="04A0" w:firstRow="1" w:lastRow="0" w:firstColumn="1" w:lastColumn="0" w:noHBand="0" w:noVBand="1"/>
      </w:tblPr>
      <w:tblGrid>
        <w:gridCol w:w="2580"/>
        <w:gridCol w:w="5945"/>
      </w:tblGrid>
      <w:tr w:rsidR="009E66A1" w14:paraId="252877D8" w14:textId="77777777">
        <w:trPr>
          <w:trHeight w:val="2801"/>
          <w:jc w:val="center"/>
        </w:trPr>
        <w:tc>
          <w:tcPr>
            <w:tcW w:w="2580" w:type="dxa"/>
          </w:tcPr>
          <w:p w14:paraId="2474CF64" w14:textId="77777777" w:rsidR="009E66A1" w:rsidRDefault="009E66A1">
            <w:pPr>
              <w:pStyle w:val="TableParagraph"/>
              <w:spacing w:before="7"/>
              <w:rPr>
                <w:rFonts w:ascii="宋体" w:eastAsia="宋体" w:hAnsi="宋体" w:cs="宋体" w:hint="eastAsia"/>
                <w:b/>
                <w:bCs/>
                <w:sz w:val="20"/>
                <w:szCs w:val="20"/>
              </w:rPr>
            </w:pPr>
          </w:p>
          <w:p w14:paraId="218DEF9C" w14:textId="77777777" w:rsidR="009E66A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投资者关系活动类别</w:t>
            </w:r>
          </w:p>
        </w:tc>
        <w:tc>
          <w:tcPr>
            <w:tcW w:w="5945" w:type="dxa"/>
          </w:tcPr>
          <w:p w14:paraId="6DF50A09" w14:textId="77777777" w:rsidR="009E66A1" w:rsidRDefault="009E66A1">
            <w:pPr>
              <w:pStyle w:val="TableParagraph"/>
              <w:spacing w:before="7"/>
              <w:rPr>
                <w:rFonts w:ascii="宋体" w:eastAsia="宋体" w:hAnsi="宋体" w:cs="宋体" w:hint="eastAsia"/>
                <w:sz w:val="20"/>
                <w:szCs w:val="20"/>
              </w:rPr>
            </w:pPr>
          </w:p>
          <w:p w14:paraId="2E47DD61" w14:textId="77777777" w:rsidR="009E66A1" w:rsidRDefault="00000000">
            <w:pPr>
              <w:pStyle w:val="TableParagraph"/>
              <w:tabs>
                <w:tab w:val="left" w:pos="2418"/>
              </w:tabs>
              <w:spacing w:before="1"/>
              <w:ind w:left="107"/>
              <w:rPr>
                <w:rFonts w:ascii="宋体" w:eastAsia="宋体" w:hAnsi="宋体" w:cs="宋体" w:hint="eastAsia"/>
                <w:sz w:val="20"/>
                <w:szCs w:val="20"/>
              </w:rPr>
            </w:pPr>
            <w:sdt>
              <w:sdtPr>
                <w:rPr>
                  <w:rFonts w:ascii="宋体" w:eastAsia="宋体" w:hAnsi="宋体" w:cs="宋体" w:hint="eastAsia"/>
                  <w:sz w:val="20"/>
                  <w:szCs w:val="20"/>
                </w:rPr>
                <w:id w:val="249780449"/>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特</w:t>
            </w:r>
            <w:r>
              <w:rPr>
                <w:rFonts w:ascii="宋体" w:eastAsia="宋体" w:hAnsi="宋体" w:cs="宋体" w:hint="eastAsia"/>
                <w:spacing w:val="-3"/>
                <w:sz w:val="20"/>
                <w:szCs w:val="20"/>
              </w:rPr>
              <w:t>定</w:t>
            </w:r>
            <w:r>
              <w:rPr>
                <w:rFonts w:ascii="宋体" w:eastAsia="宋体" w:hAnsi="宋体" w:cs="宋体" w:hint="eastAsia"/>
                <w:sz w:val="20"/>
                <w:szCs w:val="20"/>
              </w:rPr>
              <w:t>对</w:t>
            </w:r>
            <w:r>
              <w:rPr>
                <w:rFonts w:ascii="宋体" w:eastAsia="宋体" w:hAnsi="宋体" w:cs="宋体" w:hint="eastAsia"/>
                <w:spacing w:val="-3"/>
                <w:sz w:val="20"/>
                <w:szCs w:val="20"/>
              </w:rPr>
              <w:t>象</w:t>
            </w:r>
            <w:r>
              <w:rPr>
                <w:rFonts w:ascii="宋体" w:eastAsia="宋体" w:hAnsi="宋体" w:cs="宋体" w:hint="eastAsia"/>
                <w:sz w:val="20"/>
                <w:szCs w:val="20"/>
              </w:rPr>
              <w:t>调研</w:t>
            </w:r>
            <w:r>
              <w:rPr>
                <w:rFonts w:ascii="宋体" w:eastAsia="宋体" w:hAnsi="宋体" w:cs="宋体" w:hint="eastAsia"/>
                <w:sz w:val="20"/>
                <w:szCs w:val="20"/>
              </w:rPr>
              <w:tab/>
            </w:r>
            <w:sdt>
              <w:sdtPr>
                <w:rPr>
                  <w:rFonts w:ascii="宋体" w:eastAsia="宋体" w:hAnsi="宋体" w:cs="宋体" w:hint="eastAsia"/>
                  <w:sz w:val="20"/>
                  <w:szCs w:val="20"/>
                </w:rPr>
                <w:id w:val="-416875725"/>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分</w:t>
            </w:r>
            <w:r>
              <w:rPr>
                <w:rFonts w:ascii="宋体" w:eastAsia="宋体" w:hAnsi="宋体" w:cs="宋体" w:hint="eastAsia"/>
                <w:spacing w:val="-3"/>
                <w:sz w:val="20"/>
                <w:szCs w:val="20"/>
              </w:rPr>
              <w:t>析</w:t>
            </w:r>
            <w:r>
              <w:rPr>
                <w:rFonts w:ascii="宋体" w:eastAsia="宋体" w:hAnsi="宋体" w:cs="宋体" w:hint="eastAsia"/>
                <w:sz w:val="20"/>
                <w:szCs w:val="20"/>
              </w:rPr>
              <w:t>师</w:t>
            </w:r>
            <w:r>
              <w:rPr>
                <w:rFonts w:ascii="宋体" w:eastAsia="宋体" w:hAnsi="宋体" w:cs="宋体" w:hint="eastAsia"/>
                <w:spacing w:val="-3"/>
                <w:sz w:val="20"/>
                <w:szCs w:val="20"/>
              </w:rPr>
              <w:t>会</w:t>
            </w:r>
            <w:r>
              <w:rPr>
                <w:rFonts w:ascii="宋体" w:eastAsia="宋体" w:hAnsi="宋体" w:cs="宋体" w:hint="eastAsia"/>
                <w:sz w:val="20"/>
                <w:szCs w:val="20"/>
              </w:rPr>
              <w:t>议</w:t>
            </w:r>
          </w:p>
          <w:p w14:paraId="3051830F" w14:textId="77777777" w:rsidR="009E66A1" w:rsidRDefault="009E66A1">
            <w:pPr>
              <w:pStyle w:val="TableParagraph"/>
              <w:spacing w:before="11"/>
              <w:rPr>
                <w:rFonts w:ascii="宋体" w:eastAsia="宋体" w:hAnsi="宋体" w:cs="宋体" w:hint="eastAsia"/>
                <w:sz w:val="20"/>
                <w:szCs w:val="20"/>
              </w:rPr>
            </w:pPr>
          </w:p>
          <w:p w14:paraId="53E30CDE" w14:textId="77777777" w:rsidR="009E66A1"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20690601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媒</w:t>
            </w:r>
            <w:r>
              <w:rPr>
                <w:rFonts w:ascii="宋体" w:eastAsia="宋体" w:hAnsi="宋体" w:cs="宋体" w:hint="eastAsia"/>
                <w:spacing w:val="-3"/>
                <w:sz w:val="20"/>
                <w:szCs w:val="20"/>
              </w:rPr>
              <w:t>体</w:t>
            </w:r>
            <w:r>
              <w:rPr>
                <w:rFonts w:ascii="宋体" w:eastAsia="宋体" w:hAnsi="宋体" w:cs="宋体" w:hint="eastAsia"/>
                <w:sz w:val="20"/>
                <w:szCs w:val="20"/>
              </w:rPr>
              <w:t>采访</w:t>
            </w:r>
            <w:r>
              <w:rPr>
                <w:rFonts w:ascii="宋体" w:eastAsia="宋体" w:hAnsi="宋体" w:cs="宋体" w:hint="eastAsia"/>
                <w:sz w:val="20"/>
                <w:szCs w:val="20"/>
              </w:rPr>
              <w:tab/>
            </w:r>
            <w:sdt>
              <w:sdtPr>
                <w:rPr>
                  <w:rFonts w:ascii="宋体" w:eastAsia="宋体" w:hAnsi="宋体" w:cs="宋体" w:hint="eastAsia"/>
                  <w:sz w:val="20"/>
                  <w:szCs w:val="20"/>
                </w:rPr>
                <w:id w:val="-66658901"/>
                <w14:checkbox>
                  <w14:checked w14:val="1"/>
                  <w14:checkedState w14:val="0052" w14:font="Wingdings 2"/>
                  <w14:uncheckedState w14:val="2610" w14:font="MS Gothic"/>
                </w14:checkbox>
              </w:sdtPr>
              <w:sdtContent>
                <w:r>
                  <w:rPr>
                    <w:rFonts w:ascii="Wingdings 2" w:eastAsia="MS Gothic" w:hAnsi="Wingdings 2" w:cs="宋体" w:hint="eastAsia"/>
                    <w:sz w:val="20"/>
                    <w:szCs w:val="20"/>
                  </w:rPr>
                  <w:t>R</w:t>
                </w:r>
              </w:sdtContent>
            </w:sdt>
            <w:r>
              <w:rPr>
                <w:rFonts w:ascii="宋体" w:eastAsia="宋体" w:hAnsi="宋体" w:cs="宋体" w:hint="eastAsia"/>
                <w:sz w:val="20"/>
                <w:szCs w:val="20"/>
              </w:rPr>
              <w:t>业</w:t>
            </w:r>
            <w:r>
              <w:rPr>
                <w:rFonts w:ascii="宋体" w:eastAsia="宋体" w:hAnsi="宋体" w:cs="宋体" w:hint="eastAsia"/>
                <w:spacing w:val="-3"/>
                <w:sz w:val="20"/>
                <w:szCs w:val="20"/>
              </w:rPr>
              <w:t>绩</w:t>
            </w:r>
            <w:r>
              <w:rPr>
                <w:rFonts w:ascii="宋体" w:eastAsia="宋体" w:hAnsi="宋体" w:cs="宋体" w:hint="eastAsia"/>
                <w:sz w:val="20"/>
                <w:szCs w:val="20"/>
              </w:rPr>
              <w:t>说</w:t>
            </w:r>
            <w:r>
              <w:rPr>
                <w:rFonts w:ascii="宋体" w:eastAsia="宋体" w:hAnsi="宋体" w:cs="宋体" w:hint="eastAsia"/>
                <w:spacing w:val="-3"/>
                <w:sz w:val="20"/>
                <w:szCs w:val="20"/>
              </w:rPr>
              <w:t>明</w:t>
            </w:r>
            <w:r>
              <w:rPr>
                <w:rFonts w:ascii="宋体" w:eastAsia="宋体" w:hAnsi="宋体" w:cs="宋体" w:hint="eastAsia"/>
                <w:sz w:val="20"/>
                <w:szCs w:val="20"/>
              </w:rPr>
              <w:t>会</w:t>
            </w:r>
          </w:p>
          <w:p w14:paraId="71CE1793" w14:textId="77777777" w:rsidR="009E66A1" w:rsidRDefault="009E66A1">
            <w:pPr>
              <w:pStyle w:val="TableParagraph"/>
              <w:spacing w:before="8"/>
              <w:rPr>
                <w:rFonts w:ascii="宋体" w:eastAsia="宋体" w:hAnsi="宋体" w:cs="宋体" w:hint="eastAsia"/>
                <w:sz w:val="20"/>
                <w:szCs w:val="20"/>
              </w:rPr>
            </w:pPr>
          </w:p>
          <w:p w14:paraId="0A2A9BFC" w14:textId="77777777" w:rsidR="009E66A1" w:rsidRDefault="00000000">
            <w:pPr>
              <w:pStyle w:val="TableParagraph"/>
              <w:tabs>
                <w:tab w:val="left" w:pos="2418"/>
              </w:tabs>
              <w:ind w:left="107"/>
              <w:rPr>
                <w:rFonts w:ascii="宋体" w:eastAsia="宋体" w:hAnsi="宋体" w:cs="宋体" w:hint="eastAsia"/>
                <w:sz w:val="20"/>
                <w:szCs w:val="20"/>
              </w:rPr>
            </w:pPr>
            <w:sdt>
              <w:sdtPr>
                <w:rPr>
                  <w:rFonts w:ascii="宋体" w:eastAsia="宋体" w:hAnsi="宋体" w:cs="宋体" w:hint="eastAsia"/>
                  <w:sz w:val="20"/>
                  <w:szCs w:val="20"/>
                </w:rPr>
                <w:id w:val="-1848167434"/>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新</w:t>
            </w:r>
            <w:r>
              <w:rPr>
                <w:rFonts w:ascii="宋体" w:eastAsia="宋体" w:hAnsi="宋体" w:cs="宋体" w:hint="eastAsia"/>
                <w:spacing w:val="-3"/>
                <w:sz w:val="20"/>
                <w:szCs w:val="20"/>
              </w:rPr>
              <w:t>闻</w:t>
            </w:r>
            <w:r>
              <w:rPr>
                <w:rFonts w:ascii="宋体" w:eastAsia="宋体" w:hAnsi="宋体" w:cs="宋体" w:hint="eastAsia"/>
                <w:sz w:val="20"/>
                <w:szCs w:val="20"/>
              </w:rPr>
              <w:t>发</w:t>
            </w:r>
            <w:r>
              <w:rPr>
                <w:rFonts w:ascii="宋体" w:eastAsia="宋体" w:hAnsi="宋体" w:cs="宋体" w:hint="eastAsia"/>
                <w:spacing w:val="-3"/>
                <w:sz w:val="20"/>
                <w:szCs w:val="20"/>
              </w:rPr>
              <w:t>布</w:t>
            </w:r>
            <w:r>
              <w:rPr>
                <w:rFonts w:ascii="宋体" w:eastAsia="宋体" w:hAnsi="宋体" w:cs="宋体" w:hint="eastAsia"/>
                <w:sz w:val="20"/>
                <w:szCs w:val="20"/>
              </w:rPr>
              <w:t>会</w:t>
            </w:r>
            <w:r>
              <w:rPr>
                <w:rFonts w:ascii="宋体" w:eastAsia="宋体" w:hAnsi="宋体" w:cs="宋体" w:hint="eastAsia"/>
                <w:sz w:val="20"/>
                <w:szCs w:val="20"/>
              </w:rPr>
              <w:tab/>
            </w:r>
            <w:sdt>
              <w:sdtPr>
                <w:rPr>
                  <w:rFonts w:ascii="宋体" w:eastAsia="宋体" w:hAnsi="宋体" w:cs="宋体" w:hint="eastAsia"/>
                  <w:sz w:val="20"/>
                  <w:szCs w:val="20"/>
                </w:rPr>
                <w:id w:val="41204969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路</w:t>
            </w:r>
            <w:r>
              <w:rPr>
                <w:rFonts w:ascii="宋体" w:eastAsia="宋体" w:hAnsi="宋体" w:cs="宋体" w:hint="eastAsia"/>
                <w:spacing w:val="-3"/>
                <w:sz w:val="20"/>
                <w:szCs w:val="20"/>
              </w:rPr>
              <w:t>演</w:t>
            </w:r>
            <w:r>
              <w:rPr>
                <w:rFonts w:ascii="宋体" w:eastAsia="宋体" w:hAnsi="宋体" w:cs="宋体" w:hint="eastAsia"/>
                <w:sz w:val="20"/>
                <w:szCs w:val="20"/>
              </w:rPr>
              <w:t>活动</w:t>
            </w:r>
          </w:p>
          <w:p w14:paraId="1AB4B023" w14:textId="77777777" w:rsidR="009E66A1" w:rsidRDefault="009E66A1">
            <w:pPr>
              <w:pStyle w:val="TableParagraph"/>
              <w:spacing w:before="8"/>
              <w:rPr>
                <w:rFonts w:ascii="宋体" w:eastAsia="宋体" w:hAnsi="宋体" w:cs="宋体" w:hint="eastAsia"/>
                <w:sz w:val="20"/>
                <w:szCs w:val="20"/>
              </w:rPr>
            </w:pPr>
          </w:p>
          <w:p w14:paraId="6C942AF8" w14:textId="77777777" w:rsidR="009E66A1"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1333366911"/>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现场参观</w:t>
            </w:r>
          </w:p>
          <w:p w14:paraId="17BEC60C" w14:textId="77777777" w:rsidR="009E66A1" w:rsidRDefault="009E66A1">
            <w:pPr>
              <w:pStyle w:val="TableParagraph"/>
              <w:spacing w:before="11"/>
              <w:rPr>
                <w:rFonts w:ascii="宋体" w:eastAsia="宋体" w:hAnsi="宋体" w:cs="宋体" w:hint="eastAsia"/>
                <w:sz w:val="20"/>
                <w:szCs w:val="20"/>
              </w:rPr>
            </w:pPr>
          </w:p>
          <w:p w14:paraId="6439346D" w14:textId="77777777" w:rsidR="009E66A1" w:rsidRDefault="00000000">
            <w:pPr>
              <w:pStyle w:val="TableParagraph"/>
              <w:ind w:left="107"/>
              <w:rPr>
                <w:rFonts w:ascii="宋体" w:eastAsia="宋体" w:hAnsi="宋体" w:cs="宋体" w:hint="eastAsia"/>
                <w:sz w:val="20"/>
                <w:szCs w:val="20"/>
              </w:rPr>
            </w:pPr>
            <w:sdt>
              <w:sdtPr>
                <w:rPr>
                  <w:rFonts w:ascii="宋体" w:eastAsia="宋体" w:hAnsi="宋体" w:cs="宋体" w:hint="eastAsia"/>
                  <w:sz w:val="20"/>
                  <w:szCs w:val="20"/>
                </w:rPr>
                <w:id w:val="400885218"/>
                <w14:checkbox>
                  <w14:checked w14:val="0"/>
                  <w14:checkedState w14:val="0052" w14:font="Wingdings 2"/>
                  <w14:uncheckedState w14:val="2610" w14:font="MS Gothic"/>
                </w14:checkbox>
              </w:sdtPr>
              <w:sdtContent>
                <w:r>
                  <w:rPr>
                    <w:rFonts w:ascii="MS Gothic" w:eastAsia="MS Gothic" w:hAnsi="MS Gothic" w:cs="宋体" w:hint="eastAsia"/>
                    <w:sz w:val="20"/>
                    <w:szCs w:val="20"/>
                  </w:rPr>
                  <w:t>☐</w:t>
                </w:r>
              </w:sdtContent>
            </w:sdt>
            <w:r>
              <w:rPr>
                <w:rFonts w:ascii="宋体" w:eastAsia="宋体" w:hAnsi="宋体" w:cs="宋体" w:hint="eastAsia"/>
                <w:sz w:val="20"/>
                <w:szCs w:val="20"/>
              </w:rPr>
              <w:t>其他（</w:t>
            </w:r>
            <w:r>
              <w:rPr>
                <w:rFonts w:ascii="宋体" w:eastAsia="宋体" w:hAnsi="宋体" w:cs="宋体" w:hint="eastAsia"/>
                <w:sz w:val="20"/>
                <w:szCs w:val="20"/>
                <w:u w:val="single"/>
              </w:rPr>
              <w:t>请文字说明其他活动内容）</w:t>
            </w:r>
          </w:p>
        </w:tc>
      </w:tr>
      <w:tr w:rsidR="009E66A1" w14:paraId="2A51F74C" w14:textId="77777777" w:rsidTr="00B367BE">
        <w:trPr>
          <w:trHeight w:val="671"/>
          <w:jc w:val="center"/>
        </w:trPr>
        <w:tc>
          <w:tcPr>
            <w:tcW w:w="2580" w:type="dxa"/>
            <w:vAlign w:val="center"/>
          </w:tcPr>
          <w:p w14:paraId="76701D1D" w14:textId="77777777" w:rsidR="009E66A1" w:rsidRDefault="00000000">
            <w:pPr>
              <w:pStyle w:val="TableParagraph"/>
              <w:spacing w:line="560" w:lineRule="exact"/>
              <w:ind w:left="107" w:right="96"/>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参与单位名称及人员姓名</w:t>
            </w:r>
          </w:p>
        </w:tc>
        <w:tc>
          <w:tcPr>
            <w:tcW w:w="5945" w:type="dxa"/>
            <w:vAlign w:val="center"/>
          </w:tcPr>
          <w:p w14:paraId="0A620ABB" w14:textId="2B6247B0" w:rsidR="009E66A1"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hint="eastAsia"/>
                <w:sz w:val="20"/>
                <w:szCs w:val="20"/>
              </w:rPr>
              <w:t>线上参与公司202</w:t>
            </w:r>
            <w:r w:rsidR="006F4B71">
              <w:rPr>
                <w:rFonts w:asciiTheme="minorEastAsia" w:eastAsiaTheme="minorEastAsia" w:hAnsiTheme="minorEastAsia" w:cs="宋体"/>
                <w:sz w:val="20"/>
                <w:szCs w:val="20"/>
                <w:lang w:val="en-US"/>
              </w:rPr>
              <w:t>5</w:t>
            </w:r>
            <w:r>
              <w:rPr>
                <w:rFonts w:asciiTheme="minorEastAsia" w:eastAsiaTheme="minorEastAsia" w:hAnsiTheme="minorEastAsia" w:cs="宋体" w:hint="eastAsia"/>
                <w:sz w:val="20"/>
                <w:szCs w:val="20"/>
              </w:rPr>
              <w:t>年</w:t>
            </w:r>
            <w:r w:rsidR="009C06C5">
              <w:rPr>
                <w:rFonts w:asciiTheme="minorEastAsia" w:eastAsiaTheme="minorEastAsia" w:hAnsiTheme="minorEastAsia" w:cs="宋体" w:hint="eastAsia"/>
                <w:sz w:val="20"/>
                <w:szCs w:val="20"/>
                <w:lang w:val="en-US"/>
              </w:rPr>
              <w:t>第三季度</w:t>
            </w:r>
            <w:r>
              <w:rPr>
                <w:rFonts w:asciiTheme="minorEastAsia" w:eastAsiaTheme="minorEastAsia" w:hAnsiTheme="minorEastAsia" w:cs="宋体" w:hint="eastAsia"/>
                <w:sz w:val="20"/>
                <w:szCs w:val="20"/>
              </w:rPr>
              <w:t>业绩说明会的投资者</w:t>
            </w:r>
          </w:p>
        </w:tc>
      </w:tr>
      <w:tr w:rsidR="009E66A1" w14:paraId="5E0F7504" w14:textId="77777777">
        <w:trPr>
          <w:trHeight w:val="558"/>
          <w:jc w:val="center"/>
        </w:trPr>
        <w:tc>
          <w:tcPr>
            <w:tcW w:w="2580" w:type="dxa"/>
            <w:vAlign w:val="center"/>
          </w:tcPr>
          <w:p w14:paraId="1CF4F7C1" w14:textId="77777777" w:rsidR="009E66A1"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时间</w:t>
            </w:r>
          </w:p>
        </w:tc>
        <w:tc>
          <w:tcPr>
            <w:tcW w:w="5945" w:type="dxa"/>
            <w:vAlign w:val="center"/>
          </w:tcPr>
          <w:p w14:paraId="494CA159" w14:textId="43BD12D9" w:rsidR="009E66A1" w:rsidRDefault="00000000">
            <w:pPr>
              <w:spacing w:before="100" w:beforeAutospacing="1" w:line="360" w:lineRule="auto"/>
              <w:rPr>
                <w:rFonts w:hint="eastAsia"/>
                <w:sz w:val="20"/>
                <w:szCs w:val="20"/>
              </w:rPr>
            </w:pPr>
            <w:r>
              <w:rPr>
                <w:rFonts w:asciiTheme="minorEastAsia" w:eastAsiaTheme="minorEastAsia" w:hAnsiTheme="minorEastAsia" w:cstheme="minorEastAsia" w:hint="eastAsia"/>
                <w:sz w:val="20"/>
                <w:szCs w:val="20"/>
              </w:rPr>
              <w:t>2025年</w:t>
            </w:r>
            <w:r w:rsidR="009C06C5">
              <w:rPr>
                <w:rFonts w:asciiTheme="minorEastAsia" w:eastAsiaTheme="minorEastAsia" w:hAnsiTheme="minorEastAsia" w:cstheme="minorEastAsia" w:hint="eastAsia"/>
                <w:sz w:val="20"/>
                <w:szCs w:val="20"/>
              </w:rPr>
              <w:t>11</w:t>
            </w:r>
            <w:r>
              <w:rPr>
                <w:rFonts w:asciiTheme="minorEastAsia" w:eastAsiaTheme="minorEastAsia" w:hAnsiTheme="minorEastAsia" w:cstheme="minorEastAsia" w:hint="eastAsia"/>
                <w:sz w:val="20"/>
                <w:szCs w:val="20"/>
              </w:rPr>
              <w:t>月</w:t>
            </w:r>
            <w:r w:rsidR="009C06C5">
              <w:rPr>
                <w:rFonts w:asciiTheme="minorEastAsia" w:eastAsiaTheme="minorEastAsia" w:hAnsiTheme="minorEastAsia" w:cstheme="minorEastAsia" w:hint="eastAsia"/>
                <w:sz w:val="20"/>
                <w:szCs w:val="20"/>
              </w:rPr>
              <w:t>17</w:t>
            </w:r>
            <w:r>
              <w:rPr>
                <w:rFonts w:asciiTheme="minorEastAsia" w:eastAsiaTheme="minorEastAsia" w:hAnsiTheme="minorEastAsia" w:cstheme="minorEastAsia" w:hint="eastAsia"/>
                <w:sz w:val="20"/>
                <w:szCs w:val="20"/>
              </w:rPr>
              <w:t>日 1</w:t>
            </w:r>
            <w:r w:rsidR="006F4B71">
              <w:rPr>
                <w:rFonts w:asciiTheme="minorEastAsia" w:eastAsiaTheme="minorEastAsia" w:hAnsiTheme="minorEastAsia" w:cstheme="minorEastAsia" w:hint="eastAsia"/>
                <w:sz w:val="20"/>
                <w:szCs w:val="20"/>
              </w:rPr>
              <w:t>5</w:t>
            </w:r>
            <w:r>
              <w:rPr>
                <w:rFonts w:asciiTheme="minorEastAsia" w:eastAsiaTheme="minorEastAsia" w:hAnsiTheme="minorEastAsia" w:cstheme="minorEastAsia" w:hint="eastAsia"/>
                <w:sz w:val="20"/>
                <w:szCs w:val="20"/>
              </w:rPr>
              <w:t>:</w:t>
            </w:r>
            <w:r w:rsidR="009C06C5">
              <w:rPr>
                <w:rFonts w:asciiTheme="minorEastAsia" w:eastAsiaTheme="minorEastAsia" w:hAnsiTheme="minorEastAsia" w:cstheme="minorEastAsia" w:hint="eastAsia"/>
                <w:sz w:val="20"/>
                <w:szCs w:val="20"/>
              </w:rPr>
              <w:t>3</w:t>
            </w:r>
            <w:r>
              <w:rPr>
                <w:rFonts w:asciiTheme="minorEastAsia" w:eastAsiaTheme="minorEastAsia" w:hAnsiTheme="minorEastAsia" w:cstheme="minorEastAsia" w:hint="eastAsia"/>
                <w:sz w:val="20"/>
                <w:szCs w:val="20"/>
              </w:rPr>
              <w:t>0-1</w:t>
            </w:r>
            <w:r w:rsidR="006F4B71">
              <w:rPr>
                <w:rFonts w:asciiTheme="minorEastAsia" w:eastAsiaTheme="minorEastAsia" w:hAnsiTheme="minorEastAsia" w:cstheme="minorEastAsia" w:hint="eastAsia"/>
                <w:sz w:val="20"/>
                <w:szCs w:val="20"/>
              </w:rPr>
              <w:t>6</w:t>
            </w:r>
            <w:r>
              <w:rPr>
                <w:rFonts w:asciiTheme="minorEastAsia" w:eastAsiaTheme="minorEastAsia" w:hAnsiTheme="minorEastAsia" w:cstheme="minorEastAsia" w:hint="eastAsia"/>
                <w:sz w:val="20"/>
                <w:szCs w:val="20"/>
              </w:rPr>
              <w:t>:</w:t>
            </w:r>
            <w:r w:rsidR="009C06C5">
              <w:rPr>
                <w:rFonts w:asciiTheme="minorEastAsia" w:eastAsiaTheme="minorEastAsia" w:hAnsiTheme="minorEastAsia" w:cstheme="minorEastAsia" w:hint="eastAsia"/>
                <w:sz w:val="20"/>
                <w:szCs w:val="20"/>
              </w:rPr>
              <w:t>3</w:t>
            </w:r>
            <w:r>
              <w:rPr>
                <w:rFonts w:asciiTheme="minorEastAsia" w:eastAsiaTheme="minorEastAsia" w:hAnsiTheme="minorEastAsia" w:cstheme="minorEastAsia" w:hint="eastAsia"/>
                <w:sz w:val="20"/>
                <w:szCs w:val="20"/>
              </w:rPr>
              <w:t>0</w:t>
            </w:r>
          </w:p>
        </w:tc>
      </w:tr>
      <w:tr w:rsidR="009E66A1" w14:paraId="5C22E297" w14:textId="77777777">
        <w:trPr>
          <w:trHeight w:val="561"/>
          <w:jc w:val="center"/>
        </w:trPr>
        <w:tc>
          <w:tcPr>
            <w:tcW w:w="2580" w:type="dxa"/>
            <w:vAlign w:val="center"/>
          </w:tcPr>
          <w:p w14:paraId="44DD0248" w14:textId="77777777" w:rsidR="009E66A1" w:rsidRDefault="00000000">
            <w:pPr>
              <w:pStyle w:val="TableParagraph"/>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t>地点</w:t>
            </w:r>
          </w:p>
        </w:tc>
        <w:tc>
          <w:tcPr>
            <w:tcW w:w="5945" w:type="dxa"/>
            <w:vAlign w:val="center"/>
          </w:tcPr>
          <w:p w14:paraId="2AF8F589" w14:textId="77777777" w:rsidR="009E66A1" w:rsidRDefault="00000000">
            <w:pPr>
              <w:pStyle w:val="TableParagraph"/>
              <w:spacing w:before="100" w:beforeAutospacing="1" w:line="360" w:lineRule="auto"/>
              <w:rPr>
                <w:rFonts w:asciiTheme="minorEastAsia" w:eastAsiaTheme="minorEastAsia" w:hAnsiTheme="minorEastAsia" w:cs="宋体" w:hint="eastAsia"/>
                <w:sz w:val="20"/>
                <w:szCs w:val="20"/>
              </w:rPr>
            </w:pPr>
            <w:r>
              <w:rPr>
                <w:rFonts w:asciiTheme="minorEastAsia" w:eastAsiaTheme="minorEastAsia" w:hAnsiTheme="minorEastAsia" w:cs="宋体"/>
                <w:sz w:val="20"/>
                <w:szCs w:val="20"/>
              </w:rPr>
              <w:t>价值在线（https://www.ir-online.cn/）网络互动</w:t>
            </w:r>
          </w:p>
        </w:tc>
      </w:tr>
      <w:tr w:rsidR="009E66A1" w14:paraId="166E9807" w14:textId="77777777">
        <w:trPr>
          <w:trHeight w:val="558"/>
          <w:jc w:val="center"/>
        </w:trPr>
        <w:tc>
          <w:tcPr>
            <w:tcW w:w="2580" w:type="dxa"/>
            <w:vAlign w:val="center"/>
          </w:tcPr>
          <w:p w14:paraId="4143FD42" w14:textId="77777777" w:rsidR="009E66A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上市公司接待人员姓名</w:t>
            </w:r>
          </w:p>
        </w:tc>
        <w:tc>
          <w:tcPr>
            <w:tcW w:w="5945" w:type="dxa"/>
            <w:vAlign w:val="center"/>
          </w:tcPr>
          <w:p w14:paraId="6DC7FE48" w14:textId="3A18847C" w:rsidR="009E66A1" w:rsidRDefault="00000000">
            <w:pPr>
              <w:pStyle w:val="TableParagraph"/>
              <w:spacing w:before="100" w:beforeAutospacing="1" w:line="360" w:lineRule="auto"/>
              <w:rPr>
                <w:rFonts w:ascii="宋体" w:eastAsia="宋体" w:hAnsi="宋体" w:cs="宋体" w:hint="eastAsia"/>
                <w:sz w:val="20"/>
                <w:szCs w:val="20"/>
              </w:rPr>
            </w:pPr>
            <w:r>
              <w:rPr>
                <w:rFonts w:ascii="宋体" w:eastAsia="宋体" w:hAnsi="宋体" w:cs="宋体"/>
                <w:sz w:val="20"/>
                <w:szCs w:val="20"/>
              </w:rPr>
              <w:t xml:space="preserve">董事长 </w:t>
            </w:r>
            <w:r w:rsidR="006F4B71">
              <w:rPr>
                <w:rFonts w:ascii="宋体" w:eastAsia="宋体" w:hAnsi="宋体" w:cs="宋体" w:hint="eastAsia"/>
                <w:sz w:val="20"/>
                <w:szCs w:val="20"/>
              </w:rPr>
              <w:t>总裁 董建刚</w:t>
            </w:r>
            <w:r>
              <w:rPr>
                <w:rFonts w:ascii="宋体" w:eastAsia="宋体" w:hAnsi="宋体" w:cs="宋体"/>
                <w:sz w:val="20"/>
                <w:szCs w:val="20"/>
              </w:rPr>
              <w:br/>
              <w:t>董事、</w:t>
            </w:r>
            <w:r w:rsidR="00516729">
              <w:rPr>
                <w:rFonts w:ascii="宋体" w:eastAsia="宋体" w:hAnsi="宋体" w:cs="宋体" w:hint="eastAsia"/>
                <w:sz w:val="20"/>
                <w:szCs w:val="20"/>
              </w:rPr>
              <w:t>副总裁、</w:t>
            </w:r>
            <w:r>
              <w:rPr>
                <w:rFonts w:ascii="宋体" w:eastAsia="宋体" w:hAnsi="宋体" w:cs="宋体"/>
                <w:sz w:val="20"/>
                <w:szCs w:val="20"/>
              </w:rPr>
              <w:t>财务总监 孙媛媛</w:t>
            </w:r>
            <w:r w:rsidR="006F4B71">
              <w:rPr>
                <w:rFonts w:ascii="宋体" w:eastAsia="宋体" w:hAnsi="宋体" w:cs="宋体"/>
                <w:sz w:val="20"/>
                <w:szCs w:val="20"/>
              </w:rPr>
              <w:br/>
              <w:t>副总裁、董事会秘书 孙伟</w:t>
            </w:r>
            <w:r>
              <w:rPr>
                <w:rFonts w:ascii="宋体" w:eastAsia="宋体" w:hAnsi="宋体" w:cs="宋体"/>
                <w:sz w:val="20"/>
                <w:szCs w:val="20"/>
              </w:rPr>
              <w:br/>
              <w:t>独立董事 薛玉莲</w:t>
            </w:r>
          </w:p>
        </w:tc>
      </w:tr>
      <w:tr w:rsidR="009E66A1" w14:paraId="42E70676" w14:textId="77777777" w:rsidTr="00B367BE">
        <w:trPr>
          <w:trHeight w:val="983"/>
          <w:jc w:val="center"/>
        </w:trPr>
        <w:tc>
          <w:tcPr>
            <w:tcW w:w="2580" w:type="dxa"/>
            <w:vAlign w:val="center"/>
          </w:tcPr>
          <w:p w14:paraId="7C5DD785" w14:textId="77777777" w:rsidR="009E66A1" w:rsidRDefault="00000000" w:rsidP="00B367BE">
            <w:pPr>
              <w:pStyle w:val="TableParagraph"/>
              <w:spacing w:before="1" w:line="499" w:lineRule="auto"/>
              <w:ind w:left="107" w:right="96"/>
              <w:jc w:val="center"/>
              <w:rPr>
                <w:rFonts w:ascii="宋体" w:eastAsia="宋体" w:hAnsi="宋体" w:cs="宋体" w:hint="eastAsia"/>
                <w:b/>
                <w:bCs/>
                <w:sz w:val="20"/>
                <w:szCs w:val="20"/>
              </w:rPr>
            </w:pPr>
            <w:r>
              <w:rPr>
                <w:rFonts w:ascii="宋体" w:eastAsia="宋体" w:hAnsi="宋体" w:cs="宋体" w:hint="eastAsia"/>
                <w:b/>
                <w:bCs/>
                <w:sz w:val="20"/>
                <w:szCs w:val="20"/>
              </w:rPr>
              <w:t>投资者关系活动主要内容介绍</w:t>
            </w:r>
          </w:p>
        </w:tc>
        <w:tc>
          <w:tcPr>
            <w:tcW w:w="5945" w:type="dxa"/>
            <w:vAlign w:val="center"/>
          </w:tcPr>
          <w:p w14:paraId="6278027B" w14:textId="77777777" w:rsidR="00B367BE" w:rsidRDefault="00B367BE" w:rsidP="00B367BE">
            <w:pPr>
              <w:pStyle w:val="TableParagraph"/>
              <w:spacing w:line="360" w:lineRule="auto"/>
              <w:ind w:rightChars="75" w:right="165" w:firstLineChars="200" w:firstLine="402"/>
              <w:jc w:val="both"/>
              <w:rPr>
                <w:rFonts w:ascii="宋体" w:eastAsia="宋体" w:hAnsi="宋体" w:cs="宋体" w:hint="eastAsia"/>
                <w:b/>
                <w:sz w:val="20"/>
              </w:rPr>
            </w:pPr>
            <w:r>
              <w:rPr>
                <w:rFonts w:ascii="宋体" w:eastAsia="宋体" w:hAnsi="宋体" w:cs="宋体"/>
                <w:b/>
                <w:sz w:val="20"/>
              </w:rPr>
              <w:t>1.公司新增了水务新产业，三季度部分项目验收计收。请问水务产业后续的项目储备和推进计划是怎样的</w:t>
            </w:r>
            <w:r>
              <w:rPr>
                <w:rFonts w:ascii="宋体" w:eastAsia="宋体" w:hAnsi="宋体" w:cs="宋体" w:hint="eastAsia"/>
                <w:b/>
                <w:sz w:val="20"/>
              </w:rPr>
              <w:t>？</w:t>
            </w:r>
          </w:p>
          <w:p w14:paraId="1E8DD4D8" w14:textId="763568D0" w:rsidR="009E66A1" w:rsidRDefault="00B367BE" w:rsidP="00B367BE">
            <w:pPr>
              <w:pStyle w:val="TableParagraph"/>
              <w:spacing w:line="360" w:lineRule="auto"/>
              <w:ind w:rightChars="75" w:right="165" w:firstLineChars="200" w:firstLine="400"/>
              <w:jc w:val="both"/>
              <w:rPr>
                <w:rFonts w:ascii="宋体" w:eastAsia="宋体" w:hAnsi="宋体" w:cs="宋体" w:hint="eastAsia"/>
                <w:sz w:val="20"/>
              </w:rPr>
            </w:pPr>
            <w:r>
              <w:rPr>
                <w:rFonts w:ascii="宋体" w:eastAsia="宋体" w:hAnsi="宋体" w:cs="宋体"/>
                <w:sz w:val="20"/>
              </w:rPr>
              <w:t>答:尊敬的投资者您好！2025年，尚源智能成功开拓山西阳泉、川西康定、新疆等新区域，正式进入西部市场并填补区域空白；业务结构持续优化，市政供水项目中标实现突破性进展，尚源品牌逐渐从集镇走向市政主流通道；千吨/万吨级集镇水厂占比明显提升。感谢您的关注！</w:t>
            </w:r>
            <w:r>
              <w:rPr>
                <w:rFonts w:ascii="宋体" w:eastAsia="宋体" w:hAnsi="宋体" w:cs="宋体"/>
                <w:sz w:val="20"/>
              </w:rPr>
              <w:br/>
            </w:r>
            <w:r>
              <w:rPr>
                <w:rFonts w:ascii="宋体" w:eastAsia="宋体" w:hAnsi="宋体" w:cs="宋体"/>
                <w:b/>
                <w:sz w:val="20"/>
              </w:rPr>
              <w:t xml:space="preserve">    2.虹湾家居平台线上线下联动发力，取得了一定成果。未来在提升平台影响力和销售业绩方面，公司有什么战略规划？</w:t>
            </w:r>
            <w:r>
              <w:rPr>
                <w:rFonts w:ascii="宋体" w:eastAsia="宋体" w:hAnsi="宋体" w:cs="宋体"/>
                <w:b/>
                <w:sz w:val="20"/>
              </w:rPr>
              <w:br/>
            </w:r>
            <w:r>
              <w:rPr>
                <w:rFonts w:ascii="宋体" w:eastAsia="宋体" w:hAnsi="宋体" w:cs="宋体"/>
                <w:sz w:val="20"/>
              </w:rPr>
              <w:t xml:space="preserve">    答:尊敬的投资者您好！公司在虹湾家居平台的战略规划方面，将继续深化线上线下整合营销的策略。线下方面，公司将精准参与中国建博会、中国家博会、广州设计周等有影响力的行业展会，进一步扩大品牌曝光度和影响力；线上方面，公司将联动达人搭建自</w:t>
            </w:r>
            <w:r>
              <w:rPr>
                <w:rFonts w:ascii="宋体" w:eastAsia="宋体" w:hAnsi="宋体" w:cs="宋体"/>
                <w:sz w:val="20"/>
              </w:rPr>
              <w:lastRenderedPageBreak/>
              <w:t>媒体平台矩阵，通过创新的内容营销和互动活动，吸引更多消费者关注和提升平台的用户粘性。此外，公司还将依托虹湾家居平台（www.hw-scm.com）提供的“先款后货”“今单明发”、“零起订”的服务策略，通过整合产业链的产品流、信息流、资金流、物流、配套服务等资源，为客户提供便捷高效服务，提升平台的竞争力和市场份额。感谢您的关注！</w:t>
            </w:r>
            <w:r>
              <w:rPr>
                <w:rFonts w:ascii="宋体" w:eastAsia="宋体" w:hAnsi="宋体" w:cs="宋体"/>
                <w:sz w:val="20"/>
              </w:rPr>
              <w:br/>
            </w:r>
            <w:r>
              <w:rPr>
                <w:rFonts w:ascii="宋体" w:eastAsia="宋体" w:hAnsi="宋体" w:cs="宋体"/>
                <w:b/>
                <w:sz w:val="20"/>
              </w:rPr>
              <w:t xml:space="preserve">    3.智慧水务业务成为重要增长引擎，尚源智能在全国布局取得进展。公司如何在开拓新市场的同时，确保服务质量和项目交付效率？</w:t>
            </w:r>
            <w:r>
              <w:rPr>
                <w:rFonts w:ascii="宋体" w:eastAsia="宋体" w:hAnsi="宋体" w:cs="宋体"/>
                <w:b/>
                <w:sz w:val="20"/>
              </w:rPr>
              <w:br/>
            </w:r>
            <w:r>
              <w:rPr>
                <w:rFonts w:ascii="宋体" w:eastAsia="宋体" w:hAnsi="宋体" w:cs="宋体"/>
                <w:sz w:val="20"/>
              </w:rPr>
              <w:t xml:space="preserve">    答:尊敬的投资者您好！公司在开拓智慧水务业务新市场的同时，通过一系列措施确保服务质量和项目交付效率。公司以产品创新为核心，驱动解决方案升级，推出了融合智能化、模块化、高效能特性的“S7系列一体化装备水厂”，并上线智能反洗、AI诊断、智能加药等核心模块，探索性接入AI大模型，以技术进步提升服务效率和质量。尚源智能新增专利23项、软件著作权11项，并完成双体系认证、节能认证、计量认证等核心资质认定，这些举措有助于提升公司的行业竞争力和服务质量。公司通过构建优质示范项目的标杆效应，构建业务提质增效的发展闭环，培育高质量发展新动能。感谢您的关注！</w:t>
            </w:r>
            <w:r>
              <w:rPr>
                <w:rFonts w:ascii="宋体" w:eastAsia="宋体" w:hAnsi="宋体" w:cs="宋体"/>
                <w:sz w:val="20"/>
              </w:rPr>
              <w:br/>
            </w:r>
            <w:r>
              <w:rPr>
                <w:rFonts w:ascii="宋体" w:eastAsia="宋体" w:hAnsi="宋体" w:cs="宋体"/>
                <w:b/>
                <w:sz w:val="20"/>
              </w:rPr>
              <w:t xml:space="preserve">    4.对于未来公司业务的多元化发展，在现有业务基础上，是否有新的业务拓展方向或战略投资计划？</w:t>
            </w:r>
            <w:r>
              <w:rPr>
                <w:rFonts w:ascii="宋体" w:eastAsia="宋体" w:hAnsi="宋体" w:cs="宋体"/>
                <w:b/>
                <w:sz w:val="20"/>
              </w:rPr>
              <w:br/>
            </w:r>
            <w:r>
              <w:rPr>
                <w:rFonts w:ascii="宋体" w:eastAsia="宋体" w:hAnsi="宋体" w:cs="宋体"/>
                <w:sz w:val="20"/>
              </w:rPr>
              <w:t xml:space="preserve">    答:尊敬的投资者您好！在现有业务基础上，公司一方面加大对数字化板块的投入；另一方面通过投资、战略合作等方式，寻找在大数据、人工智能领域有深度应用且具有一定技术壁垒和盈利能力的优质企业，从而加速公司数字化技术壁垒的构建与盈利模式创新。感谢您的关注！</w:t>
            </w:r>
            <w:r>
              <w:rPr>
                <w:rFonts w:ascii="宋体" w:eastAsia="宋体" w:hAnsi="宋体" w:cs="宋体"/>
                <w:sz w:val="20"/>
              </w:rPr>
              <w:br/>
            </w:r>
            <w:r>
              <w:rPr>
                <w:rFonts w:ascii="宋体" w:eastAsia="宋体" w:hAnsi="宋体" w:cs="宋体"/>
                <w:b/>
                <w:sz w:val="20"/>
              </w:rPr>
              <w:t xml:space="preserve">    5.公司2025年三季度营收同比增长显著，请问主要是哪些业务板块贡献了增长？</w:t>
            </w:r>
            <w:r>
              <w:rPr>
                <w:rFonts w:ascii="宋体" w:eastAsia="宋体" w:hAnsi="宋体" w:cs="宋体"/>
                <w:b/>
                <w:sz w:val="20"/>
              </w:rPr>
              <w:br/>
            </w:r>
            <w:r>
              <w:rPr>
                <w:rFonts w:ascii="宋体" w:eastAsia="宋体" w:hAnsi="宋体" w:cs="宋体"/>
                <w:sz w:val="20"/>
              </w:rPr>
              <w:t xml:space="preserve">    答:尊敬的投资者您好！公司2025年1-9月实现营收 9.78 亿元，同比增长 56.82% 。主要得益于公司在装饰复合材料、智慧水务等核心业务板块的积极拓展。装饰复合材料业务通过产品创新与工艺改进，在疲软的内需市场中巩固地位，实现营收增长10.05%；智慧水务业务凭借技术升级和数字化转型，在市政供水项目取得突破，实现收入2.90亿。感谢您的关注！</w:t>
            </w:r>
          </w:p>
          <w:p w14:paraId="6CA265A8" w14:textId="5EDFF8F3" w:rsidR="00B367BE" w:rsidRPr="009C06C5" w:rsidRDefault="00B367BE" w:rsidP="00B367BE">
            <w:pPr>
              <w:pStyle w:val="TableParagraph"/>
              <w:spacing w:line="360" w:lineRule="auto"/>
              <w:ind w:rightChars="75" w:right="165" w:firstLineChars="200" w:firstLine="402"/>
              <w:jc w:val="both"/>
              <w:rPr>
                <w:rFonts w:ascii="宋体" w:eastAsia="宋体" w:hAnsi="宋体" w:cs="宋体" w:hint="eastAsia"/>
                <w:sz w:val="20"/>
                <w:szCs w:val="20"/>
                <w:highlight w:val="yellow"/>
              </w:rPr>
            </w:pPr>
            <w:r>
              <w:rPr>
                <w:rFonts w:ascii="宋体" w:eastAsia="宋体" w:hAnsi="宋体" w:cs="宋体"/>
                <w:b/>
                <w:sz w:val="20"/>
              </w:rPr>
              <w:t>6.截至目前，公司的股东户数是多少？</w:t>
            </w:r>
            <w:r>
              <w:rPr>
                <w:rFonts w:ascii="宋体" w:eastAsia="宋体" w:hAnsi="宋体" w:cs="宋体"/>
                <w:b/>
                <w:sz w:val="20"/>
              </w:rPr>
              <w:br/>
            </w:r>
            <w:r>
              <w:rPr>
                <w:rFonts w:ascii="宋体" w:eastAsia="宋体" w:hAnsi="宋体" w:cs="宋体"/>
                <w:sz w:val="20"/>
              </w:rPr>
              <w:lastRenderedPageBreak/>
              <w:t xml:space="preserve">    答:尊敬的投资者您好！公司会在定期报告中披露对应报告期末的股东人数。感谢您的关注！</w:t>
            </w:r>
          </w:p>
        </w:tc>
      </w:tr>
      <w:tr w:rsidR="009E66A1" w14:paraId="060A48E9" w14:textId="77777777">
        <w:trPr>
          <w:trHeight w:val="999"/>
          <w:jc w:val="center"/>
        </w:trPr>
        <w:tc>
          <w:tcPr>
            <w:tcW w:w="2580" w:type="dxa"/>
            <w:vAlign w:val="center"/>
          </w:tcPr>
          <w:p w14:paraId="4A544600" w14:textId="77777777" w:rsidR="009E66A1" w:rsidRDefault="00000000">
            <w:pPr>
              <w:pStyle w:val="TableParagraph"/>
              <w:spacing w:before="1"/>
              <w:ind w:left="107"/>
              <w:rPr>
                <w:rFonts w:asciiTheme="minorEastAsia" w:eastAsiaTheme="minorEastAsia" w:hAnsiTheme="minorEastAsia" w:cs="宋体" w:hint="eastAsia"/>
                <w:b/>
                <w:bCs/>
                <w:sz w:val="20"/>
                <w:szCs w:val="20"/>
              </w:rPr>
            </w:pPr>
            <w:r>
              <w:rPr>
                <w:rFonts w:asciiTheme="minorEastAsia" w:eastAsiaTheme="minorEastAsia" w:hAnsiTheme="minorEastAsia" w:cs="宋体" w:hint="eastAsia"/>
                <w:b/>
                <w:bCs/>
                <w:sz w:val="20"/>
                <w:szCs w:val="20"/>
              </w:rPr>
              <w:lastRenderedPageBreak/>
              <w:t>关于本次活动是否涉及应</w:t>
            </w:r>
          </w:p>
          <w:p w14:paraId="093F772F" w14:textId="77777777" w:rsidR="009E66A1" w:rsidRDefault="00000000">
            <w:pPr>
              <w:pStyle w:val="TableParagraph"/>
              <w:spacing w:before="1"/>
              <w:ind w:left="107"/>
              <w:rPr>
                <w:rFonts w:ascii="宋体" w:eastAsia="宋体" w:hAnsi="宋体" w:cs="宋体" w:hint="eastAsia"/>
                <w:b/>
                <w:bCs/>
                <w:sz w:val="20"/>
                <w:szCs w:val="20"/>
              </w:rPr>
            </w:pPr>
            <w:r>
              <w:rPr>
                <w:rFonts w:asciiTheme="minorEastAsia" w:eastAsiaTheme="minorEastAsia" w:hAnsiTheme="minorEastAsia" w:cs="宋体" w:hint="eastAsia"/>
                <w:b/>
                <w:bCs/>
                <w:sz w:val="20"/>
                <w:szCs w:val="20"/>
              </w:rPr>
              <w:t>披露重大信息的说明</w:t>
            </w:r>
          </w:p>
        </w:tc>
        <w:tc>
          <w:tcPr>
            <w:tcW w:w="5945" w:type="dxa"/>
            <w:vAlign w:val="center"/>
          </w:tcPr>
          <w:p w14:paraId="2C13BB22" w14:textId="77777777" w:rsidR="009E66A1" w:rsidRDefault="00000000">
            <w:pPr>
              <w:pStyle w:val="TableParagraph"/>
              <w:spacing w:before="100" w:beforeAutospacing="1" w:line="360" w:lineRule="auto"/>
              <w:rPr>
                <w:rFonts w:ascii="宋体" w:eastAsia="宋体" w:hAnsi="宋体" w:cs="宋体" w:hint="eastAsia"/>
                <w:sz w:val="20"/>
                <w:szCs w:val="20"/>
              </w:rPr>
            </w:pPr>
            <w:r>
              <w:rPr>
                <w:rFonts w:asciiTheme="minorEastAsia" w:eastAsiaTheme="minorEastAsia" w:hAnsiTheme="minorEastAsia" w:cs="宋体" w:hint="eastAsia"/>
                <w:sz w:val="20"/>
                <w:szCs w:val="20"/>
              </w:rPr>
              <w:t>本次活动不涉及未公开披露的重大信息。</w:t>
            </w:r>
          </w:p>
        </w:tc>
      </w:tr>
      <w:tr w:rsidR="009E66A1" w14:paraId="4BCB1926" w14:textId="77777777">
        <w:trPr>
          <w:trHeight w:val="558"/>
          <w:jc w:val="center"/>
        </w:trPr>
        <w:tc>
          <w:tcPr>
            <w:tcW w:w="2580" w:type="dxa"/>
            <w:vAlign w:val="center"/>
          </w:tcPr>
          <w:p w14:paraId="3D95389A" w14:textId="77777777" w:rsidR="009E66A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附件清单（如有）</w:t>
            </w:r>
          </w:p>
        </w:tc>
        <w:tc>
          <w:tcPr>
            <w:tcW w:w="5945" w:type="dxa"/>
            <w:vAlign w:val="center"/>
          </w:tcPr>
          <w:p w14:paraId="412F963A" w14:textId="77777777" w:rsidR="009E66A1" w:rsidRDefault="009E66A1">
            <w:pPr>
              <w:pStyle w:val="TableParagraph"/>
              <w:spacing w:before="100" w:beforeAutospacing="1" w:line="360" w:lineRule="auto"/>
              <w:rPr>
                <w:rFonts w:ascii="宋体" w:eastAsia="宋体" w:hAnsi="宋体" w:cs="宋体" w:hint="eastAsia"/>
                <w:sz w:val="20"/>
                <w:szCs w:val="20"/>
              </w:rPr>
            </w:pPr>
          </w:p>
        </w:tc>
      </w:tr>
      <w:tr w:rsidR="009E66A1" w14:paraId="46CEF415" w14:textId="77777777">
        <w:trPr>
          <w:trHeight w:val="558"/>
          <w:jc w:val="center"/>
        </w:trPr>
        <w:tc>
          <w:tcPr>
            <w:tcW w:w="2580" w:type="dxa"/>
            <w:vAlign w:val="center"/>
          </w:tcPr>
          <w:p w14:paraId="6B11DE49" w14:textId="77777777" w:rsidR="009E66A1" w:rsidRDefault="00000000">
            <w:pPr>
              <w:pStyle w:val="TableParagraph"/>
              <w:spacing w:before="1"/>
              <w:ind w:left="107"/>
              <w:rPr>
                <w:rFonts w:ascii="宋体" w:eastAsia="宋体" w:hAnsi="宋体" w:cs="宋体" w:hint="eastAsia"/>
                <w:b/>
                <w:bCs/>
                <w:sz w:val="20"/>
                <w:szCs w:val="20"/>
              </w:rPr>
            </w:pPr>
            <w:r>
              <w:rPr>
                <w:rFonts w:ascii="宋体" w:eastAsia="宋体" w:hAnsi="宋体" w:cs="宋体" w:hint="eastAsia"/>
                <w:b/>
                <w:bCs/>
                <w:sz w:val="20"/>
                <w:szCs w:val="20"/>
              </w:rPr>
              <w:t>日期</w:t>
            </w:r>
          </w:p>
        </w:tc>
        <w:tc>
          <w:tcPr>
            <w:tcW w:w="5945" w:type="dxa"/>
            <w:vAlign w:val="center"/>
          </w:tcPr>
          <w:p w14:paraId="17B73E68" w14:textId="7F78DB88" w:rsidR="009E66A1" w:rsidRDefault="00000000">
            <w:pPr>
              <w:pStyle w:val="TableParagraph"/>
              <w:spacing w:before="100" w:beforeAutospacing="1"/>
              <w:rPr>
                <w:rFonts w:ascii="宋体" w:eastAsia="宋体" w:hAnsi="宋体" w:cs="宋体" w:hint="eastAsia"/>
                <w:sz w:val="20"/>
                <w:szCs w:val="20"/>
              </w:rPr>
            </w:pPr>
            <w:r>
              <w:rPr>
                <w:rFonts w:ascii="宋体" w:eastAsia="宋体" w:hAnsi="宋体" w:cs="宋体"/>
                <w:sz w:val="20"/>
                <w:szCs w:val="20"/>
              </w:rPr>
              <w:t>2025年</w:t>
            </w:r>
            <w:r w:rsidR="009C06C5">
              <w:rPr>
                <w:rFonts w:ascii="宋体" w:eastAsia="宋体" w:hAnsi="宋体" w:cs="宋体" w:hint="eastAsia"/>
                <w:sz w:val="20"/>
                <w:szCs w:val="20"/>
              </w:rPr>
              <w:t>11</w:t>
            </w:r>
            <w:r>
              <w:rPr>
                <w:rFonts w:ascii="宋体" w:eastAsia="宋体" w:hAnsi="宋体" w:cs="宋体"/>
                <w:sz w:val="20"/>
                <w:szCs w:val="20"/>
              </w:rPr>
              <w:t>月</w:t>
            </w:r>
            <w:r w:rsidR="009C06C5">
              <w:rPr>
                <w:rFonts w:ascii="宋体" w:eastAsia="宋体" w:hAnsi="宋体" w:cs="宋体" w:hint="eastAsia"/>
                <w:sz w:val="20"/>
                <w:szCs w:val="20"/>
              </w:rPr>
              <w:t>17</w:t>
            </w:r>
            <w:r>
              <w:rPr>
                <w:rFonts w:ascii="宋体" w:eastAsia="宋体" w:hAnsi="宋体" w:cs="宋体"/>
                <w:sz w:val="20"/>
                <w:szCs w:val="20"/>
              </w:rPr>
              <w:t>日</w:t>
            </w:r>
          </w:p>
        </w:tc>
      </w:tr>
    </w:tbl>
    <w:p w14:paraId="369B5685" w14:textId="77777777" w:rsidR="009E66A1" w:rsidRDefault="009E66A1">
      <w:pPr>
        <w:rPr>
          <w:rFonts w:ascii="宋体" w:eastAsia="宋体" w:hAnsi="宋体" w:cs="宋体" w:hint="eastAsia"/>
          <w:sz w:val="28"/>
          <w:szCs w:val="36"/>
        </w:rPr>
      </w:pPr>
    </w:p>
    <w:sectPr w:rsidR="009E66A1">
      <w:type w:val="continuous"/>
      <w:pgSz w:w="11910" w:h="16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98B255" w14:textId="77777777" w:rsidR="004556CD" w:rsidRDefault="004556CD" w:rsidP="008518C0">
      <w:pPr>
        <w:rPr>
          <w:rFonts w:hint="eastAsia"/>
        </w:rPr>
      </w:pPr>
      <w:r>
        <w:separator/>
      </w:r>
    </w:p>
  </w:endnote>
  <w:endnote w:type="continuationSeparator" w:id="0">
    <w:p w14:paraId="13FD5BED" w14:textId="77777777" w:rsidR="004556CD" w:rsidRDefault="004556CD" w:rsidP="008518C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55AA5" w14:textId="77777777" w:rsidR="004556CD" w:rsidRDefault="004556CD" w:rsidP="008518C0">
      <w:pPr>
        <w:rPr>
          <w:rFonts w:hint="eastAsia"/>
        </w:rPr>
      </w:pPr>
      <w:r>
        <w:separator/>
      </w:r>
    </w:p>
  </w:footnote>
  <w:footnote w:type="continuationSeparator" w:id="0">
    <w:p w14:paraId="1503324B" w14:textId="77777777" w:rsidR="004556CD" w:rsidRDefault="004556CD" w:rsidP="008518C0">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301D32"/>
    <w:rsid w:val="00026CC3"/>
    <w:rsid w:val="00036089"/>
    <w:rsid w:val="00053CFA"/>
    <w:rsid w:val="000633EC"/>
    <w:rsid w:val="00063804"/>
    <w:rsid w:val="000665A2"/>
    <w:rsid w:val="000877AB"/>
    <w:rsid w:val="000B7C08"/>
    <w:rsid w:val="000D12CF"/>
    <w:rsid w:val="000D2D88"/>
    <w:rsid w:val="000E4B20"/>
    <w:rsid w:val="0011418F"/>
    <w:rsid w:val="00165C52"/>
    <w:rsid w:val="00172C24"/>
    <w:rsid w:val="001D5A22"/>
    <w:rsid w:val="001E59D1"/>
    <w:rsid w:val="001E5EA4"/>
    <w:rsid w:val="002042A7"/>
    <w:rsid w:val="00205911"/>
    <w:rsid w:val="002146AD"/>
    <w:rsid w:val="00275CB6"/>
    <w:rsid w:val="002800B5"/>
    <w:rsid w:val="00286E83"/>
    <w:rsid w:val="00295B29"/>
    <w:rsid w:val="002D4073"/>
    <w:rsid w:val="002E7098"/>
    <w:rsid w:val="002E76C1"/>
    <w:rsid w:val="002F3E62"/>
    <w:rsid w:val="00301D32"/>
    <w:rsid w:val="00311A3A"/>
    <w:rsid w:val="00366FAD"/>
    <w:rsid w:val="0037105B"/>
    <w:rsid w:val="003975BA"/>
    <w:rsid w:val="003A74E6"/>
    <w:rsid w:val="003B73DD"/>
    <w:rsid w:val="003C7870"/>
    <w:rsid w:val="003D011C"/>
    <w:rsid w:val="004108C7"/>
    <w:rsid w:val="00412DC2"/>
    <w:rsid w:val="00426B40"/>
    <w:rsid w:val="00440041"/>
    <w:rsid w:val="00451268"/>
    <w:rsid w:val="004515AD"/>
    <w:rsid w:val="00451857"/>
    <w:rsid w:val="00453516"/>
    <w:rsid w:val="004556CD"/>
    <w:rsid w:val="00457548"/>
    <w:rsid w:val="00462CA2"/>
    <w:rsid w:val="00470DB2"/>
    <w:rsid w:val="004925E7"/>
    <w:rsid w:val="00495B11"/>
    <w:rsid w:val="004F6FF3"/>
    <w:rsid w:val="00516729"/>
    <w:rsid w:val="00571B49"/>
    <w:rsid w:val="005743AE"/>
    <w:rsid w:val="005D64CA"/>
    <w:rsid w:val="005E5717"/>
    <w:rsid w:val="005E6DB2"/>
    <w:rsid w:val="00611B01"/>
    <w:rsid w:val="0061433E"/>
    <w:rsid w:val="0062751D"/>
    <w:rsid w:val="006354AA"/>
    <w:rsid w:val="00661AFA"/>
    <w:rsid w:val="006726BF"/>
    <w:rsid w:val="00677B77"/>
    <w:rsid w:val="0068718A"/>
    <w:rsid w:val="006A2739"/>
    <w:rsid w:val="006B5C95"/>
    <w:rsid w:val="006E14B0"/>
    <w:rsid w:val="006F0108"/>
    <w:rsid w:val="006F4B71"/>
    <w:rsid w:val="00704AE6"/>
    <w:rsid w:val="007153A2"/>
    <w:rsid w:val="00724A68"/>
    <w:rsid w:val="007271BF"/>
    <w:rsid w:val="00730DD3"/>
    <w:rsid w:val="00733224"/>
    <w:rsid w:val="00764128"/>
    <w:rsid w:val="007824B8"/>
    <w:rsid w:val="007910DD"/>
    <w:rsid w:val="007A3EC1"/>
    <w:rsid w:val="007B3368"/>
    <w:rsid w:val="007D0A69"/>
    <w:rsid w:val="007D6DC4"/>
    <w:rsid w:val="008518C0"/>
    <w:rsid w:val="00853463"/>
    <w:rsid w:val="00893F25"/>
    <w:rsid w:val="00895035"/>
    <w:rsid w:val="008B2B14"/>
    <w:rsid w:val="008C6AED"/>
    <w:rsid w:val="008C7604"/>
    <w:rsid w:val="008E1B27"/>
    <w:rsid w:val="00903379"/>
    <w:rsid w:val="00906975"/>
    <w:rsid w:val="00917F0B"/>
    <w:rsid w:val="00917F8B"/>
    <w:rsid w:val="00960964"/>
    <w:rsid w:val="00965E4D"/>
    <w:rsid w:val="009B1D5C"/>
    <w:rsid w:val="009C06C5"/>
    <w:rsid w:val="009C2E31"/>
    <w:rsid w:val="009E1955"/>
    <w:rsid w:val="009E66A1"/>
    <w:rsid w:val="00A527AA"/>
    <w:rsid w:val="00A5684D"/>
    <w:rsid w:val="00A75C61"/>
    <w:rsid w:val="00A9601B"/>
    <w:rsid w:val="00AD100E"/>
    <w:rsid w:val="00AE1E36"/>
    <w:rsid w:val="00AF74AA"/>
    <w:rsid w:val="00B03C2F"/>
    <w:rsid w:val="00B15064"/>
    <w:rsid w:val="00B340A3"/>
    <w:rsid w:val="00B367BE"/>
    <w:rsid w:val="00B410F5"/>
    <w:rsid w:val="00B6280C"/>
    <w:rsid w:val="00B671A4"/>
    <w:rsid w:val="00B72CD4"/>
    <w:rsid w:val="00B85B00"/>
    <w:rsid w:val="00BF132F"/>
    <w:rsid w:val="00C13878"/>
    <w:rsid w:val="00CA1705"/>
    <w:rsid w:val="00CE1A54"/>
    <w:rsid w:val="00CF5FB6"/>
    <w:rsid w:val="00D02518"/>
    <w:rsid w:val="00D17454"/>
    <w:rsid w:val="00D33FBC"/>
    <w:rsid w:val="00D7535C"/>
    <w:rsid w:val="00D76302"/>
    <w:rsid w:val="00D82D23"/>
    <w:rsid w:val="00DA5CE2"/>
    <w:rsid w:val="00DE10E8"/>
    <w:rsid w:val="00DE76D0"/>
    <w:rsid w:val="00E16FDA"/>
    <w:rsid w:val="00E346CB"/>
    <w:rsid w:val="00E35F58"/>
    <w:rsid w:val="00E45BD9"/>
    <w:rsid w:val="00E66FFC"/>
    <w:rsid w:val="00E759D6"/>
    <w:rsid w:val="00E84A8C"/>
    <w:rsid w:val="00E976DE"/>
    <w:rsid w:val="00EC0F83"/>
    <w:rsid w:val="00EE3187"/>
    <w:rsid w:val="00EF499B"/>
    <w:rsid w:val="00F14977"/>
    <w:rsid w:val="00F21EDB"/>
    <w:rsid w:val="00F348FF"/>
    <w:rsid w:val="00FB4A08"/>
    <w:rsid w:val="00FC0C2A"/>
    <w:rsid w:val="00FD7F8E"/>
    <w:rsid w:val="00FE36F1"/>
    <w:rsid w:val="00FF11E4"/>
    <w:rsid w:val="04B072D4"/>
    <w:rsid w:val="05F575D4"/>
    <w:rsid w:val="064249C6"/>
    <w:rsid w:val="08641132"/>
    <w:rsid w:val="09186774"/>
    <w:rsid w:val="0945438F"/>
    <w:rsid w:val="0A71587A"/>
    <w:rsid w:val="0B792C38"/>
    <w:rsid w:val="0C28640C"/>
    <w:rsid w:val="0E90599A"/>
    <w:rsid w:val="0ED720CD"/>
    <w:rsid w:val="12070CAE"/>
    <w:rsid w:val="145F688C"/>
    <w:rsid w:val="14D47131"/>
    <w:rsid w:val="15680001"/>
    <w:rsid w:val="15DD2205"/>
    <w:rsid w:val="17072842"/>
    <w:rsid w:val="17A67110"/>
    <w:rsid w:val="1864189B"/>
    <w:rsid w:val="18D73A7D"/>
    <w:rsid w:val="19557370"/>
    <w:rsid w:val="1BD06B6A"/>
    <w:rsid w:val="1F782BDE"/>
    <w:rsid w:val="204A6A53"/>
    <w:rsid w:val="23317869"/>
    <w:rsid w:val="25650CAE"/>
    <w:rsid w:val="26406598"/>
    <w:rsid w:val="28080056"/>
    <w:rsid w:val="28734C1A"/>
    <w:rsid w:val="28C72DDD"/>
    <w:rsid w:val="29EE0E64"/>
    <w:rsid w:val="2BC4020A"/>
    <w:rsid w:val="2EF90F16"/>
    <w:rsid w:val="2F125C63"/>
    <w:rsid w:val="302C3D0A"/>
    <w:rsid w:val="3104598F"/>
    <w:rsid w:val="33DE31BB"/>
    <w:rsid w:val="389C49C0"/>
    <w:rsid w:val="39BC78F4"/>
    <w:rsid w:val="3B35486F"/>
    <w:rsid w:val="3EF1250A"/>
    <w:rsid w:val="40567DB0"/>
    <w:rsid w:val="40FF5CD2"/>
    <w:rsid w:val="42DB40B0"/>
    <w:rsid w:val="43B71B0A"/>
    <w:rsid w:val="44FA0589"/>
    <w:rsid w:val="45A663E3"/>
    <w:rsid w:val="469F09AF"/>
    <w:rsid w:val="4B756271"/>
    <w:rsid w:val="4C8E1CA8"/>
    <w:rsid w:val="4D6D36A4"/>
    <w:rsid w:val="510903EF"/>
    <w:rsid w:val="53F137F4"/>
    <w:rsid w:val="543A6906"/>
    <w:rsid w:val="56850CBB"/>
    <w:rsid w:val="59D8738A"/>
    <w:rsid w:val="5A666D76"/>
    <w:rsid w:val="5B2253C2"/>
    <w:rsid w:val="5CF02E0F"/>
    <w:rsid w:val="5DD95A74"/>
    <w:rsid w:val="603269D2"/>
    <w:rsid w:val="61A52BCA"/>
    <w:rsid w:val="67095496"/>
    <w:rsid w:val="67ED7463"/>
    <w:rsid w:val="681A546A"/>
    <w:rsid w:val="68507D37"/>
    <w:rsid w:val="69CB37D4"/>
    <w:rsid w:val="6A0D5B9B"/>
    <w:rsid w:val="6A3B23B1"/>
    <w:rsid w:val="6AEA32DC"/>
    <w:rsid w:val="6CC24AB5"/>
    <w:rsid w:val="6D9271B2"/>
    <w:rsid w:val="6F134790"/>
    <w:rsid w:val="6FE81F5F"/>
    <w:rsid w:val="72446028"/>
    <w:rsid w:val="73076EC0"/>
    <w:rsid w:val="74210CA6"/>
    <w:rsid w:val="746F4E76"/>
    <w:rsid w:val="76430096"/>
    <w:rsid w:val="788C25F5"/>
    <w:rsid w:val="79F72AA9"/>
    <w:rsid w:val="7A144529"/>
    <w:rsid w:val="7DD37F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8FFE1D"/>
  <w15:docId w15:val="{8B343839-5A55-4C34-B4F5-753796F4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autoSpaceDE w:val="0"/>
      <w:autoSpaceDN w:val="0"/>
    </w:pPr>
    <w:rPr>
      <w:rFonts w:ascii="仿宋" w:eastAsia="仿宋" w:hAnsi="仿宋" w:cs="仿宋"/>
      <w:sz w:val="22"/>
      <w:szCs w:val="22"/>
      <w:lang w:val="zh-CN" w:bidi="zh-CN"/>
    </w:rPr>
  </w:style>
  <w:style w:type="paragraph" w:styleId="1">
    <w:name w:val="heading 1"/>
    <w:basedOn w:val="a"/>
    <w:next w:val="a"/>
    <w:uiPriority w:val="1"/>
    <w:qFormat/>
    <w:pPr>
      <w:outlineLvl w:val="0"/>
    </w:pPr>
    <w:rPr>
      <w:rFonts w:ascii="PMingLiU" w:eastAsia="PMingLiU" w:hAnsi="PMingLiU" w:cs="PMingLiU"/>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style>
  <w:style w:type="paragraph" w:styleId="a5">
    <w:name w:val="Body Text"/>
    <w:basedOn w:val="a"/>
    <w:uiPriority w:val="1"/>
    <w:qFormat/>
    <w:pPr>
      <w:ind w:left="220"/>
    </w:pPr>
    <w:rPr>
      <w:sz w:val="32"/>
      <w:szCs w:val="32"/>
    </w:rPr>
  </w:style>
  <w:style w:type="paragraph" w:styleId="a6">
    <w:name w:val="Balloon Text"/>
    <w:basedOn w:val="a"/>
    <w:link w:val="a7"/>
    <w:qFormat/>
    <w:rPr>
      <w:sz w:val="18"/>
      <w:szCs w:val="18"/>
    </w:rPr>
  </w:style>
  <w:style w:type="paragraph" w:styleId="a8">
    <w:name w:val="footer"/>
    <w:basedOn w:val="a"/>
    <w:link w:val="a9"/>
    <w:qFormat/>
    <w:pPr>
      <w:tabs>
        <w:tab w:val="center" w:pos="4153"/>
        <w:tab w:val="right" w:pos="8306"/>
      </w:tabs>
      <w:snapToGrid w:val="0"/>
    </w:pPr>
    <w:rPr>
      <w:sz w:val="18"/>
      <w:szCs w:val="18"/>
    </w:rPr>
  </w:style>
  <w:style w:type="paragraph" w:styleId="aa">
    <w:name w:val="header"/>
    <w:basedOn w:val="a"/>
    <w:link w:val="ab"/>
    <w:qFormat/>
    <w:pPr>
      <w:pBdr>
        <w:bottom w:val="single" w:sz="6" w:space="1" w:color="auto"/>
      </w:pBdr>
      <w:tabs>
        <w:tab w:val="center" w:pos="4153"/>
        <w:tab w:val="right" w:pos="8306"/>
      </w:tabs>
      <w:snapToGrid w:val="0"/>
      <w:jc w:val="center"/>
    </w:pPr>
    <w:rPr>
      <w:sz w:val="18"/>
      <w:szCs w:val="18"/>
    </w:rPr>
  </w:style>
  <w:style w:type="paragraph" w:styleId="ac">
    <w:name w:val="annotation subject"/>
    <w:basedOn w:val="a3"/>
    <w:next w:val="a3"/>
    <w:link w:val="ad"/>
    <w:qFormat/>
    <w:rPr>
      <w:b/>
      <w:bCs/>
    </w:rPr>
  </w:style>
  <w:style w:type="character" w:styleId="ae">
    <w:name w:val="annotation reference"/>
    <w:basedOn w:val="a0"/>
    <w:qFormat/>
    <w:rPr>
      <w:sz w:val="21"/>
      <w:szCs w:val="21"/>
    </w:rPr>
  </w:style>
  <w:style w:type="paragraph" w:customStyle="1" w:styleId="TableParagraph">
    <w:name w:val="Table Paragraph"/>
    <w:basedOn w:val="a"/>
    <w:uiPriority w:val="1"/>
    <w:qFormat/>
  </w:style>
  <w:style w:type="character" w:customStyle="1" w:styleId="ab">
    <w:name w:val="页眉 字符"/>
    <w:basedOn w:val="a0"/>
    <w:link w:val="aa"/>
    <w:qFormat/>
    <w:rPr>
      <w:rFonts w:ascii="仿宋" w:eastAsia="仿宋" w:hAnsi="仿宋" w:cs="仿宋"/>
      <w:sz w:val="18"/>
      <w:szCs w:val="18"/>
      <w:lang w:val="zh-CN" w:bidi="zh-CN"/>
    </w:rPr>
  </w:style>
  <w:style w:type="character" w:customStyle="1" w:styleId="a9">
    <w:name w:val="页脚 字符"/>
    <w:basedOn w:val="a0"/>
    <w:link w:val="a8"/>
    <w:qFormat/>
    <w:rPr>
      <w:rFonts w:ascii="仿宋" w:eastAsia="仿宋" w:hAnsi="仿宋" w:cs="仿宋"/>
      <w:sz w:val="18"/>
      <w:szCs w:val="18"/>
      <w:lang w:val="zh-CN" w:bidi="zh-CN"/>
    </w:rPr>
  </w:style>
  <w:style w:type="character" w:customStyle="1" w:styleId="a4">
    <w:name w:val="批注文字 字符"/>
    <w:basedOn w:val="a0"/>
    <w:link w:val="a3"/>
    <w:qFormat/>
    <w:rPr>
      <w:rFonts w:ascii="仿宋" w:eastAsia="仿宋" w:hAnsi="仿宋" w:cs="仿宋"/>
      <w:sz w:val="22"/>
      <w:szCs w:val="22"/>
      <w:lang w:val="zh-CN" w:bidi="zh-CN"/>
    </w:rPr>
  </w:style>
  <w:style w:type="character" w:customStyle="1" w:styleId="ad">
    <w:name w:val="批注主题 字符"/>
    <w:basedOn w:val="a4"/>
    <w:link w:val="ac"/>
    <w:qFormat/>
    <w:rPr>
      <w:rFonts w:ascii="仿宋" w:eastAsia="仿宋" w:hAnsi="仿宋" w:cs="仿宋"/>
      <w:b/>
      <w:bCs/>
      <w:sz w:val="22"/>
      <w:szCs w:val="22"/>
      <w:lang w:val="zh-CN" w:bidi="zh-CN"/>
    </w:rPr>
  </w:style>
  <w:style w:type="character" w:customStyle="1" w:styleId="a7">
    <w:name w:val="批注框文本 字符"/>
    <w:basedOn w:val="a0"/>
    <w:link w:val="a6"/>
    <w:qFormat/>
    <w:rPr>
      <w:rFonts w:ascii="仿宋" w:eastAsia="仿宋" w:hAnsi="仿宋" w:cs="仿宋"/>
      <w:sz w:val="18"/>
      <w:szCs w:val="18"/>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416454-D52C-4974-A468-5D02FFFCA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264</Words>
  <Characters>1508</Characters>
  <Application>Microsoft Office Word</Application>
  <DocSecurity>0</DocSecurity>
  <Lines>12</Lines>
  <Paragraphs>3</Paragraphs>
  <ScaleCrop>false</ScaleCrop>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jie.huang</dc:creator>
  <cp:lastModifiedBy>L</cp:lastModifiedBy>
  <cp:revision>11</cp:revision>
  <dcterms:created xsi:type="dcterms:W3CDTF">2025-05-15T10:55:00Z</dcterms:created>
  <dcterms:modified xsi:type="dcterms:W3CDTF">2025-11-17T09:24:00Z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57D148DF2F764966BF4E1C38A6255FA2</vt:lpwstr>
  </property>
  <property fmtid="{D5CDD505-2E9C-101B-9397-08002B2CF9AE}" pid="4" name="KSOTemplateDocerSaveRecord">
    <vt:lpwstr>eyJoZGlkIjoiZmNjMDg1ZWJlMjY2ZmI2OGMxMWI5NDhlY2Y0MWJjZTAiLCJ1c2VySWQiOiIzNTQzNzU4NTIifQ==</vt:lpwstr>
  </property>
</Properties>
</file>