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A80F4">
      <w:pPr>
        <w:spacing w:before="156" w:beforeLines="50" w:after="156" w:afterLines="50"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600717                             </w:t>
      </w:r>
      <w:r>
        <w:rPr>
          <w:rFonts w:hAnsi="宋体"/>
          <w:bCs/>
          <w:iCs/>
          <w:color w:val="000000"/>
          <w:sz w:val="24"/>
        </w:rPr>
        <w:t>证券简称：</w:t>
      </w:r>
      <w:r>
        <w:rPr>
          <w:color w:val="000000"/>
          <w:sz w:val="24"/>
        </w:rPr>
        <w:t>天津港</w:t>
      </w:r>
    </w:p>
    <w:p w14:paraId="561FA07C">
      <w:pPr>
        <w:spacing w:before="156" w:beforeLines="50" w:after="156" w:afterLines="50" w:line="400" w:lineRule="exact"/>
        <w:jc w:val="center"/>
        <w:rPr>
          <w:rFonts w:hint="eastAsia" w:ascii="宋体" w:hAnsi="宋体"/>
          <w:b/>
          <w:bCs/>
          <w:iCs/>
          <w:color w:val="000000"/>
          <w:sz w:val="32"/>
          <w:szCs w:val="32"/>
        </w:rPr>
      </w:pPr>
      <w:r>
        <w:rPr>
          <w:rFonts w:ascii="宋体" w:hAnsi="宋体"/>
          <w:b/>
          <w:bCs/>
          <w:iCs/>
          <w:color w:val="000000"/>
          <w:sz w:val="32"/>
          <w:szCs w:val="32"/>
        </w:rPr>
        <w:t>天津港股份有限公司</w:t>
      </w:r>
      <w:r>
        <w:rPr>
          <w:rFonts w:hint="eastAsia" w:ascii="宋体" w:hAnsi="宋体"/>
          <w:b/>
          <w:bCs/>
          <w:iCs/>
          <w:color w:val="000000"/>
          <w:sz w:val="32"/>
          <w:szCs w:val="32"/>
        </w:rPr>
        <w:t>投资者关系活动记录表</w:t>
      </w:r>
    </w:p>
    <w:p w14:paraId="73AE5F9D">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5"/>
        <w:gridCol w:w="6810"/>
      </w:tblGrid>
      <w:tr w14:paraId="360C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tcBorders>
              <w:top w:val="single" w:color="auto" w:sz="4" w:space="0"/>
              <w:left w:val="single" w:color="auto" w:sz="4" w:space="0"/>
              <w:bottom w:val="single" w:color="auto" w:sz="4" w:space="0"/>
              <w:right w:val="single" w:color="auto" w:sz="4" w:space="0"/>
            </w:tcBorders>
            <w:vAlign w:val="center"/>
          </w:tcPr>
          <w:p w14:paraId="22CC1402">
            <w:pPr>
              <w:spacing w:line="420" w:lineRule="exact"/>
              <w:jc w:val="center"/>
              <w:rPr>
                <w:rFonts w:hAnsi="宋体"/>
                <w:bCs/>
                <w:iCs/>
                <w:color w:val="000000"/>
                <w:kern w:val="0"/>
                <w:sz w:val="24"/>
              </w:rPr>
            </w:pPr>
            <w:r>
              <w:rPr>
                <w:rFonts w:hAnsi="宋体"/>
                <w:bCs/>
                <w:iCs/>
                <w:color w:val="000000"/>
                <w:kern w:val="0"/>
                <w:sz w:val="24"/>
              </w:rPr>
              <w:t>投资者关系</w:t>
            </w:r>
          </w:p>
          <w:p w14:paraId="746EEF19">
            <w:pPr>
              <w:spacing w:line="420" w:lineRule="exact"/>
              <w:jc w:val="center"/>
              <w:rPr>
                <w:bCs/>
                <w:iCs/>
                <w:color w:val="000000"/>
                <w:kern w:val="0"/>
                <w:sz w:val="24"/>
              </w:rPr>
            </w:pPr>
            <w:r>
              <w:rPr>
                <w:rFonts w:hAnsi="宋体"/>
                <w:bCs/>
                <w:iCs/>
                <w:color w:val="000000"/>
                <w:kern w:val="0"/>
                <w:sz w:val="24"/>
              </w:rPr>
              <w:t>活动类别</w:t>
            </w:r>
          </w:p>
          <w:p w14:paraId="6886D824">
            <w:pPr>
              <w:spacing w:line="420" w:lineRule="exact"/>
              <w:jc w:val="center"/>
              <w:rPr>
                <w:bCs/>
                <w:iCs/>
                <w:color w:val="000000"/>
                <w:sz w:val="24"/>
              </w:rPr>
            </w:pPr>
          </w:p>
        </w:tc>
        <w:tc>
          <w:tcPr>
            <w:tcW w:w="6810" w:type="dxa"/>
            <w:tcBorders>
              <w:top w:val="single" w:color="auto" w:sz="4" w:space="0"/>
              <w:left w:val="single" w:color="auto" w:sz="4" w:space="0"/>
              <w:bottom w:val="single" w:color="auto" w:sz="4" w:space="0"/>
              <w:right w:val="single" w:color="auto" w:sz="4" w:space="0"/>
            </w:tcBorders>
          </w:tcPr>
          <w:p w14:paraId="17DCC4B5">
            <w:pPr>
              <w:spacing w:line="420" w:lineRule="exact"/>
              <w:rPr>
                <w:bCs/>
                <w:iCs/>
                <w:color w:val="000000"/>
                <w:sz w:val="24"/>
              </w:rPr>
            </w:pPr>
            <w:r>
              <w:rPr>
                <w:rFonts w:hint="eastAsia"/>
                <w:bCs/>
                <w:iCs/>
                <w:color w:val="000000"/>
                <w:kern w:val="0"/>
                <w:sz w:val="24"/>
                <w:lang w:eastAsia="zh-CN"/>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分析师会议</w:t>
            </w:r>
          </w:p>
          <w:p w14:paraId="5EEA5C8D">
            <w:pPr>
              <w:spacing w:line="420" w:lineRule="exact"/>
              <w:rPr>
                <w:bCs/>
                <w:iCs/>
                <w:color w:val="000000"/>
                <w:kern w:val="0"/>
                <w:sz w:val="24"/>
              </w:rPr>
            </w:pP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媒体采访</w:t>
            </w:r>
            <w:r>
              <w:rPr>
                <w:kern w:val="0"/>
                <w:sz w:val="24"/>
              </w:rPr>
              <w:t xml:space="preserve">            </w:t>
            </w: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业绩说明会</w:t>
            </w:r>
          </w:p>
          <w:p w14:paraId="6D49587B">
            <w:pPr>
              <w:spacing w:line="420" w:lineRule="exact"/>
              <w:rPr>
                <w:bCs/>
                <w:iCs/>
                <w:color w:val="000000"/>
                <w:kern w:val="0"/>
                <w:sz w:val="24"/>
              </w:rPr>
            </w:pP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新闻发布会</w:t>
            </w:r>
            <w:r>
              <w:rPr>
                <w:kern w:val="0"/>
                <w:sz w:val="24"/>
              </w:rPr>
              <w:t xml:space="preserve">          </w:t>
            </w: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路演活动</w:t>
            </w:r>
          </w:p>
          <w:p w14:paraId="7DB7D3FA">
            <w:pPr>
              <w:tabs>
                <w:tab w:val="left" w:pos="3045"/>
                <w:tab w:val="center" w:pos="3199"/>
              </w:tabs>
              <w:spacing w:line="420" w:lineRule="exact"/>
              <w:rPr>
                <w:bCs/>
                <w:iCs/>
                <w:color w:val="000000"/>
                <w:kern w:val="0"/>
                <w:sz w:val="24"/>
              </w:rPr>
            </w:pP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139B9860">
            <w:pPr>
              <w:tabs>
                <w:tab w:val="center" w:pos="3199"/>
              </w:tabs>
              <w:spacing w:line="420" w:lineRule="exact"/>
              <w:rPr>
                <w:bCs/>
                <w:iCs/>
                <w:color w:val="000000"/>
                <w:sz w:val="24"/>
              </w:rPr>
            </w:pP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14:paraId="4ADA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tcBorders>
              <w:top w:val="single" w:color="auto" w:sz="4" w:space="0"/>
              <w:left w:val="single" w:color="auto" w:sz="4" w:space="0"/>
              <w:bottom w:val="single" w:color="auto" w:sz="4" w:space="0"/>
              <w:right w:val="single" w:color="auto" w:sz="4" w:space="0"/>
            </w:tcBorders>
            <w:vAlign w:val="center"/>
          </w:tcPr>
          <w:p w14:paraId="435CD717">
            <w:pPr>
              <w:spacing w:line="420" w:lineRule="exact"/>
              <w:jc w:val="center"/>
              <w:rPr>
                <w:bCs/>
                <w:iCs/>
                <w:color w:val="000000"/>
                <w:kern w:val="0"/>
                <w:sz w:val="24"/>
              </w:rPr>
            </w:pPr>
            <w:r>
              <w:rPr>
                <w:rFonts w:hAnsi="宋体"/>
                <w:bCs/>
                <w:iCs/>
                <w:color w:val="000000"/>
                <w:kern w:val="0"/>
                <w:sz w:val="24"/>
              </w:rPr>
              <w:t>参与单位名称及人员姓名</w:t>
            </w:r>
          </w:p>
        </w:tc>
        <w:tc>
          <w:tcPr>
            <w:tcW w:w="6810" w:type="dxa"/>
            <w:tcBorders>
              <w:top w:val="single" w:color="auto" w:sz="4" w:space="0"/>
              <w:left w:val="single" w:color="auto" w:sz="4" w:space="0"/>
              <w:bottom w:val="single" w:color="auto" w:sz="4" w:space="0"/>
              <w:right w:val="single" w:color="auto" w:sz="4" w:space="0"/>
            </w:tcBorders>
            <w:vAlign w:val="center"/>
          </w:tcPr>
          <w:p w14:paraId="129905FA">
            <w:pPr>
              <w:spacing w:line="420" w:lineRule="exact"/>
              <w:jc w:val="center"/>
              <w:rPr>
                <w:bCs/>
                <w:iCs/>
                <w:color w:val="000000"/>
                <w:sz w:val="24"/>
                <w:lang w:val="en-GB"/>
              </w:rPr>
            </w:pPr>
            <w:r>
              <w:rPr>
                <w:rFonts w:hint="eastAsia"/>
                <w:bCs/>
                <w:iCs/>
                <w:color w:val="000000"/>
                <w:sz w:val="24"/>
                <w:lang w:val="en-GB"/>
              </w:rPr>
              <w:t>投资者网上提问</w:t>
            </w:r>
          </w:p>
        </w:tc>
      </w:tr>
      <w:tr w14:paraId="4886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tcBorders>
              <w:top w:val="single" w:color="auto" w:sz="4" w:space="0"/>
              <w:left w:val="single" w:color="auto" w:sz="4" w:space="0"/>
              <w:bottom w:val="single" w:color="auto" w:sz="4" w:space="0"/>
              <w:right w:val="single" w:color="auto" w:sz="4" w:space="0"/>
            </w:tcBorders>
            <w:vAlign w:val="center"/>
          </w:tcPr>
          <w:p w14:paraId="24CA65B5">
            <w:pPr>
              <w:spacing w:line="420" w:lineRule="exact"/>
              <w:jc w:val="center"/>
              <w:rPr>
                <w:bCs/>
                <w:iCs/>
                <w:color w:val="000000"/>
                <w:kern w:val="0"/>
                <w:sz w:val="24"/>
              </w:rPr>
            </w:pPr>
            <w:r>
              <w:rPr>
                <w:rFonts w:hAnsi="宋体"/>
                <w:bCs/>
                <w:iCs/>
                <w:color w:val="000000"/>
                <w:kern w:val="0"/>
                <w:sz w:val="24"/>
              </w:rPr>
              <w:t>时间</w:t>
            </w:r>
          </w:p>
        </w:tc>
        <w:tc>
          <w:tcPr>
            <w:tcW w:w="6810" w:type="dxa"/>
            <w:tcBorders>
              <w:top w:val="single" w:color="auto" w:sz="4" w:space="0"/>
              <w:left w:val="single" w:color="auto" w:sz="4" w:space="0"/>
              <w:bottom w:val="single" w:color="auto" w:sz="4" w:space="0"/>
              <w:right w:val="single" w:color="auto" w:sz="4" w:space="0"/>
            </w:tcBorders>
          </w:tcPr>
          <w:p w14:paraId="404F297E">
            <w:pPr>
              <w:spacing w:line="420" w:lineRule="exact"/>
              <w:rPr>
                <w:bCs/>
                <w:iCs/>
                <w:color w:val="000000"/>
                <w:sz w:val="24"/>
              </w:rPr>
            </w:pPr>
            <w:r>
              <w:rPr>
                <w:bCs/>
                <w:iCs/>
                <w:color w:val="000000"/>
                <w:sz w:val="24"/>
              </w:rPr>
              <w:t>2025年</w:t>
            </w:r>
            <w:r>
              <w:rPr>
                <w:rFonts w:hint="eastAsia"/>
                <w:bCs/>
                <w:iCs/>
                <w:color w:val="000000"/>
                <w:sz w:val="24"/>
                <w:lang w:val="en-US" w:eastAsia="zh-CN"/>
              </w:rPr>
              <w:t>11</w:t>
            </w:r>
            <w:r>
              <w:rPr>
                <w:bCs/>
                <w:iCs/>
                <w:color w:val="000000"/>
                <w:sz w:val="24"/>
              </w:rPr>
              <w:t>月1</w:t>
            </w:r>
            <w:r>
              <w:rPr>
                <w:rFonts w:hint="eastAsia"/>
                <w:bCs/>
                <w:iCs/>
                <w:color w:val="000000"/>
                <w:sz w:val="24"/>
                <w:lang w:val="en-US" w:eastAsia="zh-CN"/>
              </w:rPr>
              <w:t>4</w:t>
            </w:r>
            <w:r>
              <w:rPr>
                <w:bCs/>
                <w:iCs/>
                <w:color w:val="000000"/>
                <w:sz w:val="24"/>
              </w:rPr>
              <w:t>日 (周</w:t>
            </w:r>
            <w:r>
              <w:rPr>
                <w:rFonts w:hint="eastAsia"/>
                <w:bCs/>
                <w:iCs/>
                <w:color w:val="000000"/>
                <w:sz w:val="24"/>
                <w:lang w:val="en-US" w:eastAsia="zh-CN"/>
              </w:rPr>
              <w:t>五</w:t>
            </w:r>
            <w:r>
              <w:rPr>
                <w:bCs/>
                <w:iCs/>
                <w:color w:val="000000"/>
                <w:sz w:val="24"/>
              </w:rPr>
              <w:t>) 下午 1</w:t>
            </w:r>
            <w:r>
              <w:rPr>
                <w:rFonts w:hint="eastAsia"/>
                <w:bCs/>
                <w:iCs/>
                <w:color w:val="000000"/>
                <w:sz w:val="24"/>
              </w:rPr>
              <w:t>5</w:t>
            </w:r>
            <w:r>
              <w:rPr>
                <w:bCs/>
                <w:iCs/>
                <w:color w:val="000000"/>
                <w:sz w:val="24"/>
              </w:rPr>
              <w:t>:</w:t>
            </w:r>
            <w:r>
              <w:rPr>
                <w:rFonts w:hint="eastAsia"/>
                <w:bCs/>
                <w:iCs/>
                <w:color w:val="000000"/>
                <w:sz w:val="24"/>
              </w:rPr>
              <w:t>0</w:t>
            </w:r>
            <w:r>
              <w:rPr>
                <w:bCs/>
                <w:iCs/>
                <w:color w:val="000000"/>
                <w:sz w:val="24"/>
              </w:rPr>
              <w:t>0~1</w:t>
            </w:r>
            <w:r>
              <w:rPr>
                <w:rFonts w:hint="eastAsia"/>
                <w:bCs/>
                <w:iCs/>
                <w:color w:val="000000"/>
                <w:sz w:val="24"/>
                <w:lang w:val="en-US" w:eastAsia="zh-CN"/>
              </w:rPr>
              <w:t>6</w:t>
            </w:r>
            <w:r>
              <w:rPr>
                <w:bCs/>
                <w:iCs/>
                <w:color w:val="000000"/>
                <w:sz w:val="24"/>
              </w:rPr>
              <w:t>:00</w:t>
            </w:r>
          </w:p>
        </w:tc>
      </w:tr>
      <w:tr w14:paraId="04A2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tcBorders>
              <w:top w:val="single" w:color="auto" w:sz="4" w:space="0"/>
              <w:left w:val="single" w:color="auto" w:sz="4" w:space="0"/>
              <w:bottom w:val="single" w:color="auto" w:sz="4" w:space="0"/>
              <w:right w:val="single" w:color="auto" w:sz="4" w:space="0"/>
            </w:tcBorders>
            <w:vAlign w:val="center"/>
          </w:tcPr>
          <w:p w14:paraId="69A86695">
            <w:pPr>
              <w:spacing w:line="420" w:lineRule="exact"/>
              <w:jc w:val="center"/>
              <w:rPr>
                <w:bCs/>
                <w:iCs/>
                <w:color w:val="000000"/>
                <w:kern w:val="0"/>
                <w:sz w:val="24"/>
              </w:rPr>
            </w:pPr>
            <w:r>
              <w:rPr>
                <w:rFonts w:hAnsi="宋体"/>
                <w:bCs/>
                <w:iCs/>
                <w:color w:val="000000"/>
                <w:kern w:val="0"/>
                <w:sz w:val="24"/>
              </w:rPr>
              <w:t>地点</w:t>
            </w:r>
          </w:p>
        </w:tc>
        <w:tc>
          <w:tcPr>
            <w:tcW w:w="6810" w:type="dxa"/>
            <w:tcBorders>
              <w:top w:val="single" w:color="auto" w:sz="4" w:space="0"/>
              <w:left w:val="single" w:color="auto" w:sz="4" w:space="0"/>
              <w:bottom w:val="single" w:color="auto" w:sz="4" w:space="0"/>
              <w:right w:val="single" w:color="auto" w:sz="4" w:space="0"/>
            </w:tcBorders>
          </w:tcPr>
          <w:p w14:paraId="5713E464">
            <w:pPr>
              <w:spacing w:line="420" w:lineRule="exact"/>
              <w:rPr>
                <w:rFonts w:hint="eastAsia"/>
                <w:lang w:eastAsia="zh-CN"/>
              </w:rPr>
            </w:pPr>
            <w:r>
              <w:rPr>
                <w:rFonts w:ascii="宋体" w:hAnsi="宋体"/>
                <w:sz w:val="24"/>
              </w:rPr>
              <w:t>公司通过</w:t>
            </w:r>
            <w:r>
              <w:rPr>
                <w:rFonts w:hint="eastAsia" w:ascii="宋体" w:hAnsi="宋体"/>
                <w:bCs/>
                <w:sz w:val="24"/>
              </w:rPr>
              <w:t>“上证路演中心”（</w:t>
            </w:r>
            <w:r>
              <w:fldChar w:fldCharType="begin"/>
            </w:r>
            <w:r>
              <w:instrText xml:space="preserve"> HYPERLINK "https://ir.p5w.net）采用网络远程的方式召开2025" </w:instrText>
            </w:r>
            <w:r>
              <w:fldChar w:fldCharType="separate"/>
            </w:r>
            <w:r>
              <w:rPr>
                <w:rFonts w:hint="eastAsia"/>
              </w:rPr>
              <w:fldChar w:fldCharType="begin"/>
            </w:r>
            <w:r>
              <w:rPr>
                <w:rFonts w:hint="eastAsia"/>
              </w:rPr>
              <w:instrText xml:space="preserve"> HYPERLINK "https://roadshow.sseinfo.com" </w:instrText>
            </w:r>
            <w:r>
              <w:rPr>
                <w:rFonts w:hint="eastAsia"/>
              </w:rPr>
              <w:fldChar w:fldCharType="separate"/>
            </w:r>
            <w:r>
              <w:rPr>
                <w:rFonts w:hint="eastAsia"/>
              </w:rPr>
              <w:t>https://roadshow.sseinfo.com</w:t>
            </w:r>
            <w:r>
              <w:rPr>
                <w:rFonts w:hint="eastAsia"/>
              </w:rPr>
              <w:fldChar w:fldCharType="end"/>
            </w:r>
            <w:r>
              <w:rPr>
                <w:rFonts w:hint="eastAsia"/>
                <w:lang w:eastAsia="zh-CN"/>
              </w:rPr>
              <w:t>）</w:t>
            </w:r>
          </w:p>
          <w:p w14:paraId="1CCEE817">
            <w:pPr>
              <w:spacing w:line="420" w:lineRule="exact"/>
              <w:rPr>
                <w:bCs/>
                <w:iCs/>
                <w:color w:val="000000"/>
                <w:sz w:val="24"/>
              </w:rPr>
            </w:pPr>
            <w:r>
              <w:rPr>
                <w:rFonts w:hint="eastAsia"/>
                <w:sz w:val="24"/>
              </w:rPr>
              <w:t>采用网络远程的方式</w:t>
            </w:r>
            <w:r>
              <w:rPr>
                <w:bCs/>
                <w:sz w:val="24"/>
              </w:rPr>
              <w:t>召开</w:t>
            </w:r>
            <w:r>
              <w:rPr>
                <w:rFonts w:hint="eastAsia"/>
                <w:bCs/>
                <w:sz w:val="24"/>
              </w:rPr>
              <w:t>2025</w:t>
            </w:r>
            <w:r>
              <w:rPr>
                <w:rFonts w:hint="eastAsia"/>
                <w:bCs/>
                <w:sz w:val="24"/>
              </w:rPr>
              <w:fldChar w:fldCharType="end"/>
            </w:r>
            <w:r>
              <w:rPr>
                <w:rFonts w:hint="eastAsia" w:ascii="宋体" w:hAnsi="宋体"/>
                <w:sz w:val="24"/>
              </w:rPr>
              <w:t>年</w:t>
            </w:r>
            <w:r>
              <w:rPr>
                <w:rFonts w:hint="eastAsia" w:ascii="宋体" w:hAnsi="宋体"/>
                <w:sz w:val="24"/>
                <w:lang w:val="en-US" w:eastAsia="zh-CN"/>
              </w:rPr>
              <w:t>第三季度</w:t>
            </w:r>
            <w:r>
              <w:rPr>
                <w:rFonts w:hint="eastAsia" w:ascii="宋体" w:hAnsi="宋体"/>
                <w:sz w:val="24"/>
              </w:rPr>
              <w:t>业绩说明会</w:t>
            </w:r>
          </w:p>
        </w:tc>
      </w:tr>
      <w:tr w14:paraId="54E3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tcBorders>
              <w:top w:val="single" w:color="auto" w:sz="4" w:space="0"/>
              <w:left w:val="single" w:color="auto" w:sz="4" w:space="0"/>
              <w:bottom w:val="single" w:color="auto" w:sz="4" w:space="0"/>
              <w:right w:val="single" w:color="auto" w:sz="4" w:space="0"/>
            </w:tcBorders>
            <w:vAlign w:val="center"/>
          </w:tcPr>
          <w:p w14:paraId="49223422">
            <w:pPr>
              <w:spacing w:line="420" w:lineRule="exact"/>
              <w:jc w:val="center"/>
              <w:rPr>
                <w:rFonts w:hAnsi="宋体"/>
                <w:bCs/>
                <w:iCs/>
                <w:color w:val="000000"/>
                <w:kern w:val="0"/>
                <w:sz w:val="24"/>
              </w:rPr>
            </w:pPr>
            <w:r>
              <w:rPr>
                <w:rFonts w:hAnsi="宋体"/>
                <w:bCs/>
                <w:iCs/>
                <w:color w:val="000000"/>
                <w:kern w:val="0"/>
                <w:sz w:val="24"/>
              </w:rPr>
              <w:t>上市公司接待</w:t>
            </w:r>
          </w:p>
          <w:p w14:paraId="42D38067">
            <w:pPr>
              <w:spacing w:line="420" w:lineRule="exact"/>
              <w:jc w:val="center"/>
              <w:rPr>
                <w:bCs/>
                <w:iCs/>
                <w:color w:val="000000"/>
                <w:kern w:val="0"/>
                <w:sz w:val="24"/>
              </w:rPr>
            </w:pPr>
            <w:r>
              <w:rPr>
                <w:rFonts w:hAnsi="宋体"/>
                <w:bCs/>
                <w:iCs/>
                <w:color w:val="000000"/>
                <w:kern w:val="0"/>
                <w:sz w:val="24"/>
              </w:rPr>
              <w:t>人员姓名</w:t>
            </w:r>
          </w:p>
        </w:tc>
        <w:tc>
          <w:tcPr>
            <w:tcW w:w="6810" w:type="dxa"/>
            <w:tcBorders>
              <w:top w:val="single" w:color="auto" w:sz="4" w:space="0"/>
              <w:left w:val="single" w:color="auto" w:sz="4" w:space="0"/>
              <w:bottom w:val="single" w:color="auto" w:sz="4" w:space="0"/>
              <w:right w:val="single" w:color="auto" w:sz="4" w:space="0"/>
            </w:tcBorders>
            <w:vAlign w:val="center"/>
          </w:tcPr>
          <w:p w14:paraId="1D4452CD">
            <w:pPr>
              <w:spacing w:line="420" w:lineRule="exact"/>
              <w:rPr>
                <w:rFonts w:hint="eastAsia" w:ascii="宋体" w:hAnsi="宋体"/>
                <w:bCs/>
                <w:sz w:val="24"/>
              </w:rPr>
            </w:pPr>
            <w:r>
              <w:rPr>
                <w:rFonts w:ascii="宋体" w:hAnsi="宋体"/>
                <w:bCs/>
                <w:sz w:val="24"/>
              </w:rPr>
              <w:t>1</w:t>
            </w:r>
            <w:r>
              <w:rPr>
                <w:rFonts w:hint="eastAsia" w:ascii="宋体" w:hAnsi="宋体"/>
                <w:bCs/>
                <w:sz w:val="24"/>
                <w:lang w:val="en-US" w:eastAsia="zh-CN"/>
              </w:rPr>
              <w:t>.</w:t>
            </w:r>
            <w:r>
              <w:rPr>
                <w:rFonts w:hint="eastAsia" w:ascii="宋体" w:hAnsi="宋体" w:eastAsia="宋体" w:cs="宋体"/>
                <w:sz w:val="24"/>
                <w:szCs w:val="24"/>
              </w:rPr>
              <w:t>董事</w:t>
            </w:r>
            <w:r>
              <w:rPr>
                <w:rFonts w:hint="eastAsia" w:ascii="宋体" w:hAnsi="宋体" w:cs="宋体"/>
                <w:sz w:val="24"/>
                <w:szCs w:val="24"/>
                <w:lang w:eastAsia="zh-CN"/>
              </w:rPr>
              <w:t>、</w:t>
            </w:r>
            <w:r>
              <w:rPr>
                <w:rFonts w:ascii="宋体" w:hAnsi="宋体"/>
                <w:bCs/>
                <w:sz w:val="24"/>
              </w:rPr>
              <w:t>总裁陈涛</w:t>
            </w:r>
          </w:p>
          <w:p w14:paraId="5EE4557A">
            <w:pPr>
              <w:spacing w:line="420" w:lineRule="exact"/>
              <w:rPr>
                <w:rFonts w:hint="eastAsia" w:ascii="宋体" w:hAnsi="宋体"/>
                <w:bCs/>
                <w:sz w:val="24"/>
              </w:rPr>
            </w:pPr>
            <w:r>
              <w:rPr>
                <w:rFonts w:ascii="宋体" w:hAnsi="宋体"/>
                <w:bCs/>
                <w:sz w:val="24"/>
              </w:rPr>
              <w:t>2</w:t>
            </w:r>
            <w:r>
              <w:rPr>
                <w:rFonts w:hint="eastAsia" w:ascii="宋体" w:hAnsi="宋体"/>
                <w:bCs/>
                <w:sz w:val="24"/>
                <w:lang w:val="en-US" w:eastAsia="zh-CN"/>
              </w:rPr>
              <w:t>.</w:t>
            </w:r>
            <w:r>
              <w:rPr>
                <w:rFonts w:ascii="宋体" w:hAnsi="宋体"/>
                <w:bCs/>
                <w:sz w:val="24"/>
              </w:rPr>
              <w:t>副总裁</w:t>
            </w:r>
            <w:r>
              <w:rPr>
                <w:rFonts w:hint="eastAsia" w:ascii="宋体" w:hAnsi="宋体"/>
                <w:bCs/>
                <w:sz w:val="24"/>
                <w:lang w:eastAsia="zh-CN"/>
              </w:rPr>
              <w:t>、</w:t>
            </w:r>
            <w:r>
              <w:rPr>
                <w:rFonts w:ascii="宋体" w:hAnsi="宋体"/>
                <w:bCs/>
                <w:sz w:val="24"/>
              </w:rPr>
              <w:t>财务负责人</w:t>
            </w:r>
            <w:r>
              <w:rPr>
                <w:rFonts w:hint="eastAsia" w:ascii="宋体" w:hAnsi="宋体"/>
                <w:bCs/>
                <w:sz w:val="24"/>
                <w:lang w:eastAsia="zh-CN"/>
              </w:rPr>
              <w:t>、</w:t>
            </w:r>
            <w:r>
              <w:rPr>
                <w:rFonts w:hint="eastAsia" w:ascii="宋体" w:hAnsi="宋体" w:eastAsia="宋体" w:cs="宋体"/>
                <w:sz w:val="24"/>
                <w:szCs w:val="24"/>
              </w:rPr>
              <w:t>总法律顾问</w:t>
            </w:r>
            <w:r>
              <w:rPr>
                <w:rFonts w:ascii="宋体" w:hAnsi="宋体"/>
                <w:bCs/>
                <w:sz w:val="24"/>
              </w:rPr>
              <w:t>方胜</w:t>
            </w:r>
          </w:p>
          <w:p w14:paraId="15DB8F14">
            <w:pPr>
              <w:spacing w:line="420" w:lineRule="exact"/>
              <w:rPr>
                <w:rFonts w:hint="eastAsia" w:ascii="宋体" w:hAnsi="宋体"/>
                <w:bCs/>
                <w:sz w:val="24"/>
              </w:rPr>
            </w:pPr>
            <w:r>
              <w:rPr>
                <w:rFonts w:ascii="宋体" w:hAnsi="宋体"/>
                <w:bCs/>
                <w:sz w:val="24"/>
              </w:rPr>
              <w:t>3</w:t>
            </w:r>
            <w:r>
              <w:rPr>
                <w:rFonts w:hint="eastAsia" w:ascii="宋体" w:hAnsi="宋体"/>
                <w:bCs/>
                <w:sz w:val="24"/>
                <w:lang w:val="en-US" w:eastAsia="zh-CN"/>
              </w:rPr>
              <w:t>.</w:t>
            </w:r>
            <w:r>
              <w:rPr>
                <w:rFonts w:ascii="宋体" w:hAnsi="宋体"/>
                <w:bCs/>
                <w:sz w:val="24"/>
              </w:rPr>
              <w:t>董事会秘书郭小薇</w:t>
            </w:r>
          </w:p>
          <w:p w14:paraId="56940F55">
            <w:pPr>
              <w:spacing w:line="420" w:lineRule="exact"/>
              <w:rPr>
                <w:rFonts w:hint="eastAsia" w:ascii="宋体" w:hAnsi="宋体"/>
                <w:bCs/>
                <w:sz w:val="24"/>
              </w:rPr>
            </w:pPr>
            <w:r>
              <w:rPr>
                <w:rFonts w:ascii="宋体" w:hAnsi="宋体"/>
                <w:bCs/>
                <w:sz w:val="24"/>
              </w:rPr>
              <w:t>4</w:t>
            </w:r>
            <w:r>
              <w:rPr>
                <w:rFonts w:hint="eastAsia" w:ascii="宋体" w:hAnsi="宋体"/>
                <w:bCs/>
                <w:sz w:val="24"/>
                <w:lang w:val="en-US" w:eastAsia="zh-CN"/>
              </w:rPr>
              <w:t>.</w:t>
            </w:r>
            <w:r>
              <w:rPr>
                <w:rFonts w:ascii="宋体" w:hAnsi="宋体"/>
                <w:bCs/>
                <w:sz w:val="24"/>
              </w:rPr>
              <w:t>独立董事曹强</w:t>
            </w:r>
          </w:p>
          <w:p w14:paraId="46E8975B">
            <w:pPr>
              <w:spacing w:line="420" w:lineRule="exact"/>
              <w:rPr>
                <w:rFonts w:hint="eastAsia" w:ascii="宋体" w:hAnsi="宋体"/>
                <w:bCs/>
                <w:sz w:val="24"/>
              </w:rPr>
            </w:pPr>
            <w:r>
              <w:rPr>
                <w:rFonts w:ascii="宋体" w:hAnsi="宋体"/>
                <w:bCs/>
                <w:sz w:val="24"/>
              </w:rPr>
              <w:t>5</w:t>
            </w:r>
            <w:r>
              <w:rPr>
                <w:rFonts w:hint="eastAsia" w:ascii="宋体" w:hAnsi="宋体"/>
                <w:bCs/>
                <w:sz w:val="24"/>
                <w:lang w:val="en-US" w:eastAsia="zh-CN"/>
              </w:rPr>
              <w:t>.</w:t>
            </w:r>
            <w:r>
              <w:rPr>
                <w:rFonts w:ascii="宋体" w:hAnsi="宋体"/>
                <w:bCs/>
                <w:sz w:val="24"/>
              </w:rPr>
              <w:t>独立董事侯欣一</w:t>
            </w:r>
          </w:p>
        </w:tc>
      </w:tr>
      <w:tr w14:paraId="0555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tcBorders>
              <w:top w:val="single" w:color="auto" w:sz="4" w:space="0"/>
              <w:left w:val="single" w:color="auto" w:sz="4" w:space="0"/>
              <w:bottom w:val="single" w:color="auto" w:sz="4" w:space="0"/>
              <w:right w:val="single" w:color="auto" w:sz="4" w:space="0"/>
            </w:tcBorders>
            <w:vAlign w:val="center"/>
          </w:tcPr>
          <w:p w14:paraId="68BCB3C6">
            <w:pPr>
              <w:spacing w:line="420" w:lineRule="exact"/>
              <w:jc w:val="center"/>
              <w:rPr>
                <w:bCs/>
                <w:iCs/>
                <w:color w:val="000000"/>
                <w:kern w:val="0"/>
                <w:sz w:val="24"/>
              </w:rPr>
            </w:pPr>
            <w:r>
              <w:rPr>
                <w:rFonts w:hAnsi="宋体"/>
                <w:bCs/>
                <w:iCs/>
                <w:color w:val="000000"/>
                <w:kern w:val="0"/>
                <w:sz w:val="24"/>
              </w:rPr>
              <w:t>投资者关系活动主要内容介绍</w:t>
            </w:r>
          </w:p>
          <w:p w14:paraId="0BC0D5D8">
            <w:pPr>
              <w:spacing w:line="420" w:lineRule="exact"/>
              <w:jc w:val="center"/>
              <w:rPr>
                <w:bCs/>
                <w:iCs/>
                <w:color w:val="000000"/>
                <w:sz w:val="24"/>
              </w:rPr>
            </w:pPr>
          </w:p>
        </w:tc>
        <w:tc>
          <w:tcPr>
            <w:tcW w:w="6810" w:type="dxa"/>
            <w:tcBorders>
              <w:top w:val="single" w:color="auto" w:sz="4" w:space="0"/>
              <w:left w:val="single" w:color="auto" w:sz="4" w:space="0"/>
              <w:bottom w:val="single" w:color="auto" w:sz="4" w:space="0"/>
              <w:right w:val="single" w:color="auto" w:sz="4" w:space="0"/>
            </w:tcBorders>
          </w:tcPr>
          <w:p w14:paraId="364C789E">
            <w:pPr>
              <w:keepNext w:val="0"/>
              <w:keepLines w:val="0"/>
              <w:pageBreakBefore w:val="0"/>
              <w:widowControl w:val="0"/>
              <w:kinsoku/>
              <w:wordWrap/>
              <w:overflowPunct/>
              <w:topLinePunct w:val="0"/>
              <w:autoSpaceDE/>
              <w:autoSpaceDN/>
              <w:bidi w:val="0"/>
              <w:adjustRightInd/>
              <w:snapToGrid/>
              <w:spacing w:before="156" w:beforeLines="50" w:line="460" w:lineRule="exact"/>
              <w:ind w:firstLine="482" w:firstLineChars="200"/>
              <w:textAlignment w:val="auto"/>
              <w:rPr>
                <w:rFonts w:hint="eastAsia" w:ascii="宋体" w:hAnsi="宋体"/>
                <w:b/>
                <w:sz w:val="24"/>
              </w:rPr>
            </w:pPr>
            <w:r>
              <w:rPr>
                <w:rFonts w:ascii="宋体" w:hAnsi="宋体"/>
                <w:b/>
                <w:sz w:val="24"/>
              </w:rPr>
              <w:t>投资者提出的问题及公司回复情况</w:t>
            </w:r>
          </w:p>
          <w:p w14:paraId="6AA2AC9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ascii="宋体" w:hAnsi="宋体"/>
                <w:sz w:val="24"/>
              </w:rPr>
              <w:t xml:space="preserve"> </w:t>
            </w:r>
            <w:r>
              <w:rPr>
                <w:rFonts w:ascii="宋体" w:hAnsi="宋体" w:cs="宋体"/>
                <w:sz w:val="24"/>
              </w:rPr>
              <w:t>公司就投资者在本次说明会中提出的问题进行了回复：</w:t>
            </w:r>
          </w:p>
          <w:p w14:paraId="3F5B8AC5">
            <w:pPr>
              <w:pStyle w:val="10"/>
              <w:keepNext w:val="0"/>
              <w:keepLines w:val="0"/>
              <w:pageBreakBefore w:val="0"/>
              <w:widowControl w:val="0"/>
              <w:kinsoku/>
              <w:wordWrap/>
              <w:overflowPunct/>
              <w:topLinePunct w:val="0"/>
              <w:autoSpaceDE/>
              <w:autoSpaceDN/>
              <w:bidi w:val="0"/>
              <w:adjustRightInd/>
              <w:snapToGrid/>
              <w:spacing w:line="460" w:lineRule="exact"/>
              <w:ind w:left="-2" w:leftChars="-1" w:firstLine="482" w:firstLineChars="200"/>
              <w:textAlignment w:val="auto"/>
              <w:rPr>
                <w:rFonts w:hint="eastAsia" w:ascii="宋体" w:hAnsi="宋体"/>
                <w:b/>
                <w:bCs/>
                <w:sz w:val="24"/>
                <w:szCs w:val="24"/>
              </w:rPr>
            </w:pPr>
            <w:r>
              <w:rPr>
                <w:rFonts w:ascii="宋体" w:hAnsi="宋体"/>
                <w:b/>
                <w:bCs/>
                <w:sz w:val="24"/>
                <w:szCs w:val="24"/>
              </w:rPr>
              <w:t>1</w:t>
            </w:r>
            <w:r>
              <w:rPr>
                <w:rFonts w:hint="eastAsia" w:ascii="宋体" w:hAnsi="宋体"/>
                <w:b/>
                <w:bCs/>
                <w:sz w:val="24"/>
                <w:szCs w:val="24"/>
                <w:lang w:val="en-US" w:eastAsia="zh-CN"/>
              </w:rPr>
              <w:t>.</w:t>
            </w:r>
            <w:r>
              <w:rPr>
                <w:rFonts w:hint="default" w:ascii="宋体" w:hAnsi="宋体"/>
                <w:b/>
                <w:bCs/>
                <w:sz w:val="24"/>
                <w:szCs w:val="24"/>
                <w:lang w:val="en-US"/>
              </w:rPr>
              <w:t>公司有无回购计划？</w:t>
            </w:r>
          </w:p>
          <w:p w14:paraId="1B3D494A">
            <w:pPr>
              <w:pStyle w:val="10"/>
              <w:keepNext w:val="0"/>
              <w:keepLines w:val="0"/>
              <w:pageBreakBefore w:val="0"/>
              <w:widowControl w:val="0"/>
              <w:kinsoku/>
              <w:wordWrap/>
              <w:overflowPunct/>
              <w:topLinePunct w:val="0"/>
              <w:autoSpaceDE/>
              <w:autoSpaceDN/>
              <w:bidi w:val="0"/>
              <w:adjustRightInd/>
              <w:snapToGrid/>
              <w:spacing w:line="460" w:lineRule="exact"/>
              <w:ind w:left="-2" w:leftChars="-1" w:firstLine="480" w:firstLineChars="200"/>
              <w:textAlignment w:val="auto"/>
              <w:rPr>
                <w:rFonts w:hint="eastAsia" w:ascii="宋体" w:hAnsi="宋体"/>
                <w:sz w:val="24"/>
                <w:szCs w:val="24"/>
              </w:rPr>
            </w:pPr>
            <w:r>
              <w:rPr>
                <w:rFonts w:hint="eastAsia" w:ascii="宋体" w:hAnsi="宋体"/>
                <w:sz w:val="24"/>
                <w:szCs w:val="24"/>
              </w:rPr>
              <w:t>您好！2024年，集团公司基于对公司长期价值的认可及未来稳定发展的信心，实施了股份增持计划，累计增持公司股份1175.99万股，增持金额达5010.92万元，体现了控股股东对公司持续发展的坚定支持。公司如涉及回购股份等相关安排，将依法依规及时履行信息披露义务。感谢您对公司的关注！</w:t>
            </w:r>
          </w:p>
          <w:p w14:paraId="7B5DB464">
            <w:pPr>
              <w:pStyle w:val="10"/>
              <w:keepNext w:val="0"/>
              <w:keepLines w:val="0"/>
              <w:pageBreakBefore w:val="0"/>
              <w:widowControl w:val="0"/>
              <w:kinsoku/>
              <w:wordWrap/>
              <w:overflowPunct/>
              <w:topLinePunct w:val="0"/>
              <w:autoSpaceDE/>
              <w:autoSpaceDN/>
              <w:bidi w:val="0"/>
              <w:adjustRightInd/>
              <w:snapToGrid/>
              <w:spacing w:line="460" w:lineRule="exact"/>
              <w:ind w:left="-2" w:leftChars="-1" w:firstLine="482" w:firstLineChars="200"/>
              <w:textAlignment w:val="auto"/>
              <w:rPr>
                <w:rFonts w:hint="eastAsia" w:ascii="宋体" w:hAnsi="宋体"/>
                <w:b/>
                <w:bCs/>
                <w:sz w:val="24"/>
                <w:szCs w:val="24"/>
              </w:rPr>
            </w:pPr>
            <w:r>
              <w:rPr>
                <w:rFonts w:ascii="宋体" w:hAnsi="宋体"/>
                <w:b/>
                <w:bCs/>
                <w:sz w:val="24"/>
                <w:szCs w:val="24"/>
              </w:rPr>
              <w:t>2</w:t>
            </w:r>
            <w:r>
              <w:rPr>
                <w:rFonts w:hint="eastAsia" w:ascii="宋体" w:hAnsi="宋体"/>
                <w:b/>
                <w:bCs/>
                <w:sz w:val="24"/>
                <w:szCs w:val="24"/>
                <w:lang w:val="en-US" w:eastAsia="zh-CN"/>
              </w:rPr>
              <w:t>.</w:t>
            </w:r>
            <w:r>
              <w:rPr>
                <w:rFonts w:hint="default" w:ascii="宋体" w:hAnsi="宋体"/>
                <w:b/>
                <w:bCs/>
                <w:sz w:val="24"/>
                <w:szCs w:val="24"/>
                <w:lang w:val="en-US"/>
              </w:rPr>
              <w:t>请介绍下公司三季度营收情况</w:t>
            </w:r>
            <w:r>
              <w:rPr>
                <w:rFonts w:hint="eastAsia" w:ascii="宋体" w:hAnsi="宋体"/>
                <w:b/>
                <w:bCs/>
                <w:sz w:val="24"/>
                <w:szCs w:val="24"/>
                <w:lang w:val="en-US" w:eastAsia="zh-CN"/>
              </w:rPr>
              <w:t>。</w:t>
            </w:r>
          </w:p>
          <w:p w14:paraId="01271C94">
            <w:pPr>
              <w:pStyle w:val="10"/>
              <w:keepNext w:val="0"/>
              <w:keepLines w:val="0"/>
              <w:pageBreakBefore w:val="0"/>
              <w:widowControl w:val="0"/>
              <w:kinsoku/>
              <w:wordWrap/>
              <w:overflowPunct/>
              <w:topLinePunct w:val="0"/>
              <w:autoSpaceDE/>
              <w:autoSpaceDN/>
              <w:bidi w:val="0"/>
              <w:adjustRightInd/>
              <w:snapToGrid/>
              <w:spacing w:line="460" w:lineRule="exact"/>
              <w:ind w:left="-2" w:leftChars="-1" w:firstLine="480" w:firstLineChars="200"/>
              <w:textAlignment w:val="auto"/>
              <w:rPr>
                <w:rFonts w:hint="eastAsia" w:ascii="宋体" w:hAnsi="宋体"/>
                <w:sz w:val="24"/>
                <w:szCs w:val="24"/>
              </w:rPr>
            </w:pPr>
            <w:r>
              <w:rPr>
                <w:rFonts w:hint="default" w:ascii="宋体" w:hAnsi="宋体"/>
                <w:sz w:val="24"/>
                <w:szCs w:val="24"/>
                <w:lang w:val="en-US"/>
              </w:rPr>
              <w:t>您好！公司2025年三季度，公司实现营业总收入93.72亿元，较去年同期增长4.34%。主要原因是装卸、港口物流等行业收入增加。感谢您对公司的关注！</w:t>
            </w:r>
          </w:p>
          <w:p w14:paraId="083C8B01">
            <w:pPr>
              <w:pStyle w:val="10"/>
              <w:keepNext w:val="0"/>
              <w:keepLines w:val="0"/>
              <w:pageBreakBefore w:val="0"/>
              <w:widowControl w:val="0"/>
              <w:kinsoku/>
              <w:wordWrap/>
              <w:overflowPunct/>
              <w:topLinePunct w:val="0"/>
              <w:autoSpaceDE/>
              <w:autoSpaceDN/>
              <w:bidi w:val="0"/>
              <w:adjustRightInd/>
              <w:snapToGrid/>
              <w:spacing w:line="460" w:lineRule="exact"/>
              <w:ind w:left="-2" w:leftChars="-1" w:firstLine="482" w:firstLineChars="200"/>
              <w:textAlignment w:val="auto"/>
              <w:rPr>
                <w:rFonts w:hint="eastAsia" w:ascii="宋体" w:hAnsi="宋体"/>
                <w:b/>
                <w:bCs/>
                <w:sz w:val="24"/>
                <w:szCs w:val="24"/>
                <w:lang w:val="en-US" w:eastAsia="zh-CN"/>
              </w:rPr>
            </w:pPr>
            <w:r>
              <w:rPr>
                <w:rFonts w:ascii="宋体" w:hAnsi="宋体"/>
                <w:b/>
                <w:bCs/>
                <w:sz w:val="24"/>
                <w:szCs w:val="24"/>
              </w:rPr>
              <w:t>3</w:t>
            </w:r>
            <w:r>
              <w:rPr>
                <w:rFonts w:hint="eastAsia" w:ascii="宋体" w:hAnsi="宋体"/>
                <w:b/>
                <w:bCs/>
                <w:sz w:val="24"/>
                <w:szCs w:val="24"/>
                <w:lang w:val="en-US" w:eastAsia="zh-CN"/>
              </w:rPr>
              <w:t>.公司对于市值管理有什么具体的措施？</w:t>
            </w:r>
          </w:p>
          <w:p w14:paraId="442C3A51">
            <w:pPr>
              <w:pStyle w:val="10"/>
              <w:keepNext w:val="0"/>
              <w:keepLines w:val="0"/>
              <w:pageBreakBefore w:val="0"/>
              <w:widowControl w:val="0"/>
              <w:kinsoku/>
              <w:wordWrap/>
              <w:overflowPunct/>
              <w:topLinePunct w:val="0"/>
              <w:autoSpaceDE/>
              <w:autoSpaceDN/>
              <w:bidi w:val="0"/>
              <w:adjustRightInd/>
              <w:snapToGrid/>
              <w:spacing w:line="460" w:lineRule="exact"/>
              <w:ind w:left="-2" w:leftChars="-1" w:firstLine="480" w:firstLineChars="200"/>
              <w:textAlignment w:val="auto"/>
              <w:rPr>
                <w:rFonts w:hint="default" w:ascii="宋体" w:hAnsi="宋体"/>
                <w:sz w:val="24"/>
                <w:szCs w:val="24"/>
                <w:lang w:val="en-US"/>
              </w:rPr>
            </w:pPr>
            <w:r>
              <w:rPr>
                <w:rFonts w:hint="default" w:ascii="宋体" w:hAnsi="宋体"/>
                <w:sz w:val="24"/>
                <w:szCs w:val="24"/>
                <w:lang w:val="en-US"/>
              </w:rPr>
              <w:t>您好！公司高度重视市值管理工作，已围绕市值管理采取一系列具体举措。今年以来，公司积极落实监管要求，先后制定并印发了《公司市值管理制度》《未来三年估值提升计划（2025–2027年）》及《2025年度“提质增效重回报”行动方案》，形成以《2025年市值管理方案》为核心的任务分解体系，系统推进估值提升工作。在具体落实方面，公司积极争取新航线和运力资源，加大市场拓展力度，不断优化货源结构，持续推进智慧绿色枢纽港口建设，不断提升服务效率和服务质量。持续强化股东回报，自上市以来累计分红已达51.42亿元；不断提升ESG治理水平，ESG评级已提升至AA级；通过多次接待机构调研，与投资者保持高效沟通。此外，公司还荣获“中国上市公司投资者关系股东回报天马奖”“最佳资本市场沟通奖”等多项荣誉，体现了市场对公司沟通与回报能力的认可。感谢您对公司的关注！</w:t>
            </w:r>
          </w:p>
          <w:p w14:paraId="7F888F68">
            <w:pPr>
              <w:pStyle w:val="10"/>
              <w:keepNext w:val="0"/>
              <w:keepLines w:val="0"/>
              <w:pageBreakBefore w:val="0"/>
              <w:widowControl w:val="0"/>
              <w:kinsoku/>
              <w:wordWrap/>
              <w:overflowPunct/>
              <w:topLinePunct w:val="0"/>
              <w:autoSpaceDE/>
              <w:autoSpaceDN/>
              <w:bidi w:val="0"/>
              <w:adjustRightInd/>
              <w:snapToGrid/>
              <w:spacing w:line="460" w:lineRule="exact"/>
              <w:ind w:left="-2" w:leftChars="-1" w:firstLine="482" w:firstLineChars="200"/>
              <w:textAlignment w:val="auto"/>
              <w:rPr>
                <w:rFonts w:hint="default" w:ascii="宋体" w:hAnsi="宋体"/>
                <w:b/>
                <w:bCs/>
                <w:sz w:val="24"/>
                <w:szCs w:val="24"/>
                <w:lang w:val="en-US"/>
              </w:rPr>
            </w:pPr>
            <w:r>
              <w:rPr>
                <w:rFonts w:hint="eastAsia" w:ascii="宋体" w:hAnsi="宋体"/>
                <w:b/>
                <w:bCs/>
                <w:sz w:val="24"/>
                <w:szCs w:val="24"/>
                <w:lang w:val="en-US" w:eastAsia="zh-CN"/>
              </w:rPr>
              <w:t>4.天津港第二集装箱有限公司从集团运营到由上市公司托管经营已经数载，请问现在经营业绩是否已盈利？</w:t>
            </w:r>
          </w:p>
          <w:p w14:paraId="10E1FE4C">
            <w:pPr>
              <w:pStyle w:val="10"/>
              <w:keepNext w:val="0"/>
              <w:keepLines w:val="0"/>
              <w:pageBreakBefore w:val="0"/>
              <w:widowControl w:val="0"/>
              <w:kinsoku/>
              <w:wordWrap/>
              <w:overflowPunct/>
              <w:topLinePunct w:val="0"/>
              <w:autoSpaceDE/>
              <w:autoSpaceDN/>
              <w:bidi w:val="0"/>
              <w:adjustRightInd/>
              <w:snapToGrid/>
              <w:spacing w:line="460" w:lineRule="exact"/>
              <w:ind w:left="-2" w:leftChars="-1" w:firstLine="480" w:firstLineChars="200"/>
              <w:textAlignment w:val="auto"/>
              <w:rPr>
                <w:rFonts w:hint="default" w:ascii="宋体" w:hAnsi="宋体"/>
                <w:sz w:val="24"/>
                <w:szCs w:val="24"/>
                <w:lang w:val="en-US"/>
              </w:rPr>
            </w:pPr>
            <w:r>
              <w:rPr>
                <w:rFonts w:hint="default" w:ascii="宋体" w:hAnsi="宋体"/>
                <w:sz w:val="24"/>
                <w:szCs w:val="24"/>
                <w:lang w:val="en-US"/>
              </w:rPr>
              <w:t>您好！第二集装箱公司自托管至上市公司以来，天津港股份有限公司充分发挥装卸物流主力军的资源优势，积极带动托管企业实现稳定运营，目前第二集装箱公司经营情况良好。感谢您对公司的关注！</w:t>
            </w:r>
          </w:p>
          <w:p w14:paraId="2E44108A">
            <w:pPr>
              <w:pStyle w:val="10"/>
              <w:keepNext w:val="0"/>
              <w:keepLines w:val="0"/>
              <w:pageBreakBefore w:val="0"/>
              <w:widowControl w:val="0"/>
              <w:kinsoku/>
              <w:wordWrap/>
              <w:overflowPunct/>
              <w:topLinePunct w:val="0"/>
              <w:autoSpaceDE/>
              <w:autoSpaceDN/>
              <w:bidi w:val="0"/>
              <w:adjustRightInd/>
              <w:snapToGrid/>
              <w:spacing w:line="460" w:lineRule="exact"/>
              <w:ind w:left="-2" w:leftChars="-1" w:firstLine="482" w:firstLineChars="200"/>
              <w:textAlignment w:val="auto"/>
              <w:rPr>
                <w:rFonts w:hint="eastAsia" w:ascii="宋体" w:hAnsi="宋体"/>
                <w:b/>
                <w:bCs/>
                <w:sz w:val="24"/>
                <w:szCs w:val="24"/>
                <w:lang w:val="en-US" w:eastAsia="zh-CN"/>
              </w:rPr>
            </w:pPr>
            <w:r>
              <w:rPr>
                <w:rFonts w:hint="eastAsia" w:ascii="宋体" w:hAnsi="宋体"/>
                <w:b/>
                <w:bCs/>
                <w:sz w:val="24"/>
                <w:szCs w:val="24"/>
                <w:lang w:val="en-US" w:eastAsia="zh-CN"/>
              </w:rPr>
              <w:t>5.公司的转型战略是集装箱业务，铁海联运是经营亮点，卖了第一集装箱有限公司，现在再卖铁路运输代理业务公司，卖得差不多了，难道要用旧壶装什么新酒？</w:t>
            </w:r>
          </w:p>
          <w:p w14:paraId="35D89088">
            <w:pPr>
              <w:pStyle w:val="10"/>
              <w:keepNext w:val="0"/>
              <w:keepLines w:val="0"/>
              <w:pageBreakBefore w:val="0"/>
              <w:widowControl w:val="0"/>
              <w:kinsoku/>
              <w:wordWrap/>
              <w:overflowPunct/>
              <w:topLinePunct w:val="0"/>
              <w:autoSpaceDE/>
              <w:autoSpaceDN/>
              <w:bidi w:val="0"/>
              <w:adjustRightInd/>
              <w:snapToGrid/>
              <w:spacing w:line="460" w:lineRule="exact"/>
              <w:ind w:left="-2" w:leftChars="-1" w:firstLine="480" w:firstLineChars="200"/>
              <w:textAlignment w:val="auto"/>
              <w:rPr>
                <w:rFonts w:hint="default" w:ascii="宋体" w:hAnsi="宋体"/>
                <w:sz w:val="24"/>
                <w:szCs w:val="24"/>
                <w:lang w:val="en-US" w:eastAsia="zh-CN"/>
              </w:rPr>
            </w:pPr>
            <w:r>
              <w:rPr>
                <w:rFonts w:hint="default" w:ascii="宋体" w:hAnsi="宋体"/>
                <w:sz w:val="24"/>
                <w:szCs w:val="24"/>
                <w:lang w:val="en-US" w:eastAsia="zh-CN"/>
              </w:rPr>
              <w:t>您好！公司此次剥离中铁储运，有助于公司聚焦核心港口装卸物流主业，规避煤炭贸易行业因能源转型带来的投资风险，改善现金流和资产负债结构，提升毛利率水平。未来公司聚焦于“拓集、优散、延链、强物流、重协同、数字化”，全力推进绿色智慧枢纽港口建设，拓展多元化货源，优化生产运营效能，提升客户服务体验，旨在持续增强核心竞争力，打造港口生产和上市运营“双一流”企业。感谢您的关注！</w:t>
            </w:r>
          </w:p>
          <w:p w14:paraId="229342B6">
            <w:pPr>
              <w:pStyle w:val="10"/>
              <w:keepNext w:val="0"/>
              <w:keepLines w:val="0"/>
              <w:pageBreakBefore w:val="0"/>
              <w:widowControl w:val="0"/>
              <w:kinsoku/>
              <w:wordWrap/>
              <w:overflowPunct/>
              <w:topLinePunct w:val="0"/>
              <w:autoSpaceDE/>
              <w:autoSpaceDN/>
              <w:bidi w:val="0"/>
              <w:adjustRightInd/>
              <w:snapToGrid/>
              <w:spacing w:line="460" w:lineRule="exact"/>
              <w:ind w:left="-2" w:leftChars="-1" w:firstLine="482" w:firstLineChars="200"/>
              <w:textAlignment w:val="auto"/>
              <w:rPr>
                <w:rFonts w:hint="eastAsia" w:ascii="宋体" w:hAnsi="宋体"/>
                <w:b/>
                <w:bCs/>
                <w:sz w:val="24"/>
                <w:szCs w:val="24"/>
                <w:lang w:val="en-US" w:eastAsia="zh-CN"/>
              </w:rPr>
            </w:pPr>
            <w:r>
              <w:rPr>
                <w:rFonts w:hint="eastAsia" w:ascii="宋体" w:hAnsi="宋体"/>
                <w:b/>
                <w:bCs/>
                <w:sz w:val="24"/>
                <w:szCs w:val="24"/>
                <w:lang w:val="en-US" w:eastAsia="zh-CN"/>
              </w:rPr>
              <w:t>6.请披露集团与上市公司同业竞争业务在哪几个港区。</w:t>
            </w:r>
          </w:p>
          <w:p w14:paraId="0A12D9F9">
            <w:pPr>
              <w:pStyle w:val="10"/>
              <w:keepNext w:val="0"/>
              <w:keepLines w:val="0"/>
              <w:pageBreakBefore w:val="0"/>
              <w:widowControl w:val="0"/>
              <w:kinsoku/>
              <w:wordWrap/>
              <w:overflowPunct/>
              <w:topLinePunct w:val="0"/>
              <w:autoSpaceDE/>
              <w:autoSpaceDN/>
              <w:bidi w:val="0"/>
              <w:adjustRightInd/>
              <w:snapToGrid/>
              <w:spacing w:line="460" w:lineRule="exact"/>
              <w:ind w:left="-2" w:leftChars="-1" w:firstLine="480" w:firstLineChars="200"/>
              <w:textAlignment w:val="auto"/>
              <w:rPr>
                <w:rFonts w:hint="default" w:ascii="宋体" w:hAnsi="宋体"/>
                <w:sz w:val="24"/>
                <w:szCs w:val="24"/>
                <w:lang w:val="en-US"/>
              </w:rPr>
            </w:pPr>
            <w:r>
              <w:rPr>
                <w:rFonts w:hint="default" w:ascii="宋体" w:hAnsi="宋体"/>
                <w:sz w:val="24"/>
                <w:szCs w:val="24"/>
                <w:lang w:val="en-US"/>
              </w:rPr>
              <w:t>您好！公司与集团公司在集装箱和件杂货业务方面还存在同业竞争的情况，相关公司分布在南疆和北疆港区。2024年4月已经托管到上市公司，自托管至上市公司以来，公司充分发挥装卸物流主力军的资源优势，努力提升托管企业的盈利水平，致力于创造更大的价值。感谢您对公司的关注！</w:t>
            </w:r>
          </w:p>
          <w:p w14:paraId="5403FC39">
            <w:pPr>
              <w:pStyle w:val="10"/>
              <w:keepNext w:val="0"/>
              <w:keepLines w:val="0"/>
              <w:pageBreakBefore w:val="0"/>
              <w:widowControl w:val="0"/>
              <w:kinsoku/>
              <w:wordWrap/>
              <w:overflowPunct/>
              <w:topLinePunct w:val="0"/>
              <w:autoSpaceDE/>
              <w:autoSpaceDN/>
              <w:bidi w:val="0"/>
              <w:adjustRightInd/>
              <w:snapToGrid/>
              <w:spacing w:line="460" w:lineRule="exact"/>
              <w:ind w:left="-2" w:leftChars="-1" w:firstLine="482" w:firstLineChars="200"/>
              <w:textAlignment w:val="auto"/>
              <w:rPr>
                <w:rFonts w:hint="eastAsia" w:ascii="宋体" w:hAnsi="宋体"/>
                <w:b/>
                <w:bCs/>
                <w:sz w:val="24"/>
                <w:szCs w:val="24"/>
                <w:lang w:val="en-US" w:eastAsia="zh-CN"/>
              </w:rPr>
            </w:pPr>
            <w:r>
              <w:rPr>
                <w:rFonts w:hint="eastAsia" w:ascii="宋体" w:hAnsi="宋体"/>
                <w:b/>
                <w:bCs/>
                <w:sz w:val="24"/>
                <w:szCs w:val="24"/>
                <w:lang w:val="en-US" w:eastAsia="zh-CN"/>
              </w:rPr>
              <w:t>7.请问近几年业绩平平有什么值得沟通的啊，难道可以预见的未来会有明显提升？</w:t>
            </w:r>
          </w:p>
          <w:p w14:paraId="59694F4B">
            <w:pPr>
              <w:pStyle w:val="10"/>
              <w:keepNext w:val="0"/>
              <w:keepLines w:val="0"/>
              <w:pageBreakBefore w:val="0"/>
              <w:widowControl w:val="0"/>
              <w:kinsoku/>
              <w:wordWrap/>
              <w:overflowPunct/>
              <w:topLinePunct w:val="0"/>
              <w:autoSpaceDE/>
              <w:autoSpaceDN/>
              <w:bidi w:val="0"/>
              <w:adjustRightInd/>
              <w:snapToGrid/>
              <w:spacing w:line="460" w:lineRule="exact"/>
              <w:ind w:left="-2" w:leftChars="-1" w:firstLine="480" w:firstLineChars="200"/>
              <w:textAlignment w:val="auto"/>
              <w:rPr>
                <w:rFonts w:hint="default" w:ascii="宋体" w:hAnsi="宋体"/>
                <w:sz w:val="24"/>
                <w:szCs w:val="24"/>
                <w:lang w:val="en-US"/>
              </w:rPr>
            </w:pPr>
            <w:r>
              <w:rPr>
                <w:rFonts w:hint="default" w:ascii="宋体" w:hAnsi="宋体"/>
                <w:sz w:val="24"/>
                <w:szCs w:val="24"/>
                <w:lang w:val="en-US"/>
              </w:rPr>
              <w:t>您好！公司拥有优越的地理区位。公司作为京津冀及“三北”地区的海上门户，也是“一带一路”海陆交汇点，腹地覆盖面积近500万平方公里，区位优势显著。公司具备完善的港口功能，天津港是我国重要的现代化综合性港口，也是世界等级最高的人工深水大港，拥有30万吨级码头和-22米水深的航道，港口功能齐全，配备多个先进的集装箱、散杂货等专业化码头，与全球180多个国家和地区的500多个港口保持贸易往来。</w:t>
            </w:r>
            <w:bookmarkStart w:id="0" w:name="_GoBack"/>
            <w:bookmarkEnd w:id="0"/>
            <w:r>
              <w:rPr>
                <w:rFonts w:hint="default" w:ascii="宋体" w:hAnsi="宋体"/>
                <w:sz w:val="24"/>
                <w:szCs w:val="24"/>
                <w:lang w:val="en-US"/>
              </w:rPr>
              <w:t>公司得益于国家战略赋能，深度融入京津冀协同发展、雄安新区建设等国家战略，持续响应国家政策与发展机遇。公司深化智慧绿色引领，积极推进自动化、数字化升级，加快建设智慧绿色港口，不断提升作业效率、服务水平和可持续发展能力。感谢您对公司的关注！</w:t>
            </w:r>
          </w:p>
          <w:p w14:paraId="09260B4F">
            <w:pPr>
              <w:pStyle w:val="10"/>
              <w:keepNext w:val="0"/>
              <w:keepLines w:val="0"/>
              <w:pageBreakBefore w:val="0"/>
              <w:widowControl w:val="0"/>
              <w:kinsoku/>
              <w:wordWrap/>
              <w:overflowPunct/>
              <w:topLinePunct w:val="0"/>
              <w:autoSpaceDE/>
              <w:autoSpaceDN/>
              <w:bidi w:val="0"/>
              <w:adjustRightInd/>
              <w:snapToGrid/>
              <w:spacing w:line="460" w:lineRule="exact"/>
              <w:ind w:left="-2" w:leftChars="-1" w:firstLine="482" w:firstLineChars="200"/>
              <w:textAlignment w:val="auto"/>
              <w:rPr>
                <w:rFonts w:hint="eastAsia" w:ascii="宋体" w:hAnsi="宋体"/>
                <w:b/>
                <w:bCs/>
                <w:sz w:val="24"/>
                <w:szCs w:val="24"/>
                <w:lang w:val="en-US" w:eastAsia="zh-CN"/>
              </w:rPr>
            </w:pPr>
            <w:r>
              <w:rPr>
                <w:rFonts w:hint="eastAsia" w:ascii="宋体" w:hAnsi="宋体"/>
                <w:b/>
                <w:bCs/>
                <w:sz w:val="24"/>
                <w:szCs w:val="24"/>
                <w:lang w:val="en-US" w:eastAsia="zh-CN"/>
              </w:rPr>
              <w:t>8.码头智慧化改造后的网络枢纽，控制中心会不会因为系统宕机影响正常生成，有没有应急预案？新能源交通工具发生事故有没有隔离措施？</w:t>
            </w:r>
          </w:p>
          <w:p w14:paraId="72208DBA">
            <w:pPr>
              <w:pStyle w:val="10"/>
              <w:keepNext w:val="0"/>
              <w:keepLines w:val="0"/>
              <w:pageBreakBefore w:val="0"/>
              <w:widowControl w:val="0"/>
              <w:kinsoku/>
              <w:wordWrap/>
              <w:overflowPunct/>
              <w:topLinePunct w:val="0"/>
              <w:autoSpaceDE/>
              <w:autoSpaceDN/>
              <w:bidi w:val="0"/>
              <w:adjustRightInd/>
              <w:snapToGrid/>
              <w:spacing w:line="460" w:lineRule="exact"/>
              <w:ind w:left="-2" w:leftChars="-1" w:firstLine="480" w:firstLineChars="200"/>
              <w:textAlignment w:val="auto"/>
              <w:rPr>
                <w:rFonts w:hint="default" w:ascii="宋体" w:hAnsi="宋体"/>
                <w:sz w:val="24"/>
                <w:szCs w:val="24"/>
                <w:lang w:val="en-US" w:eastAsia="zh-CN"/>
              </w:rPr>
            </w:pPr>
            <w:r>
              <w:rPr>
                <w:rFonts w:hint="eastAsia" w:ascii="宋体" w:hAnsi="宋体"/>
                <w:sz w:val="24"/>
                <w:szCs w:val="24"/>
                <w:lang w:val="en-US" w:eastAsia="zh-CN"/>
              </w:rPr>
              <w:t>您好！</w:t>
            </w:r>
            <w:r>
              <w:rPr>
                <w:rFonts w:hint="default" w:ascii="宋体" w:hAnsi="宋体"/>
                <w:sz w:val="24"/>
                <w:szCs w:val="24"/>
                <w:lang w:val="en-US"/>
              </w:rPr>
              <w:t>码头智慧化改造后的网络枢纽，控制中心（调度指挥中心）不会因为系统宕机影响正常生成（产），相关系统和算力有异地备份机制，并有专用资金投入和专业人员运维，拥有完善的应急预案。公司积极开展安全生产风险管控提升，深入重大风险防控，强化隐患排查整改,杜绝各类事故发生风险。感谢您的关注！</w:t>
            </w:r>
          </w:p>
          <w:p w14:paraId="48A0A8FB">
            <w:pPr>
              <w:pStyle w:val="10"/>
              <w:keepNext w:val="0"/>
              <w:keepLines w:val="0"/>
              <w:pageBreakBefore w:val="0"/>
              <w:widowControl w:val="0"/>
              <w:kinsoku/>
              <w:wordWrap/>
              <w:overflowPunct/>
              <w:topLinePunct w:val="0"/>
              <w:autoSpaceDE/>
              <w:autoSpaceDN/>
              <w:bidi w:val="0"/>
              <w:adjustRightInd/>
              <w:snapToGrid/>
              <w:spacing w:line="460" w:lineRule="exact"/>
              <w:ind w:left="-2" w:leftChars="-1" w:firstLine="482" w:firstLineChars="200"/>
              <w:textAlignment w:val="auto"/>
              <w:rPr>
                <w:rFonts w:hint="default" w:ascii="宋体" w:hAnsi="宋体"/>
                <w:b/>
                <w:bCs/>
                <w:sz w:val="24"/>
                <w:szCs w:val="24"/>
                <w:lang w:val="en-US" w:eastAsia="zh-CN"/>
              </w:rPr>
            </w:pPr>
            <w:r>
              <w:rPr>
                <w:rFonts w:hint="eastAsia" w:ascii="宋体" w:hAnsi="宋体"/>
                <w:b/>
                <w:bCs/>
                <w:sz w:val="24"/>
                <w:szCs w:val="24"/>
                <w:lang w:val="en-US" w:eastAsia="zh-CN"/>
              </w:rPr>
              <w:t>9.上市公司现金流充沛，建议积极谋划组团参与长和国际港口资产收购。</w:t>
            </w:r>
          </w:p>
          <w:p w14:paraId="5C548A00">
            <w:pPr>
              <w:pStyle w:val="10"/>
              <w:keepNext w:val="0"/>
              <w:keepLines w:val="0"/>
              <w:pageBreakBefore w:val="0"/>
              <w:widowControl w:val="0"/>
              <w:kinsoku/>
              <w:wordWrap/>
              <w:overflowPunct/>
              <w:topLinePunct w:val="0"/>
              <w:autoSpaceDE/>
              <w:autoSpaceDN/>
              <w:bidi w:val="0"/>
              <w:adjustRightInd/>
              <w:snapToGrid/>
              <w:spacing w:line="460" w:lineRule="exact"/>
              <w:ind w:left="-2" w:leftChars="-1" w:firstLine="480" w:firstLineChars="200"/>
              <w:textAlignment w:val="auto"/>
              <w:rPr>
                <w:rFonts w:hint="default" w:ascii="宋体" w:hAnsi="宋体"/>
                <w:sz w:val="24"/>
                <w:szCs w:val="24"/>
                <w:lang w:val="en-US"/>
              </w:rPr>
            </w:pPr>
            <w:r>
              <w:rPr>
                <w:rFonts w:hint="default" w:ascii="宋体" w:hAnsi="宋体"/>
                <w:sz w:val="24"/>
                <w:szCs w:val="24"/>
                <w:lang w:val="en-US"/>
              </w:rPr>
              <w:t>您好！公司会结合自身经营状况、市场环境变化以及战略发展需求，审慎推动相关工作，公司如有相关安排，将严格按照信息披露规定及时公告。感谢您的关注！</w:t>
            </w:r>
          </w:p>
          <w:p w14:paraId="170EE072">
            <w:pPr>
              <w:pStyle w:val="10"/>
              <w:spacing w:line="460" w:lineRule="exact"/>
              <w:ind w:left="-2" w:leftChars="-1" w:firstLine="480"/>
              <w:rPr>
                <w:rFonts w:hint="eastAsia" w:ascii="宋体" w:hAnsi="宋体"/>
                <w:sz w:val="24"/>
                <w:szCs w:val="24"/>
              </w:rPr>
            </w:pPr>
          </w:p>
          <w:p w14:paraId="2F79E5A3">
            <w:pPr>
              <w:pStyle w:val="10"/>
              <w:spacing w:line="460" w:lineRule="exact"/>
              <w:ind w:firstLine="120" w:firstLineChars="50"/>
              <w:rPr>
                <w:rFonts w:hint="eastAsia" w:ascii="宋体" w:hAnsi="宋体"/>
                <w:sz w:val="24"/>
                <w:szCs w:val="24"/>
              </w:rPr>
            </w:pPr>
          </w:p>
          <w:p w14:paraId="31FA8589">
            <w:pPr>
              <w:adjustRightInd w:val="0"/>
              <w:snapToGrid w:val="0"/>
              <w:spacing w:line="500" w:lineRule="exact"/>
              <w:rPr>
                <w:rFonts w:hint="eastAsia" w:ascii="宋体" w:hAnsi="宋体"/>
                <w:bCs/>
                <w:iCs/>
                <w:color w:val="000000"/>
                <w:sz w:val="24"/>
              </w:rPr>
            </w:pPr>
          </w:p>
        </w:tc>
      </w:tr>
      <w:tr w14:paraId="0BE9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tcBorders>
              <w:top w:val="single" w:color="auto" w:sz="4" w:space="0"/>
              <w:left w:val="single" w:color="auto" w:sz="4" w:space="0"/>
              <w:bottom w:val="single" w:color="auto" w:sz="4" w:space="0"/>
              <w:right w:val="single" w:color="auto" w:sz="4" w:space="0"/>
            </w:tcBorders>
            <w:vAlign w:val="center"/>
          </w:tcPr>
          <w:p w14:paraId="07A4B687">
            <w:pPr>
              <w:spacing w:line="420" w:lineRule="exact"/>
              <w:rPr>
                <w:bCs/>
                <w:iCs/>
                <w:color w:val="000000"/>
                <w:kern w:val="0"/>
                <w:sz w:val="24"/>
              </w:rPr>
            </w:pPr>
            <w:r>
              <w:rPr>
                <w:rFonts w:hAnsi="宋体"/>
                <w:bCs/>
                <w:iCs/>
                <w:color w:val="000000"/>
                <w:kern w:val="0"/>
                <w:sz w:val="24"/>
              </w:rPr>
              <w:t>附件清单（如有）</w:t>
            </w:r>
          </w:p>
        </w:tc>
        <w:tc>
          <w:tcPr>
            <w:tcW w:w="6810" w:type="dxa"/>
            <w:tcBorders>
              <w:top w:val="single" w:color="auto" w:sz="4" w:space="0"/>
              <w:left w:val="single" w:color="auto" w:sz="4" w:space="0"/>
              <w:bottom w:val="single" w:color="auto" w:sz="4" w:space="0"/>
              <w:right w:val="single" w:color="auto" w:sz="4" w:space="0"/>
            </w:tcBorders>
          </w:tcPr>
          <w:p w14:paraId="7AC6E6A4">
            <w:pPr>
              <w:spacing w:line="420" w:lineRule="exact"/>
              <w:rPr>
                <w:bCs/>
                <w:iCs/>
                <w:color w:val="000000"/>
                <w:sz w:val="24"/>
              </w:rPr>
            </w:pPr>
          </w:p>
        </w:tc>
      </w:tr>
      <w:tr w14:paraId="3267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tcBorders>
              <w:top w:val="single" w:color="auto" w:sz="4" w:space="0"/>
              <w:left w:val="single" w:color="auto" w:sz="4" w:space="0"/>
              <w:bottom w:val="single" w:color="auto" w:sz="4" w:space="0"/>
              <w:right w:val="single" w:color="auto" w:sz="4" w:space="0"/>
            </w:tcBorders>
            <w:vAlign w:val="center"/>
          </w:tcPr>
          <w:p w14:paraId="5C0F480F">
            <w:pPr>
              <w:spacing w:line="420" w:lineRule="exact"/>
              <w:rPr>
                <w:bCs/>
                <w:iCs/>
                <w:color w:val="000000"/>
                <w:kern w:val="0"/>
                <w:sz w:val="24"/>
              </w:rPr>
            </w:pPr>
            <w:r>
              <w:rPr>
                <w:rFonts w:hAnsi="宋体"/>
                <w:bCs/>
                <w:iCs/>
                <w:color w:val="000000"/>
                <w:kern w:val="0"/>
                <w:sz w:val="24"/>
              </w:rPr>
              <w:t>日期</w:t>
            </w:r>
          </w:p>
        </w:tc>
        <w:tc>
          <w:tcPr>
            <w:tcW w:w="6810" w:type="dxa"/>
            <w:tcBorders>
              <w:top w:val="single" w:color="auto" w:sz="4" w:space="0"/>
              <w:left w:val="single" w:color="auto" w:sz="4" w:space="0"/>
              <w:bottom w:val="single" w:color="auto" w:sz="4" w:space="0"/>
              <w:right w:val="single" w:color="auto" w:sz="4" w:space="0"/>
            </w:tcBorders>
          </w:tcPr>
          <w:p w14:paraId="406CF3E2">
            <w:pPr>
              <w:spacing w:line="420" w:lineRule="exact"/>
              <w:rPr>
                <w:rFonts w:hint="eastAsia" w:eastAsia="宋体"/>
                <w:bCs/>
                <w:iCs/>
                <w:color w:val="000000"/>
                <w:sz w:val="24"/>
                <w:lang w:eastAsia="zh-CN"/>
              </w:rPr>
            </w:pPr>
            <w:r>
              <w:rPr>
                <w:bCs/>
                <w:iCs/>
                <w:color w:val="000000"/>
                <w:sz w:val="24"/>
              </w:rPr>
              <w:t>2025-</w:t>
            </w:r>
            <w:r>
              <w:rPr>
                <w:rFonts w:hint="eastAsia"/>
                <w:bCs/>
                <w:iCs/>
                <w:color w:val="000000"/>
                <w:sz w:val="24"/>
                <w:lang w:val="en-US" w:eastAsia="zh-CN"/>
              </w:rPr>
              <w:t>11</w:t>
            </w:r>
            <w:r>
              <w:rPr>
                <w:bCs/>
                <w:iCs/>
                <w:color w:val="000000"/>
                <w:sz w:val="24"/>
              </w:rPr>
              <w:t>-1</w:t>
            </w:r>
            <w:r>
              <w:rPr>
                <w:rFonts w:hint="eastAsia"/>
                <w:bCs/>
                <w:iCs/>
                <w:color w:val="000000"/>
                <w:sz w:val="24"/>
                <w:lang w:val="en-US" w:eastAsia="zh-CN"/>
              </w:rPr>
              <w:t>4</w:t>
            </w:r>
          </w:p>
        </w:tc>
      </w:tr>
    </w:tbl>
    <w:p w14:paraId="684F9314"/>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C28EC">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34579"/>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15A34"/>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5A78"/>
    <w:rsid w:val="0043777D"/>
    <w:rsid w:val="00456CF4"/>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9700D"/>
    <w:rsid w:val="008A0ADC"/>
    <w:rsid w:val="008A1BAB"/>
    <w:rsid w:val="008B38B7"/>
    <w:rsid w:val="008B458E"/>
    <w:rsid w:val="008B4A4D"/>
    <w:rsid w:val="008C4D4A"/>
    <w:rsid w:val="008E11AE"/>
    <w:rsid w:val="008E1708"/>
    <w:rsid w:val="008E4844"/>
    <w:rsid w:val="008F46E8"/>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B6F52"/>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3059"/>
    <w:rsid w:val="00B14CAA"/>
    <w:rsid w:val="00B257CE"/>
    <w:rsid w:val="00B4746C"/>
    <w:rsid w:val="00B65354"/>
    <w:rsid w:val="00B71A0E"/>
    <w:rsid w:val="00B81765"/>
    <w:rsid w:val="00B832F5"/>
    <w:rsid w:val="00BA2FAB"/>
    <w:rsid w:val="00BB5E28"/>
    <w:rsid w:val="00BD15F3"/>
    <w:rsid w:val="00BD7986"/>
    <w:rsid w:val="00BD79D3"/>
    <w:rsid w:val="00C04F82"/>
    <w:rsid w:val="00C12411"/>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AB71581"/>
    <w:rsid w:val="1B2418A5"/>
    <w:rsid w:val="1FBFC074"/>
    <w:rsid w:val="36FB9E1F"/>
    <w:rsid w:val="3BFA3B96"/>
    <w:rsid w:val="3CEF3472"/>
    <w:rsid w:val="3EFF16E9"/>
    <w:rsid w:val="531F66DA"/>
    <w:rsid w:val="551A048D"/>
    <w:rsid w:val="580C1D0B"/>
    <w:rsid w:val="74E22EC6"/>
    <w:rsid w:val="77CF73AC"/>
    <w:rsid w:val="78FF01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jc w:val="left"/>
    </w:pPr>
    <w:rPr>
      <w:sz w:val="18"/>
      <w:szCs w:val="18"/>
    </w:rPr>
  </w:style>
  <w:style w:type="paragraph" w:styleId="3">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FollowedHyperlink"/>
    <w:basedOn w:val="7"/>
    <w:qFormat/>
    <w:uiPriority w:val="0"/>
    <w:rPr>
      <w:color w:val="800080"/>
      <w:u w:val="single"/>
    </w:rPr>
  </w:style>
  <w:style w:type="character" w:styleId="9">
    <w:name w:val="Hyperlink"/>
    <w:basedOn w:val="7"/>
    <w:qFormat/>
    <w:uiPriority w:val="0"/>
    <w:rPr>
      <w:color w:val="0000FF" w:themeColor="hyperlink"/>
      <w:u w:val="single"/>
      <w14:textFill>
        <w14:solidFill>
          <w14:schemeClr w14:val="hlink"/>
        </w14:solidFill>
      </w14:textFill>
    </w:rPr>
  </w:style>
  <w:style w:type="paragraph" w:customStyle="1" w:styleId="10">
    <w:name w:val="_Style 6"/>
    <w:basedOn w:val="1"/>
    <w:qFormat/>
    <w:uiPriority w:val="34"/>
    <w:pPr>
      <w:ind w:firstLine="420" w:firstLineChars="200"/>
    </w:pPr>
    <w:rPr>
      <w:rFonts w:ascii="Calibri" w:hAnsi="Calibri"/>
      <w:szCs w:val="22"/>
    </w:rPr>
  </w:style>
  <w:style w:type="paragraph" w:customStyle="1" w:styleId="11">
    <w:name w:val="Char Char Char"/>
    <w:basedOn w:val="1"/>
    <w:qFormat/>
    <w:uiPriority w:val="0"/>
    <w:rPr>
      <w:szCs w:val="21"/>
    </w:rPr>
  </w:style>
  <w:style w:type="paragraph" w:customStyle="1" w:styleId="12">
    <w:name w:val="Char Char Char Char Char Char Char Char Char Char Char Char Char Char Char Char"/>
    <w:basedOn w:val="1"/>
    <w:qFormat/>
    <w:uiPriority w:val="0"/>
  </w:style>
  <w:style w:type="paragraph" w:customStyle="1" w:styleId="13">
    <w:name w:val="Char Char Char1"/>
    <w:basedOn w:val="1"/>
    <w:qFormat/>
    <w:uiPriority w:val="0"/>
  </w:style>
  <w:style w:type="character" w:customStyle="1" w:styleId="14">
    <w:name w:val="页脚 字符"/>
    <w:basedOn w:val="7"/>
    <w:link w:val="2"/>
    <w:qFormat/>
    <w:uiPriority w:val="0"/>
    <w:rPr>
      <w:kern w:val="2"/>
      <w:sz w:val="18"/>
      <w:szCs w:val="18"/>
    </w:rPr>
  </w:style>
  <w:style w:type="character" w:customStyle="1" w:styleId="15">
    <w:name w:val="页眉 字符"/>
    <w:basedOn w:val="7"/>
    <w:link w:val="3"/>
    <w:qFormat/>
    <w:uiPriority w:val="0"/>
    <w:rPr>
      <w:kern w:val="2"/>
      <w:sz w:val="18"/>
      <w:szCs w:val="18"/>
    </w:rPr>
  </w:style>
  <w:style w:type="character" w:customStyle="1" w:styleId="16">
    <w:name w:val="Unresolved Mention"/>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2052</Words>
  <Characters>2184</Characters>
  <Lines>176</Lines>
  <Paragraphs>79</Paragraphs>
  <TotalTime>2</TotalTime>
  <ScaleCrop>false</ScaleCrop>
  <LinksUpToDate>false</LinksUpToDate>
  <CharactersWithSpaces>2312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任禹达</cp:lastModifiedBy>
  <cp:lastPrinted>2025-11-18T00:34:00Z</cp:lastPrinted>
  <dcterms:modified xsi:type="dcterms:W3CDTF">2025-11-18T00:49:54Z</dcterms:modified>
  <cp:revision>267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2336CF5636EF4BB092DACA7D1F3BC69C_13</vt:lpwstr>
  </property>
  <property fmtid="{D5CDD505-2E9C-101B-9397-08002B2CF9AE}" pid="4" name="KSOTemplateDocerSaveRecord">
    <vt:lpwstr>eyJoZGlkIjoiNDk1NzQzMzBiM2IyN2YxMjM0NjFkY2UzMzNiZDMzMjEiLCJ1c2VySWQiOiIxNjc1MTc1NTIyIn0=</vt:lpwstr>
  </property>
</Properties>
</file>