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ADCA" w14:textId="36EFA421" w:rsidR="00747A31" w:rsidRDefault="009F72BA">
      <w:pPr>
        <w:spacing w:beforeLines="50" w:before="156" w:afterLines="50" w:after="156" w:line="40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bCs/>
          <w:iCs/>
          <w:color w:val="000000"/>
          <w:sz w:val="24"/>
          <w:szCs w:val="24"/>
        </w:rPr>
        <w:t>688</w:t>
      </w:r>
      <w:r w:rsidR="0055008F">
        <w:rPr>
          <w:rFonts w:ascii="Times New Roman" w:eastAsia="宋体" w:hAnsi="Times New Roman" w:cs="Times New Roman"/>
          <w:bCs/>
          <w:iCs/>
          <w:color w:val="000000"/>
          <w:sz w:val="24"/>
          <w:szCs w:val="24"/>
        </w:rPr>
        <w:t>267</w:t>
      </w:r>
      <w:r>
        <w:rPr>
          <w:rFonts w:ascii="Times New Roman" w:eastAsia="宋体" w:hAnsi="Times New Roman" w:cs="Times New Roman"/>
          <w:bCs/>
          <w:iCs/>
          <w:color w:val="000000"/>
          <w:sz w:val="24"/>
          <w:szCs w:val="24"/>
        </w:rPr>
        <w:t xml:space="preserve">                                </w:t>
      </w:r>
      <w:r w:rsidR="00AD1E8F">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sidR="0055008F">
        <w:rPr>
          <w:rFonts w:ascii="Times New Roman" w:eastAsia="宋体" w:hAnsi="Times New Roman" w:cs="Times New Roman" w:hint="eastAsia"/>
          <w:bCs/>
          <w:iCs/>
          <w:color w:val="000000"/>
          <w:sz w:val="24"/>
          <w:szCs w:val="24"/>
        </w:rPr>
        <w:t>中触媒</w:t>
      </w:r>
    </w:p>
    <w:p w14:paraId="6D62D800" w14:textId="3374D6E1" w:rsidR="00747A31" w:rsidRDefault="0055008F">
      <w:pPr>
        <w:spacing w:beforeLines="50" w:before="156" w:afterLines="50" w:after="156" w:line="400" w:lineRule="exact"/>
        <w:jc w:val="center"/>
        <w:rPr>
          <w:rFonts w:ascii="黑体" w:eastAsia="黑体" w:hAnsi="黑体" w:cs="Times New Roman" w:hint="eastAsia"/>
          <w:b/>
          <w:bCs/>
          <w:iCs/>
          <w:color w:val="000000"/>
          <w:sz w:val="32"/>
          <w:szCs w:val="32"/>
        </w:rPr>
      </w:pPr>
      <w:bookmarkStart w:id="0" w:name="_Hlk44675598"/>
      <w:r>
        <w:rPr>
          <w:rFonts w:ascii="黑体" w:eastAsia="黑体" w:hAnsi="黑体" w:cs="Times New Roman" w:hint="eastAsia"/>
          <w:b/>
          <w:bCs/>
          <w:iCs/>
          <w:color w:val="000000"/>
          <w:sz w:val="32"/>
          <w:szCs w:val="32"/>
        </w:rPr>
        <w:t>中触媒新材料股份</w:t>
      </w:r>
      <w:r w:rsidR="009F72BA">
        <w:rPr>
          <w:rFonts w:ascii="黑体" w:eastAsia="黑体" w:hAnsi="黑体" w:cs="Times New Roman" w:hint="eastAsia"/>
          <w:b/>
          <w:bCs/>
          <w:iCs/>
          <w:color w:val="000000"/>
          <w:sz w:val="32"/>
          <w:szCs w:val="32"/>
        </w:rPr>
        <w:t>有限公司</w:t>
      </w:r>
    </w:p>
    <w:p w14:paraId="04056BFE" w14:textId="77777777" w:rsidR="00747A31" w:rsidRDefault="009F72BA">
      <w:pPr>
        <w:spacing w:beforeLines="50" w:before="156" w:afterLines="50" w:after="156" w:line="400" w:lineRule="exact"/>
        <w:jc w:val="center"/>
        <w:rPr>
          <w:rFonts w:ascii="黑体" w:eastAsia="黑体" w:hAnsi="黑体" w:cs="Times New Roman" w:hint="eastAsia"/>
          <w:b/>
          <w:bCs/>
          <w:iCs/>
          <w:color w:val="000000"/>
          <w:sz w:val="32"/>
          <w:szCs w:val="32"/>
        </w:rPr>
      </w:pPr>
      <w:r>
        <w:rPr>
          <w:rFonts w:ascii="黑体" w:eastAsia="黑体" w:hAnsi="黑体" w:cs="Times New Roman" w:hint="eastAsia"/>
          <w:b/>
          <w:bCs/>
          <w:iCs/>
          <w:color w:val="000000"/>
          <w:sz w:val="32"/>
          <w:szCs w:val="32"/>
        </w:rPr>
        <w:t>投资者关系活动记录表</w:t>
      </w:r>
    </w:p>
    <w:bookmarkEnd w:id="0"/>
    <w:p w14:paraId="5F0CA9A4" w14:textId="021123EA" w:rsidR="00747A31" w:rsidRDefault="009F72BA">
      <w:pPr>
        <w:spacing w:line="400" w:lineRule="exact"/>
        <w:jc w:val="righ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编号：</w:t>
      </w:r>
      <w:r>
        <w:rPr>
          <w:rFonts w:ascii="Times New Roman" w:eastAsia="宋体" w:hAnsi="Times New Roman" w:cs="Times New Roman"/>
          <w:bCs/>
          <w:iCs/>
          <w:color w:val="000000"/>
          <w:sz w:val="24"/>
          <w:szCs w:val="24"/>
        </w:rPr>
        <w:t>202</w:t>
      </w:r>
      <w:r w:rsidR="002C3222">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-00</w:t>
      </w:r>
      <w:r w:rsidR="00BE2BB9">
        <w:rPr>
          <w:rFonts w:ascii="Times New Roman" w:eastAsia="宋体" w:hAnsi="Times New Roman" w:cs="Times New Roman" w:hint="eastAsia"/>
          <w:bCs/>
          <w:iCs/>
          <w:color w:val="000000"/>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6461"/>
      </w:tblGrid>
      <w:tr w:rsidR="00747A31" w14:paraId="7471B493" w14:textId="77777777" w:rsidTr="00F300E9">
        <w:trPr>
          <w:trHeight w:val="2445"/>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3D4E587" w14:textId="77777777" w:rsidR="00747A31" w:rsidRPr="00621D5A" w:rsidRDefault="009F72BA">
            <w:pPr>
              <w:adjustRightInd w:val="0"/>
              <w:snapToGrid w:val="0"/>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投资者关系活动类别</w:t>
            </w:r>
          </w:p>
          <w:p w14:paraId="19762391" w14:textId="77777777" w:rsidR="00747A31" w:rsidRPr="00621D5A" w:rsidRDefault="00747A31">
            <w:pPr>
              <w:spacing w:line="480" w:lineRule="atLeast"/>
              <w:rPr>
                <w:rFonts w:asciiTheme="minorEastAsia" w:hAnsiTheme="minorEastAsia" w:cs="Times New Roman" w:hint="eastAsia"/>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643F3C01" w14:textId="10F5174B"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特定对象调研        </w:t>
            </w:r>
            <w:r w:rsidR="000E24E7"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分析师会议</w:t>
            </w:r>
          </w:p>
          <w:p w14:paraId="68EDD365" w14:textId="52ACEF29"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媒体采访            </w:t>
            </w:r>
            <w:r w:rsidR="0055008F" w:rsidRPr="00621D5A">
              <w:rPr>
                <w:rFonts w:ascii="Segoe UI Symbol" w:hAnsi="Segoe UI Symbol" w:cs="Segoe UI Symbol"/>
                <w:b/>
                <w:iCs/>
                <w:color w:val="000000"/>
                <w:sz w:val="24"/>
                <w:szCs w:val="24"/>
              </w:rPr>
              <w:t>☑</w:t>
            </w:r>
            <w:r w:rsidRPr="00621D5A">
              <w:rPr>
                <w:rFonts w:asciiTheme="minorEastAsia" w:hAnsiTheme="minorEastAsia" w:cs="Times New Roman" w:hint="eastAsia"/>
                <w:sz w:val="24"/>
                <w:szCs w:val="24"/>
              </w:rPr>
              <w:t>业绩说明会</w:t>
            </w:r>
          </w:p>
          <w:p w14:paraId="06D3AC27" w14:textId="77777777"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新闻发布会          </w:t>
            </w: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路演活动</w:t>
            </w:r>
          </w:p>
          <w:p w14:paraId="183A9EB3" w14:textId="77777777" w:rsidR="004240A3" w:rsidRDefault="009F72BA" w:rsidP="00297748">
            <w:pPr>
              <w:tabs>
                <w:tab w:val="left" w:pos="3045"/>
                <w:tab w:val="center" w:pos="3199"/>
              </w:tabs>
              <w:spacing w:line="360" w:lineRule="auto"/>
              <w:rPr>
                <w:rFonts w:asciiTheme="minorEastAsia" w:hAnsiTheme="minorEastAsia" w:cs="Times New Roman" w:hint="eastAsia"/>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现场参观</w:t>
            </w:r>
          </w:p>
          <w:p w14:paraId="25D4EC15" w14:textId="351277A3" w:rsidR="00747A31" w:rsidRPr="00621D5A" w:rsidRDefault="004240A3" w:rsidP="00297748">
            <w:pPr>
              <w:tabs>
                <w:tab w:val="left" w:pos="3045"/>
                <w:tab w:val="center" w:pos="3199"/>
              </w:tabs>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Pr>
                <w:rFonts w:asciiTheme="minorEastAsia" w:hAnsiTheme="minorEastAsia" w:cs="Times New Roman" w:hint="eastAsia"/>
                <w:bCs/>
                <w:iCs/>
                <w:color w:val="000000"/>
                <w:sz w:val="24"/>
                <w:szCs w:val="24"/>
              </w:rPr>
              <w:t>其他</w:t>
            </w:r>
            <w:r w:rsidR="009F72BA" w:rsidRPr="00621D5A">
              <w:rPr>
                <w:rFonts w:asciiTheme="minorEastAsia" w:hAnsiTheme="minorEastAsia" w:cs="Times New Roman" w:hint="eastAsia"/>
                <w:bCs/>
                <w:iCs/>
                <w:color w:val="000000"/>
                <w:sz w:val="24"/>
                <w:szCs w:val="24"/>
              </w:rPr>
              <w:tab/>
            </w:r>
          </w:p>
        </w:tc>
      </w:tr>
      <w:tr w:rsidR="00747A31" w14:paraId="6E3389C9" w14:textId="77777777" w:rsidTr="00F300E9">
        <w:trPr>
          <w:trHeight w:val="83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77777777" w:rsidR="00747A31" w:rsidRDefault="009F72BA">
            <w:pPr>
              <w:adjustRightInd w:val="0"/>
              <w:snapToGrid w:val="0"/>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1E978D43" w:rsidR="000E24E7" w:rsidRPr="000E24E7" w:rsidRDefault="000E24E7" w:rsidP="00621D5A">
            <w:pPr>
              <w:widowControl/>
              <w:spacing w:line="360" w:lineRule="auto"/>
              <w:rPr>
                <w:kern w:val="0"/>
                <w:sz w:val="24"/>
                <w:szCs w:val="24"/>
              </w:rPr>
            </w:pPr>
            <w:r>
              <w:rPr>
                <w:rStyle w:val="fontstyle01"/>
                <w:rFonts w:hint="default"/>
              </w:rPr>
              <w:t>参与了</w:t>
            </w:r>
            <w:r w:rsidR="00F82719">
              <w:rPr>
                <w:rStyle w:val="fontstyle01"/>
                <w:rFonts w:hint="default"/>
              </w:rPr>
              <w:t>本次</w:t>
            </w:r>
            <w:r>
              <w:rPr>
                <w:rStyle w:val="fontstyle01"/>
                <w:rFonts w:hint="default"/>
              </w:rPr>
              <w:t>业绩说明会的线上投资者</w:t>
            </w:r>
          </w:p>
        </w:tc>
      </w:tr>
      <w:tr w:rsidR="00747A31" w14:paraId="6BA68A3A" w14:textId="77777777" w:rsidTr="006977EA">
        <w:trPr>
          <w:trHeight w:val="559"/>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时 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bottom"/>
          </w:tcPr>
          <w:p w14:paraId="29C452BB" w14:textId="09A409E7" w:rsidR="00747A31" w:rsidRPr="00621D5A" w:rsidRDefault="000E24E7" w:rsidP="006977EA">
            <w:pPr>
              <w:adjustRightInd w:val="0"/>
              <w:snapToGrid w:val="0"/>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bCs/>
                <w:iCs/>
                <w:color w:val="000000"/>
                <w:sz w:val="24"/>
                <w:szCs w:val="24"/>
              </w:rPr>
              <w:t>202</w:t>
            </w:r>
            <w:r w:rsidR="002C3222">
              <w:rPr>
                <w:rFonts w:asciiTheme="minorEastAsia" w:hAnsiTheme="minorEastAsia" w:cs="Times New Roman" w:hint="eastAsia"/>
                <w:bCs/>
                <w:iCs/>
                <w:color w:val="000000"/>
                <w:sz w:val="24"/>
                <w:szCs w:val="24"/>
              </w:rPr>
              <w:t>5</w:t>
            </w:r>
            <w:r w:rsidRPr="00621D5A">
              <w:rPr>
                <w:rFonts w:asciiTheme="minorEastAsia" w:hAnsiTheme="minorEastAsia" w:cs="Times New Roman"/>
                <w:bCs/>
                <w:iCs/>
                <w:color w:val="000000"/>
                <w:sz w:val="24"/>
                <w:szCs w:val="24"/>
              </w:rPr>
              <w:t>年</w:t>
            </w:r>
            <w:r w:rsidR="00BE2BB9">
              <w:rPr>
                <w:rFonts w:asciiTheme="minorEastAsia" w:hAnsiTheme="minorEastAsia" w:cs="Times New Roman" w:hint="eastAsia"/>
                <w:bCs/>
                <w:iCs/>
                <w:color w:val="000000"/>
                <w:sz w:val="24"/>
                <w:szCs w:val="24"/>
              </w:rPr>
              <w:t>11</w:t>
            </w:r>
            <w:r w:rsidRPr="00621D5A">
              <w:rPr>
                <w:rFonts w:asciiTheme="minorEastAsia" w:hAnsiTheme="minorEastAsia" w:cs="Times New Roman"/>
                <w:bCs/>
                <w:iCs/>
                <w:color w:val="000000"/>
                <w:sz w:val="24"/>
                <w:szCs w:val="24"/>
              </w:rPr>
              <w:t>月</w:t>
            </w:r>
            <w:r w:rsidR="00BE2BB9">
              <w:rPr>
                <w:rFonts w:asciiTheme="minorEastAsia" w:hAnsiTheme="minorEastAsia" w:cs="Times New Roman" w:hint="eastAsia"/>
                <w:bCs/>
                <w:iCs/>
                <w:color w:val="000000"/>
                <w:sz w:val="24"/>
                <w:szCs w:val="24"/>
              </w:rPr>
              <w:t>18</w:t>
            </w:r>
            <w:r w:rsidRPr="00621D5A">
              <w:rPr>
                <w:rFonts w:asciiTheme="minorEastAsia" w:hAnsiTheme="minorEastAsia" w:cs="Times New Roman"/>
                <w:bCs/>
                <w:iCs/>
                <w:color w:val="000000"/>
                <w:sz w:val="24"/>
                <w:szCs w:val="24"/>
              </w:rPr>
              <w:t>日</w:t>
            </w:r>
            <w:r w:rsidR="00027998">
              <w:rPr>
                <w:rFonts w:asciiTheme="minorEastAsia" w:hAnsiTheme="minorEastAsia" w:cs="Times New Roman" w:hint="eastAsia"/>
                <w:bCs/>
                <w:iCs/>
                <w:color w:val="000000"/>
                <w:sz w:val="24"/>
                <w:szCs w:val="24"/>
              </w:rPr>
              <w:t>1</w:t>
            </w:r>
            <w:r w:rsidR="00BE2BB9">
              <w:rPr>
                <w:rFonts w:asciiTheme="minorEastAsia" w:hAnsiTheme="minorEastAsia" w:cs="Times New Roman" w:hint="eastAsia"/>
                <w:bCs/>
                <w:iCs/>
                <w:color w:val="000000"/>
                <w:sz w:val="24"/>
                <w:szCs w:val="24"/>
              </w:rPr>
              <w:t>1</w:t>
            </w:r>
            <w:r w:rsidR="009B7403" w:rsidRPr="00621D5A">
              <w:rPr>
                <w:rFonts w:asciiTheme="minorEastAsia" w:hAnsiTheme="minorEastAsia" w:cs="Times New Roman"/>
                <w:sz w:val="24"/>
                <w:szCs w:val="24"/>
              </w:rPr>
              <w:t>:00-1</w:t>
            </w:r>
            <w:r w:rsidR="00BE2BB9">
              <w:rPr>
                <w:rFonts w:asciiTheme="minorEastAsia" w:hAnsiTheme="minorEastAsia" w:cs="Times New Roman" w:hint="eastAsia"/>
                <w:sz w:val="24"/>
                <w:szCs w:val="24"/>
              </w:rPr>
              <w:t>2</w:t>
            </w:r>
            <w:r w:rsidR="009B7403" w:rsidRPr="00621D5A">
              <w:rPr>
                <w:rFonts w:asciiTheme="minorEastAsia" w:hAnsiTheme="minorEastAsia" w:cs="Times New Roman"/>
                <w:sz w:val="24"/>
                <w:szCs w:val="24"/>
              </w:rPr>
              <w:t>:00</w:t>
            </w:r>
          </w:p>
        </w:tc>
      </w:tr>
      <w:tr w:rsidR="00747A31" w14:paraId="6EC6370C" w14:textId="77777777">
        <w:trPr>
          <w:trHeight w:val="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地 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130E12E6" w:rsidR="00747A31" w:rsidRPr="00621D5A" w:rsidRDefault="000E24E7" w:rsidP="00621D5A">
            <w:pPr>
              <w:spacing w:line="360" w:lineRule="auto"/>
              <w:jc w:val="left"/>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上证路演中心（http</w:t>
            </w:r>
            <w:r w:rsidR="003148DC">
              <w:rPr>
                <w:rFonts w:asciiTheme="minorEastAsia" w:hAnsiTheme="minorEastAsia" w:cs="Times New Roman" w:hint="eastAsia"/>
                <w:bCs/>
                <w:iCs/>
                <w:color w:val="000000"/>
                <w:sz w:val="24"/>
                <w:szCs w:val="24"/>
              </w:rPr>
              <w:t>s</w:t>
            </w:r>
            <w:r w:rsidRPr="00621D5A">
              <w:rPr>
                <w:rFonts w:asciiTheme="minorEastAsia" w:hAnsiTheme="minorEastAsia" w:cs="Times New Roman" w:hint="eastAsia"/>
                <w:bCs/>
                <w:iCs/>
                <w:color w:val="000000"/>
                <w:sz w:val="24"/>
                <w:szCs w:val="24"/>
              </w:rPr>
              <w:t>://roadshow.sseinfo.com）</w:t>
            </w:r>
          </w:p>
        </w:tc>
      </w:tr>
      <w:tr w:rsidR="00747A31" w14:paraId="73AB73DC" w14:textId="77777777">
        <w:trPr>
          <w:trHeight w:val="1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D54DFDC" w14:textId="77777777" w:rsidR="002C3222" w:rsidRDefault="009F72BA"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董事长</w:t>
            </w:r>
            <w:r w:rsidR="002C3222">
              <w:rPr>
                <w:rFonts w:ascii="宋体" w:eastAsia="宋体" w:hAnsi="宋体" w:cs="Times New Roman" w:hint="eastAsia"/>
                <w:bCs/>
                <w:iCs/>
                <w:color w:val="000000"/>
                <w:sz w:val="24"/>
                <w:szCs w:val="24"/>
              </w:rPr>
              <w:t>、总经理</w:t>
            </w:r>
            <w:r w:rsidR="00EC2F9F">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李进先生</w:t>
            </w:r>
          </w:p>
          <w:p w14:paraId="2DC12590" w14:textId="75E27FFC" w:rsidR="0055008F" w:rsidRDefault="00EC2F9F" w:rsidP="00621D5A">
            <w:pPr>
              <w:adjustRightInd w:val="0"/>
              <w:snapToGrid w:val="0"/>
              <w:spacing w:line="360" w:lineRule="auto"/>
              <w:rPr>
                <w:rFonts w:ascii="宋体" w:eastAsia="宋体" w:hAnsi="宋体" w:cs="Times New Roman" w:hint="eastAsia"/>
                <w:bCs/>
                <w:iCs/>
                <w:color w:val="000000"/>
                <w:sz w:val="24"/>
                <w:szCs w:val="24"/>
              </w:rPr>
            </w:pPr>
            <w:r w:rsidRPr="00EC2F9F">
              <w:rPr>
                <w:rFonts w:ascii="宋体" w:eastAsia="宋体" w:hAnsi="宋体" w:cs="Times New Roman" w:hint="eastAsia"/>
                <w:bCs/>
                <w:iCs/>
                <w:color w:val="000000"/>
                <w:sz w:val="24"/>
                <w:szCs w:val="24"/>
              </w:rPr>
              <w:t>董事、</w:t>
            </w:r>
            <w:r w:rsidR="00657069">
              <w:rPr>
                <w:rFonts w:ascii="宋体" w:eastAsia="宋体" w:hAnsi="宋体" w:cs="Times New Roman" w:hint="eastAsia"/>
                <w:bCs/>
                <w:iCs/>
                <w:color w:val="000000"/>
                <w:sz w:val="24"/>
                <w:szCs w:val="24"/>
              </w:rPr>
              <w:t>副总经理、</w:t>
            </w:r>
            <w:r w:rsidRPr="00EC2F9F">
              <w:rPr>
                <w:rFonts w:ascii="宋体" w:eastAsia="宋体" w:hAnsi="宋体" w:cs="Times New Roman" w:hint="eastAsia"/>
                <w:bCs/>
                <w:iCs/>
                <w:color w:val="000000"/>
                <w:sz w:val="24"/>
                <w:szCs w:val="24"/>
              </w:rPr>
              <w:t>董事会秘书</w:t>
            </w:r>
            <w:r>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金钟先生</w:t>
            </w:r>
          </w:p>
          <w:p w14:paraId="0B4FD0C5" w14:textId="77777777" w:rsidR="00621D5A" w:rsidRDefault="00CE6AA2"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财务总监</w:t>
            </w:r>
            <w:r w:rsidR="00EC2F9F">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黄元玲</w:t>
            </w:r>
            <w:r w:rsidR="00657069">
              <w:rPr>
                <w:rFonts w:ascii="宋体" w:eastAsia="宋体" w:hAnsi="宋体" w:cs="Times New Roman" w:hint="eastAsia"/>
                <w:bCs/>
                <w:iCs/>
                <w:color w:val="000000"/>
                <w:sz w:val="24"/>
                <w:szCs w:val="24"/>
              </w:rPr>
              <w:t>女士</w:t>
            </w:r>
          </w:p>
          <w:p w14:paraId="143FEE73" w14:textId="6347036F" w:rsidR="008566DD" w:rsidRDefault="008566DD" w:rsidP="00621D5A">
            <w:pPr>
              <w:adjustRightInd w:val="0"/>
              <w:snapToGrid w:val="0"/>
              <w:spacing w:line="360" w:lineRule="auto"/>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独立董事：</w:t>
            </w:r>
            <w:r w:rsidR="00BE2BB9">
              <w:rPr>
                <w:rFonts w:ascii="宋体" w:eastAsia="宋体" w:hAnsi="宋体" w:cs="Times New Roman" w:hint="eastAsia"/>
                <w:bCs/>
                <w:iCs/>
                <w:color w:val="000000"/>
                <w:sz w:val="24"/>
                <w:szCs w:val="24"/>
              </w:rPr>
              <w:t>李学宽</w:t>
            </w:r>
            <w:r>
              <w:rPr>
                <w:rFonts w:ascii="宋体" w:eastAsia="宋体" w:hAnsi="宋体" w:cs="Times New Roman" w:hint="eastAsia"/>
                <w:bCs/>
                <w:iCs/>
                <w:color w:val="000000"/>
                <w:sz w:val="24"/>
                <w:szCs w:val="24"/>
              </w:rPr>
              <w:t>先生</w:t>
            </w:r>
          </w:p>
        </w:tc>
      </w:tr>
      <w:tr w:rsidR="00747A31" w14:paraId="48E8618D" w14:textId="77777777">
        <w:trPr>
          <w:trHeight w:val="558"/>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4F726F" w14:textId="0C4E0AF5" w:rsidR="009B7403" w:rsidRDefault="009B7403" w:rsidP="00723250">
            <w:pPr>
              <w:adjustRightInd w:val="0"/>
              <w:snapToGrid w:val="0"/>
              <w:spacing w:line="360" w:lineRule="auto"/>
              <w:ind w:firstLineChars="200" w:firstLine="480"/>
              <w:rPr>
                <w:rFonts w:ascii="宋体" w:eastAsia="宋体" w:hAnsi="宋体" w:cs="Times New Roman" w:hint="eastAsia"/>
                <w:bCs/>
                <w:iCs/>
                <w:color w:val="000000"/>
                <w:sz w:val="24"/>
                <w:szCs w:val="24"/>
              </w:rPr>
            </w:pPr>
            <w:r w:rsidRPr="00723250">
              <w:rPr>
                <w:rFonts w:ascii="宋体" w:eastAsia="宋体" w:hAnsi="宋体" w:cs="Times New Roman"/>
                <w:bCs/>
                <w:iCs/>
                <w:color w:val="000000"/>
                <w:sz w:val="24"/>
                <w:szCs w:val="24"/>
              </w:rPr>
              <w:t>在上海证券交易所、上证路演中心的支持下，公司于202</w:t>
            </w:r>
            <w:r w:rsidR="002C3222">
              <w:rPr>
                <w:rFonts w:ascii="宋体" w:eastAsia="宋体" w:hAnsi="宋体" w:cs="Times New Roman" w:hint="eastAsia"/>
                <w:bCs/>
                <w:iCs/>
                <w:color w:val="000000"/>
                <w:sz w:val="24"/>
                <w:szCs w:val="24"/>
              </w:rPr>
              <w:t>5</w:t>
            </w:r>
            <w:r w:rsidRPr="00723250">
              <w:rPr>
                <w:rFonts w:ascii="宋体" w:eastAsia="宋体" w:hAnsi="宋体" w:cs="Times New Roman"/>
                <w:bCs/>
                <w:iCs/>
                <w:color w:val="000000"/>
                <w:sz w:val="24"/>
                <w:szCs w:val="24"/>
              </w:rPr>
              <w:t>年</w:t>
            </w:r>
            <w:r w:rsidR="00776B12">
              <w:rPr>
                <w:rFonts w:ascii="宋体" w:eastAsia="宋体" w:hAnsi="宋体" w:cs="Times New Roman" w:hint="eastAsia"/>
                <w:bCs/>
                <w:iCs/>
                <w:color w:val="000000"/>
                <w:sz w:val="24"/>
                <w:szCs w:val="24"/>
              </w:rPr>
              <w:t>11</w:t>
            </w:r>
            <w:r w:rsidR="00943E4E">
              <w:rPr>
                <w:rFonts w:ascii="宋体" w:eastAsia="宋体" w:hAnsi="宋体" w:cs="Times New Roman" w:hint="eastAsia"/>
                <w:bCs/>
                <w:iCs/>
                <w:color w:val="000000"/>
                <w:sz w:val="24"/>
                <w:szCs w:val="24"/>
              </w:rPr>
              <w:t>月</w:t>
            </w:r>
            <w:r w:rsidR="00776B12">
              <w:rPr>
                <w:rFonts w:ascii="宋体" w:eastAsia="宋体" w:hAnsi="宋体" w:cs="Times New Roman" w:hint="eastAsia"/>
                <w:bCs/>
                <w:iCs/>
                <w:color w:val="000000"/>
                <w:sz w:val="24"/>
                <w:szCs w:val="24"/>
              </w:rPr>
              <w:t>18</w:t>
            </w:r>
            <w:r w:rsidRPr="00723250">
              <w:rPr>
                <w:rFonts w:ascii="宋体" w:eastAsia="宋体" w:hAnsi="宋体" w:cs="Times New Roman"/>
                <w:bCs/>
                <w:iCs/>
                <w:color w:val="000000"/>
                <w:sz w:val="24"/>
                <w:szCs w:val="24"/>
              </w:rPr>
              <w:t>日</w:t>
            </w:r>
            <w:r w:rsidR="0055008F" w:rsidRPr="00723250">
              <w:rPr>
                <w:rFonts w:ascii="宋体" w:eastAsia="宋体" w:hAnsi="宋体" w:cs="Times New Roman" w:hint="eastAsia"/>
                <w:bCs/>
                <w:iCs/>
                <w:color w:val="000000"/>
                <w:sz w:val="24"/>
                <w:szCs w:val="24"/>
              </w:rPr>
              <w:t>上</w:t>
            </w:r>
            <w:r w:rsidRPr="00723250">
              <w:rPr>
                <w:rFonts w:ascii="宋体" w:eastAsia="宋体" w:hAnsi="宋体" w:cs="Times New Roman"/>
                <w:bCs/>
                <w:iCs/>
                <w:color w:val="000000"/>
                <w:sz w:val="24"/>
                <w:szCs w:val="24"/>
              </w:rPr>
              <w:t>午</w:t>
            </w:r>
            <w:r w:rsidR="00943E4E">
              <w:rPr>
                <w:rFonts w:ascii="宋体" w:eastAsia="宋体" w:hAnsi="宋体" w:cs="Times New Roman" w:hint="eastAsia"/>
                <w:bCs/>
                <w:iCs/>
                <w:color w:val="000000"/>
                <w:sz w:val="24"/>
                <w:szCs w:val="24"/>
              </w:rPr>
              <w:t>1</w:t>
            </w:r>
            <w:r w:rsidR="00776B12">
              <w:rPr>
                <w:rFonts w:ascii="宋体" w:eastAsia="宋体" w:hAnsi="宋体" w:cs="Times New Roman" w:hint="eastAsia"/>
                <w:bCs/>
                <w:iCs/>
                <w:color w:val="000000"/>
                <w:sz w:val="24"/>
                <w:szCs w:val="24"/>
              </w:rPr>
              <w:t>1</w:t>
            </w:r>
            <w:r w:rsidRPr="00723250">
              <w:rPr>
                <w:rFonts w:ascii="宋体" w:eastAsia="宋体" w:hAnsi="宋体" w:cs="Times New Roman"/>
                <w:bCs/>
                <w:iCs/>
                <w:color w:val="000000"/>
                <w:sz w:val="24"/>
                <w:szCs w:val="24"/>
              </w:rPr>
              <w:t>:00-1</w:t>
            </w:r>
            <w:r w:rsidR="00776B12">
              <w:rPr>
                <w:rFonts w:ascii="宋体" w:eastAsia="宋体" w:hAnsi="宋体" w:cs="Times New Roman" w:hint="eastAsia"/>
                <w:bCs/>
                <w:iCs/>
                <w:color w:val="000000"/>
                <w:sz w:val="24"/>
                <w:szCs w:val="24"/>
              </w:rPr>
              <w:t>2</w:t>
            </w:r>
            <w:r w:rsidRPr="00723250">
              <w:rPr>
                <w:rFonts w:ascii="宋体" w:eastAsia="宋体" w:hAnsi="宋体" w:cs="Times New Roman"/>
                <w:bCs/>
                <w:iCs/>
                <w:color w:val="000000"/>
                <w:sz w:val="24"/>
                <w:szCs w:val="24"/>
              </w:rPr>
              <w:t>:00通过网络</w:t>
            </w:r>
            <w:r w:rsidR="005A31D1">
              <w:rPr>
                <w:rFonts w:ascii="宋体" w:eastAsia="宋体" w:hAnsi="宋体" w:cs="Times New Roman" w:hint="eastAsia"/>
                <w:bCs/>
                <w:iCs/>
                <w:color w:val="000000"/>
                <w:sz w:val="24"/>
                <w:szCs w:val="24"/>
              </w:rPr>
              <w:t>文字</w:t>
            </w:r>
            <w:r w:rsidRPr="00723250">
              <w:rPr>
                <w:rFonts w:ascii="宋体" w:eastAsia="宋体" w:hAnsi="宋体" w:cs="Times New Roman"/>
                <w:bCs/>
                <w:iCs/>
                <w:color w:val="000000"/>
                <w:sz w:val="24"/>
                <w:szCs w:val="24"/>
              </w:rPr>
              <w:t>互动方式，召开了</w:t>
            </w:r>
            <w:r w:rsidR="008566DD">
              <w:rPr>
                <w:rFonts w:ascii="宋体" w:eastAsia="宋体" w:hAnsi="宋体" w:cs="Times New Roman" w:hint="eastAsia"/>
                <w:bCs/>
                <w:iCs/>
                <w:color w:val="000000"/>
                <w:sz w:val="24"/>
                <w:szCs w:val="24"/>
              </w:rPr>
              <w:t>2</w:t>
            </w:r>
            <w:r w:rsidR="008566DD">
              <w:rPr>
                <w:rFonts w:ascii="宋体" w:eastAsia="宋体" w:hAnsi="宋体" w:cs="Times New Roman"/>
                <w:bCs/>
                <w:iCs/>
                <w:color w:val="000000"/>
                <w:sz w:val="24"/>
                <w:szCs w:val="24"/>
              </w:rPr>
              <w:t>02</w:t>
            </w:r>
            <w:r w:rsidR="002C3222">
              <w:rPr>
                <w:rFonts w:ascii="宋体" w:eastAsia="宋体" w:hAnsi="宋体" w:cs="Times New Roman" w:hint="eastAsia"/>
                <w:bCs/>
                <w:iCs/>
                <w:color w:val="000000"/>
                <w:sz w:val="24"/>
                <w:szCs w:val="24"/>
              </w:rPr>
              <w:t>5</w:t>
            </w:r>
            <w:r w:rsidR="008566DD">
              <w:rPr>
                <w:rFonts w:ascii="宋体" w:eastAsia="宋体" w:hAnsi="宋体" w:cs="Times New Roman" w:hint="eastAsia"/>
                <w:bCs/>
                <w:iCs/>
                <w:color w:val="000000"/>
                <w:sz w:val="24"/>
                <w:szCs w:val="24"/>
              </w:rPr>
              <w:t>年</w:t>
            </w:r>
            <w:r w:rsidR="003F6911">
              <w:rPr>
                <w:rFonts w:ascii="宋体" w:eastAsia="宋体" w:hAnsi="宋体" w:cs="Times New Roman" w:hint="eastAsia"/>
                <w:bCs/>
                <w:iCs/>
                <w:color w:val="000000"/>
                <w:sz w:val="24"/>
                <w:szCs w:val="24"/>
              </w:rPr>
              <w:t>第三季度</w:t>
            </w:r>
            <w:r w:rsidR="00723250" w:rsidRPr="00723250">
              <w:rPr>
                <w:rFonts w:ascii="宋体" w:eastAsia="宋体" w:hAnsi="宋体" w:cs="Times New Roman" w:hint="eastAsia"/>
                <w:bCs/>
                <w:iCs/>
                <w:color w:val="000000"/>
                <w:sz w:val="24"/>
                <w:szCs w:val="24"/>
              </w:rPr>
              <w:t>业绩说明会</w:t>
            </w:r>
            <w:r w:rsidRPr="00723250">
              <w:rPr>
                <w:rFonts w:ascii="宋体" w:eastAsia="宋体" w:hAnsi="宋体" w:cs="Times New Roman"/>
                <w:bCs/>
                <w:iCs/>
                <w:color w:val="000000"/>
                <w:sz w:val="24"/>
                <w:szCs w:val="24"/>
              </w:rPr>
              <w:t>，就投资者关心的问题进行交流，具体交流情况如下：</w:t>
            </w:r>
          </w:p>
          <w:p w14:paraId="361804CB" w14:textId="77777777" w:rsidR="005A31D1" w:rsidRPr="00723250" w:rsidRDefault="005A31D1" w:rsidP="00723250">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23D9194D" w14:textId="37754418" w:rsidR="00983D7B"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1</w:t>
            </w:r>
            <w:r w:rsidRPr="005A31D1">
              <w:rPr>
                <w:rFonts w:ascii="宋体" w:eastAsia="宋体" w:hAnsi="宋体" w:cs="Times New Roman"/>
                <w:b/>
                <w:iCs/>
                <w:color w:val="000000"/>
                <w:sz w:val="24"/>
                <w:szCs w:val="24"/>
              </w:rPr>
              <w:t>.</w:t>
            </w:r>
            <w:r w:rsidR="00075F87">
              <w:rPr>
                <w:rFonts w:hint="eastAsia"/>
              </w:rPr>
              <w:t xml:space="preserve"> </w:t>
            </w:r>
            <w:r w:rsidR="003148DC" w:rsidRPr="003148DC">
              <w:rPr>
                <w:rFonts w:ascii="宋体" w:eastAsia="宋体" w:hAnsi="宋体" w:cs="Times New Roman" w:hint="eastAsia"/>
                <w:b/>
                <w:iCs/>
                <w:color w:val="000000"/>
                <w:sz w:val="24"/>
                <w:szCs w:val="24"/>
              </w:rPr>
              <w:t>今年公司上市后首次进行三季度分红，未来会保持吗</w:t>
            </w:r>
            <w:r w:rsidR="00075F87" w:rsidRPr="00075F87">
              <w:rPr>
                <w:rFonts w:ascii="宋体" w:eastAsia="宋体" w:hAnsi="宋体" w:cs="Times New Roman" w:hint="eastAsia"/>
                <w:b/>
                <w:iCs/>
                <w:color w:val="000000"/>
                <w:sz w:val="24"/>
                <w:szCs w:val="24"/>
              </w:rPr>
              <w:t>？</w:t>
            </w:r>
          </w:p>
          <w:p w14:paraId="7B80BD06" w14:textId="4E31C82D" w:rsidR="00983D7B" w:rsidRPr="00983D7B" w:rsidRDefault="005A31D1" w:rsidP="00075F87">
            <w:pPr>
              <w:adjustRightInd w:val="0"/>
              <w:snapToGrid w:val="0"/>
              <w:spacing w:line="360" w:lineRule="auto"/>
              <w:ind w:firstLineChars="200" w:firstLine="480"/>
              <w:contextualSpacing/>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3148DC" w:rsidRPr="003148DC">
              <w:rPr>
                <w:rFonts w:ascii="宋体" w:eastAsia="宋体" w:hAnsi="宋体" w:cs="Times New Roman" w:hint="eastAsia"/>
                <w:bCs/>
                <w:iCs/>
                <w:color w:val="000000"/>
                <w:sz w:val="24"/>
                <w:szCs w:val="24"/>
              </w:rPr>
              <w:t>尊敬的投资者您好，公司高度重视股东回报，持续完善投资者回报机制，让股东切实感受公司的发展成果，增强投资者对公司的长期信心。上市至今公司每年均实施了现金分红，今年计划实行两次现金分红。未来，公司将持续</w:t>
            </w:r>
            <w:r w:rsidR="003148DC" w:rsidRPr="003148DC">
              <w:rPr>
                <w:rFonts w:ascii="宋体" w:eastAsia="宋体" w:hAnsi="宋体" w:cs="Times New Roman" w:hint="eastAsia"/>
                <w:bCs/>
                <w:iCs/>
                <w:color w:val="000000"/>
                <w:sz w:val="24"/>
                <w:szCs w:val="24"/>
              </w:rPr>
              <w:lastRenderedPageBreak/>
              <w:t>严格落实利润分配政策，结合实际经营和资金需求情况，为投资者提供科学、持续、稳定的回报。感谢您对公司的关注！</w:t>
            </w:r>
          </w:p>
          <w:p w14:paraId="21E3F1C6" w14:textId="77777777" w:rsidR="00086894" w:rsidRPr="00086894" w:rsidRDefault="00086894" w:rsidP="00C77E4F">
            <w:pPr>
              <w:adjustRightInd w:val="0"/>
              <w:snapToGrid w:val="0"/>
              <w:spacing w:beforeLines="50" w:before="156" w:afterLines="50" w:after="156" w:line="360" w:lineRule="auto"/>
              <w:ind w:firstLineChars="200" w:firstLine="480"/>
              <w:contextualSpacing/>
              <w:rPr>
                <w:rFonts w:ascii="宋体" w:eastAsia="宋体" w:hAnsi="宋体" w:cs="Times New Roman" w:hint="eastAsia"/>
                <w:bCs/>
                <w:iCs/>
                <w:color w:val="000000"/>
                <w:sz w:val="24"/>
                <w:szCs w:val="24"/>
              </w:rPr>
            </w:pPr>
          </w:p>
          <w:p w14:paraId="2407D9AB" w14:textId="7940C90F" w:rsidR="00723250" w:rsidRPr="005A31D1" w:rsidRDefault="00983D7B" w:rsidP="00C77E4F">
            <w:pPr>
              <w:adjustRightInd w:val="0"/>
              <w:snapToGrid w:val="0"/>
              <w:spacing w:line="360" w:lineRule="auto"/>
              <w:ind w:firstLineChars="200" w:firstLine="482"/>
              <w:contextualSpacing/>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2.</w:t>
            </w:r>
            <w:r w:rsidR="00075F87">
              <w:rPr>
                <w:rFonts w:hint="eastAsia"/>
              </w:rPr>
              <w:t xml:space="preserve"> </w:t>
            </w:r>
            <w:r w:rsidR="003148DC" w:rsidRPr="003148DC">
              <w:rPr>
                <w:rFonts w:ascii="宋体" w:eastAsia="宋体" w:hAnsi="宋体" w:cs="Times New Roman" w:hint="eastAsia"/>
                <w:b/>
                <w:iCs/>
                <w:color w:val="000000"/>
                <w:sz w:val="24"/>
                <w:szCs w:val="24"/>
              </w:rPr>
              <w:t>金总好，公司环氧丙烷催化剂的优势和未来增长市场空间有多大</w:t>
            </w:r>
            <w:r w:rsidR="00075F87" w:rsidRPr="00075F87">
              <w:rPr>
                <w:rFonts w:ascii="宋体" w:eastAsia="宋体" w:hAnsi="宋体" w:cs="Times New Roman" w:hint="eastAsia"/>
                <w:b/>
                <w:iCs/>
                <w:color w:val="000000"/>
                <w:sz w:val="24"/>
                <w:szCs w:val="24"/>
              </w:rPr>
              <w:t>？</w:t>
            </w:r>
            <w:r w:rsidR="008566DD" w:rsidRPr="005A31D1">
              <w:rPr>
                <w:rFonts w:ascii="宋体" w:eastAsia="宋体" w:hAnsi="宋体" w:cs="Times New Roman"/>
                <w:b/>
                <w:iCs/>
                <w:color w:val="000000"/>
                <w:sz w:val="24"/>
                <w:szCs w:val="24"/>
              </w:rPr>
              <w:t xml:space="preserve"> </w:t>
            </w:r>
          </w:p>
          <w:p w14:paraId="77FBBDE4" w14:textId="1DC4ABD5" w:rsidR="00086894" w:rsidRDefault="005A31D1"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3148DC" w:rsidRPr="003148DC">
              <w:rPr>
                <w:rFonts w:ascii="宋体" w:eastAsia="宋体" w:hAnsi="宋体" w:cs="Times New Roman" w:hint="eastAsia"/>
                <w:bCs/>
                <w:iCs/>
                <w:color w:val="000000"/>
                <w:sz w:val="24"/>
                <w:szCs w:val="24"/>
              </w:rPr>
              <w:t>尊敬的投资者您好，公司依托钛硅分子筛技术开发的HPPO工艺包及催化剂，成功突破国外技术垄断，该工艺具有原子利用率高、副产物少等环保优势，公司的工艺包及催化剂产品在下游客户工业化生产上得到了成功验证。目前，催化剂产品已经得到国内外客户的高度认可，前三季度公司业绩增长的主要原因也包括公司钛硅系列催化剂产品实现销售增长。未来，公司将持续加强市场开拓力度，努力提升市场份额。</w:t>
            </w:r>
            <w:r w:rsidR="00075F87" w:rsidRPr="00075F87">
              <w:rPr>
                <w:rFonts w:ascii="宋体" w:eastAsia="宋体" w:hAnsi="宋体" w:cs="Times New Roman" w:hint="eastAsia"/>
                <w:bCs/>
                <w:iCs/>
                <w:color w:val="000000"/>
                <w:sz w:val="24"/>
                <w:szCs w:val="24"/>
              </w:rPr>
              <w:t>感谢您对公司的关注！</w:t>
            </w:r>
            <w:r w:rsidR="008566DD">
              <w:rPr>
                <w:rFonts w:ascii="宋体" w:eastAsia="宋体" w:hAnsi="宋体" w:cs="Times New Roman"/>
                <w:bCs/>
                <w:iCs/>
                <w:color w:val="000000"/>
                <w:sz w:val="24"/>
                <w:szCs w:val="24"/>
              </w:rPr>
              <w:t xml:space="preserve"> </w:t>
            </w:r>
          </w:p>
          <w:p w14:paraId="5756F211" w14:textId="77777777" w:rsidR="008C3789" w:rsidRPr="00983D7B" w:rsidRDefault="008C3789"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24CBC6BD" w14:textId="2585C636" w:rsidR="00723250"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3.</w:t>
            </w:r>
            <w:r w:rsidR="00075F87">
              <w:rPr>
                <w:rFonts w:hint="eastAsia"/>
              </w:rPr>
              <w:t xml:space="preserve"> </w:t>
            </w:r>
            <w:r w:rsidR="003148DC" w:rsidRPr="003148DC">
              <w:rPr>
                <w:rFonts w:ascii="宋体" w:eastAsia="宋体" w:hAnsi="宋体" w:cs="Times New Roman" w:hint="eastAsia"/>
                <w:b/>
                <w:iCs/>
                <w:color w:val="000000"/>
                <w:sz w:val="24"/>
                <w:szCs w:val="24"/>
              </w:rPr>
              <w:t>请问贵公司在制药、燃料电池、氢气制绿氨的催化剂 这几方面有布局吗。</w:t>
            </w:r>
            <w:r w:rsidR="008566DD" w:rsidRPr="005A31D1">
              <w:rPr>
                <w:rFonts w:ascii="宋体" w:eastAsia="宋体" w:hAnsi="宋体" w:cs="Times New Roman"/>
                <w:b/>
                <w:iCs/>
                <w:color w:val="000000"/>
                <w:sz w:val="24"/>
                <w:szCs w:val="24"/>
              </w:rPr>
              <w:t xml:space="preserve"> </w:t>
            </w:r>
          </w:p>
          <w:p w14:paraId="17615696" w14:textId="0F1C121E" w:rsidR="00983D7B" w:rsidRDefault="00CF6746"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3148DC" w:rsidRPr="003148DC">
              <w:rPr>
                <w:rFonts w:ascii="宋体" w:eastAsia="宋体" w:hAnsi="宋体" w:cs="Times New Roman" w:hint="eastAsia"/>
                <w:bCs/>
                <w:iCs/>
                <w:color w:val="000000"/>
                <w:sz w:val="24"/>
                <w:szCs w:val="24"/>
              </w:rPr>
              <w:t>尊敬的投资者您好，公司主要产品暂未在制药、燃料电池、氢气制绿氨催化剂方面有相关布局。</w:t>
            </w:r>
            <w:r w:rsidR="00075F87" w:rsidRPr="00075F87">
              <w:rPr>
                <w:rFonts w:ascii="宋体" w:eastAsia="宋体" w:hAnsi="宋体" w:cs="Times New Roman" w:hint="eastAsia"/>
                <w:bCs/>
                <w:iCs/>
                <w:color w:val="000000"/>
                <w:sz w:val="24"/>
                <w:szCs w:val="24"/>
              </w:rPr>
              <w:t>感谢您对公司的关注！</w:t>
            </w:r>
            <w:r w:rsidR="008566DD">
              <w:rPr>
                <w:rFonts w:ascii="宋体" w:eastAsia="宋体" w:hAnsi="宋体" w:cs="Times New Roman"/>
                <w:bCs/>
                <w:iCs/>
                <w:color w:val="000000"/>
                <w:sz w:val="24"/>
                <w:szCs w:val="24"/>
              </w:rPr>
              <w:t xml:space="preserve"> </w:t>
            </w:r>
          </w:p>
          <w:p w14:paraId="0A22925B" w14:textId="77777777" w:rsidR="00086894" w:rsidRPr="00983D7B" w:rsidRDefault="00086894" w:rsidP="005A31D1">
            <w:pPr>
              <w:adjustRightInd w:val="0"/>
              <w:snapToGrid w:val="0"/>
              <w:spacing w:line="360" w:lineRule="auto"/>
              <w:ind w:firstLineChars="200" w:firstLine="480"/>
              <w:rPr>
                <w:rFonts w:ascii="宋体" w:eastAsia="宋体" w:hAnsi="宋体" w:cs="Times New Roman" w:hint="eastAsia"/>
                <w:bCs/>
                <w:iCs/>
                <w:color w:val="000000"/>
                <w:sz w:val="24"/>
                <w:szCs w:val="24"/>
              </w:rPr>
            </w:pPr>
          </w:p>
          <w:p w14:paraId="146354D4" w14:textId="08CE3037" w:rsidR="00983D7B" w:rsidRPr="005A31D1" w:rsidRDefault="00983D7B" w:rsidP="005A31D1">
            <w:pPr>
              <w:adjustRightInd w:val="0"/>
              <w:snapToGrid w:val="0"/>
              <w:spacing w:line="360" w:lineRule="auto"/>
              <w:ind w:firstLineChars="200" w:firstLine="482"/>
              <w:rPr>
                <w:rFonts w:ascii="宋体" w:eastAsia="宋体" w:hAnsi="宋体" w:cs="Times New Roman" w:hint="eastAsia"/>
                <w:b/>
                <w:iCs/>
                <w:color w:val="000000"/>
                <w:sz w:val="24"/>
                <w:szCs w:val="24"/>
              </w:rPr>
            </w:pPr>
            <w:r w:rsidRPr="005A31D1">
              <w:rPr>
                <w:rFonts w:ascii="宋体" w:eastAsia="宋体" w:hAnsi="宋体" w:cs="Times New Roman" w:hint="eastAsia"/>
                <w:b/>
                <w:iCs/>
                <w:color w:val="000000"/>
                <w:sz w:val="24"/>
                <w:szCs w:val="24"/>
              </w:rPr>
              <w:t>4</w:t>
            </w:r>
            <w:r w:rsidRPr="005A31D1">
              <w:rPr>
                <w:rFonts w:ascii="宋体" w:eastAsia="宋体" w:hAnsi="宋体" w:cs="Times New Roman"/>
                <w:b/>
                <w:iCs/>
                <w:color w:val="000000"/>
                <w:sz w:val="24"/>
                <w:szCs w:val="24"/>
              </w:rPr>
              <w:t>.</w:t>
            </w:r>
            <w:r w:rsidR="00DB2214">
              <w:rPr>
                <w:rFonts w:hint="eastAsia"/>
              </w:rPr>
              <w:t xml:space="preserve"> </w:t>
            </w:r>
            <w:r w:rsidR="003148DC" w:rsidRPr="003148DC">
              <w:rPr>
                <w:rFonts w:ascii="宋体" w:eastAsia="宋体" w:hAnsi="宋体" w:cs="Times New Roman" w:hint="eastAsia"/>
                <w:b/>
                <w:iCs/>
                <w:color w:val="000000"/>
                <w:sz w:val="24"/>
                <w:szCs w:val="24"/>
              </w:rPr>
              <w:t>公司控股股东是否有再次增持的计划</w:t>
            </w:r>
            <w:r w:rsidR="00075F87" w:rsidRPr="00075F87">
              <w:rPr>
                <w:rFonts w:ascii="宋体" w:eastAsia="宋体" w:hAnsi="宋体" w:cs="Times New Roman" w:hint="eastAsia"/>
                <w:b/>
                <w:iCs/>
                <w:color w:val="000000"/>
                <w:sz w:val="24"/>
                <w:szCs w:val="24"/>
              </w:rPr>
              <w:t>？</w:t>
            </w:r>
          </w:p>
          <w:p w14:paraId="3E0B0C6C" w14:textId="71D6FC49" w:rsidR="00DB2214" w:rsidRPr="00DB60B9" w:rsidRDefault="005A31D1" w:rsidP="00601C5E">
            <w:pPr>
              <w:adjustRightInd w:val="0"/>
              <w:snapToGrid w:val="0"/>
              <w:spacing w:line="360" w:lineRule="auto"/>
              <w:ind w:firstLineChars="200" w:firstLine="480"/>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3148DC" w:rsidRPr="003148DC">
              <w:rPr>
                <w:rFonts w:ascii="宋体" w:eastAsia="宋体" w:hAnsi="宋体" w:cs="Times New Roman" w:hint="eastAsia"/>
                <w:bCs/>
                <w:iCs/>
                <w:color w:val="000000"/>
                <w:sz w:val="24"/>
                <w:szCs w:val="24"/>
              </w:rPr>
              <w:t>尊敬的投资者您好，公司控股股东未来若有相关计划，公司将依法披露公告，后续公司也将采取多种措施（包括但不限于加强与投资者沟通交流、利润分配、股份回购、控股股东增持等）维护股价、全力保障投资者利益。</w:t>
            </w:r>
            <w:r w:rsidR="00075F87" w:rsidRPr="00075F87">
              <w:rPr>
                <w:rFonts w:ascii="宋体" w:eastAsia="宋体" w:hAnsi="宋体" w:cs="Times New Roman" w:hint="eastAsia"/>
                <w:bCs/>
                <w:iCs/>
                <w:color w:val="000000"/>
                <w:sz w:val="24"/>
                <w:szCs w:val="24"/>
              </w:rPr>
              <w:t>感谢您对公司的关注！</w:t>
            </w:r>
            <w:r w:rsidR="008566DD" w:rsidRPr="00DB60B9">
              <w:rPr>
                <w:rFonts w:ascii="宋体" w:eastAsia="宋体" w:hAnsi="宋体" w:cs="Times New Roman"/>
                <w:bCs/>
                <w:iCs/>
                <w:color w:val="000000"/>
                <w:sz w:val="24"/>
                <w:szCs w:val="24"/>
              </w:rPr>
              <w:t xml:space="preserve"> </w:t>
            </w:r>
          </w:p>
        </w:tc>
      </w:tr>
      <w:tr w:rsidR="00747A31" w14:paraId="69545370" w14:textId="77777777">
        <w:trPr>
          <w:trHeight w:val="50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Default="009F72BA">
            <w:pP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Default="009F72BA">
            <w:pPr>
              <w:jc w:val="left"/>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无</w:t>
            </w:r>
          </w:p>
        </w:tc>
      </w:tr>
      <w:tr w:rsidR="00747A31" w14:paraId="2AB40FD8" w14:textId="77777777">
        <w:trPr>
          <w:trHeight w:val="56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日 期</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7BB6A179" w:rsidR="00747A31" w:rsidRDefault="00567447">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w:t>
            </w:r>
            <w:r w:rsidR="002C3222">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年</w:t>
            </w:r>
            <w:r w:rsidR="003F6911">
              <w:rPr>
                <w:rFonts w:ascii="Times New Roman" w:eastAsia="宋体" w:hAnsi="Times New Roman" w:cs="Times New Roman" w:hint="eastAsia"/>
                <w:bCs/>
                <w:iCs/>
                <w:color w:val="000000"/>
                <w:sz w:val="24"/>
                <w:szCs w:val="24"/>
              </w:rPr>
              <w:t>11</w:t>
            </w:r>
            <w:r>
              <w:rPr>
                <w:rFonts w:ascii="Times New Roman" w:eastAsia="宋体" w:hAnsi="Times New Roman" w:cs="Times New Roman" w:hint="eastAsia"/>
                <w:bCs/>
                <w:iCs/>
                <w:color w:val="000000"/>
                <w:sz w:val="24"/>
                <w:szCs w:val="24"/>
              </w:rPr>
              <w:t>月</w:t>
            </w:r>
            <w:r w:rsidR="003F6911">
              <w:rPr>
                <w:rFonts w:ascii="Times New Roman" w:eastAsia="宋体" w:hAnsi="Times New Roman" w:cs="Times New Roman" w:hint="eastAsia"/>
                <w:bCs/>
                <w:iCs/>
                <w:color w:val="000000"/>
                <w:sz w:val="24"/>
                <w:szCs w:val="24"/>
              </w:rPr>
              <w:t>18</w:t>
            </w:r>
            <w:r>
              <w:rPr>
                <w:rFonts w:ascii="Times New Roman" w:eastAsia="宋体" w:hAnsi="Times New Roman" w:cs="Times New Roman"/>
                <w:bCs/>
                <w:iCs/>
                <w:color w:val="000000"/>
                <w:sz w:val="24"/>
                <w:szCs w:val="24"/>
              </w:rPr>
              <w:t>日</w:t>
            </w:r>
          </w:p>
        </w:tc>
      </w:tr>
    </w:tbl>
    <w:p w14:paraId="530D5264" w14:textId="6DD2AF20" w:rsidR="00747A31" w:rsidRDefault="00747A31">
      <w:pPr>
        <w:rPr>
          <w:rFonts w:ascii="Times New Roman" w:eastAsia="宋体" w:hAnsi="Times New Roman" w:cs="Times New Roman"/>
          <w:szCs w:val="24"/>
        </w:rPr>
      </w:pPr>
    </w:p>
    <w:sectPr w:rsidR="00747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FC88" w14:textId="77777777" w:rsidR="00966329" w:rsidRDefault="00966329" w:rsidP="00815C05">
      <w:r>
        <w:separator/>
      </w:r>
    </w:p>
  </w:endnote>
  <w:endnote w:type="continuationSeparator" w:id="0">
    <w:p w14:paraId="2E1F41FF" w14:textId="77777777" w:rsidR="00966329" w:rsidRDefault="00966329" w:rsidP="0081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F2E0" w14:textId="77777777" w:rsidR="00966329" w:rsidRDefault="00966329" w:rsidP="00815C05">
      <w:r>
        <w:separator/>
      </w:r>
    </w:p>
  </w:footnote>
  <w:footnote w:type="continuationSeparator" w:id="0">
    <w:p w14:paraId="57A6088F" w14:textId="77777777" w:rsidR="00966329" w:rsidRDefault="00966329" w:rsidP="0081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1305C"/>
    <w:rsid w:val="00021D20"/>
    <w:rsid w:val="00026C9D"/>
    <w:rsid w:val="00027998"/>
    <w:rsid w:val="00031608"/>
    <w:rsid w:val="000378CE"/>
    <w:rsid w:val="000546D4"/>
    <w:rsid w:val="00057030"/>
    <w:rsid w:val="000572FD"/>
    <w:rsid w:val="00075F87"/>
    <w:rsid w:val="00085EC0"/>
    <w:rsid w:val="00086894"/>
    <w:rsid w:val="00092B98"/>
    <w:rsid w:val="00093456"/>
    <w:rsid w:val="000A2543"/>
    <w:rsid w:val="000A267F"/>
    <w:rsid w:val="000B0145"/>
    <w:rsid w:val="000E24E7"/>
    <w:rsid w:val="000E35E1"/>
    <w:rsid w:val="000E66EC"/>
    <w:rsid w:val="000F7106"/>
    <w:rsid w:val="00101B32"/>
    <w:rsid w:val="00107552"/>
    <w:rsid w:val="00111916"/>
    <w:rsid w:val="00142F3E"/>
    <w:rsid w:val="001508E3"/>
    <w:rsid w:val="0015208D"/>
    <w:rsid w:val="0017296C"/>
    <w:rsid w:val="00173E46"/>
    <w:rsid w:val="00197FD9"/>
    <w:rsid w:val="001B146A"/>
    <w:rsid w:val="001F78F0"/>
    <w:rsid w:val="00212AFB"/>
    <w:rsid w:val="0021415D"/>
    <w:rsid w:val="0022197E"/>
    <w:rsid w:val="00227531"/>
    <w:rsid w:val="002472F8"/>
    <w:rsid w:val="00255E0D"/>
    <w:rsid w:val="00276A13"/>
    <w:rsid w:val="00286BDC"/>
    <w:rsid w:val="00290A0A"/>
    <w:rsid w:val="00294165"/>
    <w:rsid w:val="0029442C"/>
    <w:rsid w:val="00297748"/>
    <w:rsid w:val="002A0072"/>
    <w:rsid w:val="002A56ED"/>
    <w:rsid w:val="002A7551"/>
    <w:rsid w:val="002A7854"/>
    <w:rsid w:val="002B4310"/>
    <w:rsid w:val="002B75BA"/>
    <w:rsid w:val="002C056B"/>
    <w:rsid w:val="002C3222"/>
    <w:rsid w:val="002C5F71"/>
    <w:rsid w:val="002D082B"/>
    <w:rsid w:val="002D4889"/>
    <w:rsid w:val="002D4AE8"/>
    <w:rsid w:val="002F021F"/>
    <w:rsid w:val="002F6CED"/>
    <w:rsid w:val="003148DC"/>
    <w:rsid w:val="00345A97"/>
    <w:rsid w:val="0035103F"/>
    <w:rsid w:val="003733E7"/>
    <w:rsid w:val="003759E3"/>
    <w:rsid w:val="00381AFB"/>
    <w:rsid w:val="003A1F61"/>
    <w:rsid w:val="003B4824"/>
    <w:rsid w:val="003C1881"/>
    <w:rsid w:val="003C2DBC"/>
    <w:rsid w:val="003C5F4C"/>
    <w:rsid w:val="003D0EF5"/>
    <w:rsid w:val="003D12D1"/>
    <w:rsid w:val="003D165D"/>
    <w:rsid w:val="003E2220"/>
    <w:rsid w:val="003E5ACC"/>
    <w:rsid w:val="003F0870"/>
    <w:rsid w:val="003F10E6"/>
    <w:rsid w:val="003F3A30"/>
    <w:rsid w:val="003F5EFA"/>
    <w:rsid w:val="003F6911"/>
    <w:rsid w:val="004240A3"/>
    <w:rsid w:val="00424B2D"/>
    <w:rsid w:val="00456C35"/>
    <w:rsid w:val="004658CD"/>
    <w:rsid w:val="00475F34"/>
    <w:rsid w:val="004912C1"/>
    <w:rsid w:val="004922A6"/>
    <w:rsid w:val="004B0C0B"/>
    <w:rsid w:val="004C06AA"/>
    <w:rsid w:val="004C3D5D"/>
    <w:rsid w:val="004D1633"/>
    <w:rsid w:val="004E0FCB"/>
    <w:rsid w:val="00521AAA"/>
    <w:rsid w:val="00533828"/>
    <w:rsid w:val="00534768"/>
    <w:rsid w:val="00536E34"/>
    <w:rsid w:val="0055008F"/>
    <w:rsid w:val="00557F36"/>
    <w:rsid w:val="00567447"/>
    <w:rsid w:val="005A31D1"/>
    <w:rsid w:val="005A3C35"/>
    <w:rsid w:val="005B10AE"/>
    <w:rsid w:val="005E3910"/>
    <w:rsid w:val="00601C5E"/>
    <w:rsid w:val="00615EA2"/>
    <w:rsid w:val="00621D5A"/>
    <w:rsid w:val="00621E51"/>
    <w:rsid w:val="006374D0"/>
    <w:rsid w:val="00657069"/>
    <w:rsid w:val="00663AD1"/>
    <w:rsid w:val="00670B4D"/>
    <w:rsid w:val="006734C8"/>
    <w:rsid w:val="006977EA"/>
    <w:rsid w:val="006B2C78"/>
    <w:rsid w:val="006B7D59"/>
    <w:rsid w:val="006D6EE1"/>
    <w:rsid w:val="006E3AD9"/>
    <w:rsid w:val="006F05F4"/>
    <w:rsid w:val="006F0BC8"/>
    <w:rsid w:val="00723250"/>
    <w:rsid w:val="00732B6B"/>
    <w:rsid w:val="00746623"/>
    <w:rsid w:val="0074782F"/>
    <w:rsid w:val="00747A31"/>
    <w:rsid w:val="00753299"/>
    <w:rsid w:val="0075431C"/>
    <w:rsid w:val="00754495"/>
    <w:rsid w:val="00761A95"/>
    <w:rsid w:val="00773D3A"/>
    <w:rsid w:val="007750F7"/>
    <w:rsid w:val="00776B12"/>
    <w:rsid w:val="00781396"/>
    <w:rsid w:val="007A0045"/>
    <w:rsid w:val="007B5853"/>
    <w:rsid w:val="007C21F9"/>
    <w:rsid w:val="007D54B9"/>
    <w:rsid w:val="007D553A"/>
    <w:rsid w:val="007E707F"/>
    <w:rsid w:val="0080005F"/>
    <w:rsid w:val="00800532"/>
    <w:rsid w:val="0080445F"/>
    <w:rsid w:val="00813883"/>
    <w:rsid w:val="00815C05"/>
    <w:rsid w:val="00842E7F"/>
    <w:rsid w:val="0085571F"/>
    <w:rsid w:val="008566DD"/>
    <w:rsid w:val="008610CF"/>
    <w:rsid w:val="0086646C"/>
    <w:rsid w:val="00871934"/>
    <w:rsid w:val="00872F17"/>
    <w:rsid w:val="00873FE2"/>
    <w:rsid w:val="0087607D"/>
    <w:rsid w:val="00892D71"/>
    <w:rsid w:val="0089629C"/>
    <w:rsid w:val="00896E17"/>
    <w:rsid w:val="008C3789"/>
    <w:rsid w:val="008C58B6"/>
    <w:rsid w:val="008F12EE"/>
    <w:rsid w:val="008F40EE"/>
    <w:rsid w:val="0091046F"/>
    <w:rsid w:val="00910929"/>
    <w:rsid w:val="00914692"/>
    <w:rsid w:val="00943E4E"/>
    <w:rsid w:val="00966329"/>
    <w:rsid w:val="009818D0"/>
    <w:rsid w:val="00983D7B"/>
    <w:rsid w:val="0099367E"/>
    <w:rsid w:val="009A4FBA"/>
    <w:rsid w:val="009B072A"/>
    <w:rsid w:val="009B2C3E"/>
    <w:rsid w:val="009B7403"/>
    <w:rsid w:val="009C431F"/>
    <w:rsid w:val="009F4245"/>
    <w:rsid w:val="009F72BA"/>
    <w:rsid w:val="00A07D69"/>
    <w:rsid w:val="00A07FC3"/>
    <w:rsid w:val="00A13A36"/>
    <w:rsid w:val="00A13EFD"/>
    <w:rsid w:val="00A23594"/>
    <w:rsid w:val="00A271C0"/>
    <w:rsid w:val="00A55706"/>
    <w:rsid w:val="00AA579F"/>
    <w:rsid w:val="00AC27E2"/>
    <w:rsid w:val="00AD1E8F"/>
    <w:rsid w:val="00AD4D7B"/>
    <w:rsid w:val="00AD7A86"/>
    <w:rsid w:val="00AF04AD"/>
    <w:rsid w:val="00AF6D4D"/>
    <w:rsid w:val="00B045EB"/>
    <w:rsid w:val="00B331A5"/>
    <w:rsid w:val="00B368B1"/>
    <w:rsid w:val="00B43302"/>
    <w:rsid w:val="00B4488C"/>
    <w:rsid w:val="00B64DCA"/>
    <w:rsid w:val="00BB7E5F"/>
    <w:rsid w:val="00BC75BB"/>
    <w:rsid w:val="00BE2BB9"/>
    <w:rsid w:val="00BF2D61"/>
    <w:rsid w:val="00C03550"/>
    <w:rsid w:val="00C077D8"/>
    <w:rsid w:val="00C113C7"/>
    <w:rsid w:val="00C27BEB"/>
    <w:rsid w:val="00C30377"/>
    <w:rsid w:val="00C35A9D"/>
    <w:rsid w:val="00C37C0B"/>
    <w:rsid w:val="00C57C4D"/>
    <w:rsid w:val="00C72343"/>
    <w:rsid w:val="00C77E4F"/>
    <w:rsid w:val="00C829C2"/>
    <w:rsid w:val="00C90E62"/>
    <w:rsid w:val="00C90E74"/>
    <w:rsid w:val="00C954D5"/>
    <w:rsid w:val="00CB7447"/>
    <w:rsid w:val="00CC3644"/>
    <w:rsid w:val="00CD343B"/>
    <w:rsid w:val="00CE6649"/>
    <w:rsid w:val="00CE6AA2"/>
    <w:rsid w:val="00CF2040"/>
    <w:rsid w:val="00CF6746"/>
    <w:rsid w:val="00D071B9"/>
    <w:rsid w:val="00D14196"/>
    <w:rsid w:val="00D239DE"/>
    <w:rsid w:val="00D31770"/>
    <w:rsid w:val="00D434EB"/>
    <w:rsid w:val="00D612E6"/>
    <w:rsid w:val="00D759F5"/>
    <w:rsid w:val="00D95A4D"/>
    <w:rsid w:val="00DB2214"/>
    <w:rsid w:val="00DB60B9"/>
    <w:rsid w:val="00DE7CA5"/>
    <w:rsid w:val="00DF6B32"/>
    <w:rsid w:val="00DF70E1"/>
    <w:rsid w:val="00E03034"/>
    <w:rsid w:val="00E1244B"/>
    <w:rsid w:val="00E17821"/>
    <w:rsid w:val="00E25B89"/>
    <w:rsid w:val="00E25D5E"/>
    <w:rsid w:val="00E35565"/>
    <w:rsid w:val="00E42E14"/>
    <w:rsid w:val="00E5301A"/>
    <w:rsid w:val="00E543B0"/>
    <w:rsid w:val="00E56BB5"/>
    <w:rsid w:val="00E612B4"/>
    <w:rsid w:val="00E64056"/>
    <w:rsid w:val="00E6600C"/>
    <w:rsid w:val="00E76AED"/>
    <w:rsid w:val="00E77B16"/>
    <w:rsid w:val="00E84C33"/>
    <w:rsid w:val="00E8552A"/>
    <w:rsid w:val="00E969EF"/>
    <w:rsid w:val="00EA7329"/>
    <w:rsid w:val="00EC2F9F"/>
    <w:rsid w:val="00EC7DEA"/>
    <w:rsid w:val="00ED5A30"/>
    <w:rsid w:val="00EE0B9E"/>
    <w:rsid w:val="00F141A7"/>
    <w:rsid w:val="00F15AAF"/>
    <w:rsid w:val="00F300E9"/>
    <w:rsid w:val="00F30BF0"/>
    <w:rsid w:val="00F314CA"/>
    <w:rsid w:val="00F37520"/>
    <w:rsid w:val="00F44EC1"/>
    <w:rsid w:val="00F52AF6"/>
    <w:rsid w:val="00F64CB6"/>
    <w:rsid w:val="00F82719"/>
    <w:rsid w:val="00F85733"/>
    <w:rsid w:val="00F943D3"/>
    <w:rsid w:val="00F94462"/>
    <w:rsid w:val="00FA6109"/>
    <w:rsid w:val="00FB6A10"/>
    <w:rsid w:val="00FB7241"/>
    <w:rsid w:val="00FC057A"/>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paragraph" w:styleId="HTML">
    <w:name w:val="HTML Preformatted"/>
    <w:basedOn w:val="a"/>
    <w:link w:val="HTML0"/>
    <w:uiPriority w:val="99"/>
    <w:semiHidden/>
    <w:unhideWhenUsed/>
    <w:rsid w:val="00983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83D7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194">
      <w:bodyDiv w:val="1"/>
      <w:marLeft w:val="0"/>
      <w:marRight w:val="0"/>
      <w:marTop w:val="0"/>
      <w:marBottom w:val="0"/>
      <w:divBdr>
        <w:top w:val="none" w:sz="0" w:space="0" w:color="auto"/>
        <w:left w:val="none" w:sz="0" w:space="0" w:color="auto"/>
        <w:bottom w:val="none" w:sz="0" w:space="0" w:color="auto"/>
        <w:right w:val="none" w:sz="0" w:space="0" w:color="auto"/>
      </w:divBdr>
    </w:div>
    <w:div w:id="85855533">
      <w:bodyDiv w:val="1"/>
      <w:marLeft w:val="0"/>
      <w:marRight w:val="0"/>
      <w:marTop w:val="0"/>
      <w:marBottom w:val="0"/>
      <w:divBdr>
        <w:top w:val="none" w:sz="0" w:space="0" w:color="auto"/>
        <w:left w:val="none" w:sz="0" w:space="0" w:color="auto"/>
        <w:bottom w:val="none" w:sz="0" w:space="0" w:color="auto"/>
        <w:right w:val="none" w:sz="0" w:space="0" w:color="auto"/>
      </w:divBdr>
    </w:div>
    <w:div w:id="156313320">
      <w:bodyDiv w:val="1"/>
      <w:marLeft w:val="0"/>
      <w:marRight w:val="0"/>
      <w:marTop w:val="0"/>
      <w:marBottom w:val="0"/>
      <w:divBdr>
        <w:top w:val="none" w:sz="0" w:space="0" w:color="auto"/>
        <w:left w:val="none" w:sz="0" w:space="0" w:color="auto"/>
        <w:bottom w:val="none" w:sz="0" w:space="0" w:color="auto"/>
        <w:right w:val="none" w:sz="0" w:space="0" w:color="auto"/>
      </w:divBdr>
    </w:div>
    <w:div w:id="163402784">
      <w:bodyDiv w:val="1"/>
      <w:marLeft w:val="0"/>
      <w:marRight w:val="0"/>
      <w:marTop w:val="0"/>
      <w:marBottom w:val="0"/>
      <w:divBdr>
        <w:top w:val="none" w:sz="0" w:space="0" w:color="auto"/>
        <w:left w:val="none" w:sz="0" w:space="0" w:color="auto"/>
        <w:bottom w:val="none" w:sz="0" w:space="0" w:color="auto"/>
        <w:right w:val="none" w:sz="0" w:space="0" w:color="auto"/>
      </w:divBdr>
    </w:div>
    <w:div w:id="184834988">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
    <w:div w:id="283198269">
      <w:bodyDiv w:val="1"/>
      <w:marLeft w:val="0"/>
      <w:marRight w:val="0"/>
      <w:marTop w:val="0"/>
      <w:marBottom w:val="0"/>
      <w:divBdr>
        <w:top w:val="none" w:sz="0" w:space="0" w:color="auto"/>
        <w:left w:val="none" w:sz="0" w:space="0" w:color="auto"/>
        <w:bottom w:val="none" w:sz="0" w:space="0" w:color="auto"/>
        <w:right w:val="none" w:sz="0" w:space="0" w:color="auto"/>
      </w:divBdr>
    </w:div>
    <w:div w:id="343483371">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370109111">
      <w:bodyDiv w:val="1"/>
      <w:marLeft w:val="0"/>
      <w:marRight w:val="0"/>
      <w:marTop w:val="0"/>
      <w:marBottom w:val="0"/>
      <w:divBdr>
        <w:top w:val="none" w:sz="0" w:space="0" w:color="auto"/>
        <w:left w:val="none" w:sz="0" w:space="0" w:color="auto"/>
        <w:bottom w:val="none" w:sz="0" w:space="0" w:color="auto"/>
        <w:right w:val="none" w:sz="0" w:space="0" w:color="auto"/>
      </w:divBdr>
    </w:div>
    <w:div w:id="393087985">
      <w:bodyDiv w:val="1"/>
      <w:marLeft w:val="0"/>
      <w:marRight w:val="0"/>
      <w:marTop w:val="0"/>
      <w:marBottom w:val="0"/>
      <w:divBdr>
        <w:top w:val="none" w:sz="0" w:space="0" w:color="auto"/>
        <w:left w:val="none" w:sz="0" w:space="0" w:color="auto"/>
        <w:bottom w:val="none" w:sz="0" w:space="0" w:color="auto"/>
        <w:right w:val="none" w:sz="0" w:space="0" w:color="auto"/>
      </w:divBdr>
    </w:div>
    <w:div w:id="518281518">
      <w:bodyDiv w:val="1"/>
      <w:marLeft w:val="0"/>
      <w:marRight w:val="0"/>
      <w:marTop w:val="0"/>
      <w:marBottom w:val="0"/>
      <w:divBdr>
        <w:top w:val="none" w:sz="0" w:space="0" w:color="auto"/>
        <w:left w:val="none" w:sz="0" w:space="0" w:color="auto"/>
        <w:bottom w:val="none" w:sz="0" w:space="0" w:color="auto"/>
        <w:right w:val="none" w:sz="0" w:space="0" w:color="auto"/>
      </w:divBdr>
    </w:div>
    <w:div w:id="622006323">
      <w:bodyDiv w:val="1"/>
      <w:marLeft w:val="0"/>
      <w:marRight w:val="0"/>
      <w:marTop w:val="0"/>
      <w:marBottom w:val="0"/>
      <w:divBdr>
        <w:top w:val="none" w:sz="0" w:space="0" w:color="auto"/>
        <w:left w:val="none" w:sz="0" w:space="0" w:color="auto"/>
        <w:bottom w:val="none" w:sz="0" w:space="0" w:color="auto"/>
        <w:right w:val="none" w:sz="0" w:space="0" w:color="auto"/>
      </w:divBdr>
    </w:div>
    <w:div w:id="743651659">
      <w:bodyDiv w:val="1"/>
      <w:marLeft w:val="0"/>
      <w:marRight w:val="0"/>
      <w:marTop w:val="0"/>
      <w:marBottom w:val="0"/>
      <w:divBdr>
        <w:top w:val="none" w:sz="0" w:space="0" w:color="auto"/>
        <w:left w:val="none" w:sz="0" w:space="0" w:color="auto"/>
        <w:bottom w:val="none" w:sz="0" w:space="0" w:color="auto"/>
        <w:right w:val="none" w:sz="0" w:space="0" w:color="auto"/>
      </w:divBdr>
    </w:div>
    <w:div w:id="785664432">
      <w:bodyDiv w:val="1"/>
      <w:marLeft w:val="0"/>
      <w:marRight w:val="0"/>
      <w:marTop w:val="0"/>
      <w:marBottom w:val="0"/>
      <w:divBdr>
        <w:top w:val="none" w:sz="0" w:space="0" w:color="auto"/>
        <w:left w:val="none" w:sz="0" w:space="0" w:color="auto"/>
        <w:bottom w:val="none" w:sz="0" w:space="0" w:color="auto"/>
        <w:right w:val="none" w:sz="0" w:space="0" w:color="auto"/>
      </w:divBdr>
    </w:div>
    <w:div w:id="955798247">
      <w:bodyDiv w:val="1"/>
      <w:marLeft w:val="0"/>
      <w:marRight w:val="0"/>
      <w:marTop w:val="0"/>
      <w:marBottom w:val="0"/>
      <w:divBdr>
        <w:top w:val="none" w:sz="0" w:space="0" w:color="auto"/>
        <w:left w:val="none" w:sz="0" w:space="0" w:color="auto"/>
        <w:bottom w:val="none" w:sz="0" w:space="0" w:color="auto"/>
        <w:right w:val="none" w:sz="0" w:space="0" w:color="auto"/>
      </w:divBdr>
      <w:divsChild>
        <w:div w:id="1575045063">
          <w:marLeft w:val="0"/>
          <w:marRight w:val="0"/>
          <w:marTop w:val="0"/>
          <w:marBottom w:val="0"/>
          <w:divBdr>
            <w:top w:val="none" w:sz="0" w:space="0" w:color="auto"/>
            <w:left w:val="none" w:sz="0" w:space="0" w:color="auto"/>
            <w:bottom w:val="none" w:sz="0" w:space="0" w:color="auto"/>
            <w:right w:val="none" w:sz="0" w:space="0" w:color="auto"/>
          </w:divBdr>
          <w:divsChild>
            <w:div w:id="218709309">
              <w:marLeft w:val="0"/>
              <w:marRight w:val="0"/>
              <w:marTop w:val="0"/>
              <w:marBottom w:val="0"/>
              <w:divBdr>
                <w:top w:val="none" w:sz="0" w:space="0" w:color="auto"/>
                <w:left w:val="none" w:sz="0" w:space="0" w:color="auto"/>
                <w:bottom w:val="none" w:sz="0" w:space="0" w:color="auto"/>
                <w:right w:val="none" w:sz="0" w:space="0" w:color="auto"/>
              </w:divBdr>
              <w:divsChild>
                <w:div w:id="1751807528">
                  <w:marLeft w:val="0"/>
                  <w:marRight w:val="0"/>
                  <w:marTop w:val="0"/>
                  <w:marBottom w:val="0"/>
                  <w:divBdr>
                    <w:top w:val="none" w:sz="0" w:space="0" w:color="auto"/>
                    <w:left w:val="none" w:sz="0" w:space="0" w:color="auto"/>
                    <w:bottom w:val="none" w:sz="0" w:space="0" w:color="auto"/>
                    <w:right w:val="none" w:sz="0" w:space="0" w:color="auto"/>
                  </w:divBdr>
                  <w:divsChild>
                    <w:div w:id="505948626">
                      <w:marLeft w:val="0"/>
                      <w:marRight w:val="0"/>
                      <w:marTop w:val="0"/>
                      <w:marBottom w:val="0"/>
                      <w:divBdr>
                        <w:top w:val="none" w:sz="0" w:space="0" w:color="auto"/>
                        <w:left w:val="none" w:sz="0" w:space="0" w:color="auto"/>
                        <w:bottom w:val="none" w:sz="0" w:space="0" w:color="auto"/>
                        <w:right w:val="none" w:sz="0" w:space="0" w:color="auto"/>
                      </w:divBdr>
                      <w:divsChild>
                        <w:div w:id="527252852">
                          <w:marLeft w:val="0"/>
                          <w:marRight w:val="0"/>
                          <w:marTop w:val="0"/>
                          <w:marBottom w:val="0"/>
                          <w:divBdr>
                            <w:top w:val="none" w:sz="0" w:space="0" w:color="auto"/>
                            <w:left w:val="none" w:sz="0" w:space="0" w:color="auto"/>
                            <w:bottom w:val="none" w:sz="0" w:space="0" w:color="auto"/>
                            <w:right w:val="none" w:sz="0" w:space="0" w:color="auto"/>
                          </w:divBdr>
                          <w:divsChild>
                            <w:div w:id="850876917">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2254">
      <w:bodyDiv w:val="1"/>
      <w:marLeft w:val="0"/>
      <w:marRight w:val="0"/>
      <w:marTop w:val="0"/>
      <w:marBottom w:val="0"/>
      <w:divBdr>
        <w:top w:val="none" w:sz="0" w:space="0" w:color="auto"/>
        <w:left w:val="none" w:sz="0" w:space="0" w:color="auto"/>
        <w:bottom w:val="none" w:sz="0" w:space="0" w:color="auto"/>
        <w:right w:val="none" w:sz="0" w:space="0" w:color="auto"/>
      </w:divBdr>
    </w:div>
    <w:div w:id="1132594631">
      <w:bodyDiv w:val="1"/>
      <w:marLeft w:val="0"/>
      <w:marRight w:val="0"/>
      <w:marTop w:val="0"/>
      <w:marBottom w:val="0"/>
      <w:divBdr>
        <w:top w:val="none" w:sz="0" w:space="0" w:color="auto"/>
        <w:left w:val="none" w:sz="0" w:space="0" w:color="auto"/>
        <w:bottom w:val="none" w:sz="0" w:space="0" w:color="auto"/>
        <w:right w:val="none" w:sz="0" w:space="0" w:color="auto"/>
      </w:divBdr>
    </w:div>
    <w:div w:id="1336034796">
      <w:bodyDiv w:val="1"/>
      <w:marLeft w:val="0"/>
      <w:marRight w:val="0"/>
      <w:marTop w:val="0"/>
      <w:marBottom w:val="0"/>
      <w:divBdr>
        <w:top w:val="none" w:sz="0" w:space="0" w:color="auto"/>
        <w:left w:val="none" w:sz="0" w:space="0" w:color="auto"/>
        <w:bottom w:val="none" w:sz="0" w:space="0" w:color="auto"/>
        <w:right w:val="none" w:sz="0" w:space="0" w:color="auto"/>
      </w:divBdr>
    </w:div>
    <w:div w:id="1575237525">
      <w:bodyDiv w:val="1"/>
      <w:marLeft w:val="0"/>
      <w:marRight w:val="0"/>
      <w:marTop w:val="0"/>
      <w:marBottom w:val="0"/>
      <w:divBdr>
        <w:top w:val="none" w:sz="0" w:space="0" w:color="auto"/>
        <w:left w:val="none" w:sz="0" w:space="0" w:color="auto"/>
        <w:bottom w:val="none" w:sz="0" w:space="0" w:color="auto"/>
        <w:right w:val="none" w:sz="0" w:space="0" w:color="auto"/>
      </w:divBdr>
    </w:div>
    <w:div w:id="1602879855">
      <w:bodyDiv w:val="1"/>
      <w:marLeft w:val="0"/>
      <w:marRight w:val="0"/>
      <w:marTop w:val="0"/>
      <w:marBottom w:val="0"/>
      <w:divBdr>
        <w:top w:val="none" w:sz="0" w:space="0" w:color="auto"/>
        <w:left w:val="none" w:sz="0" w:space="0" w:color="auto"/>
        <w:bottom w:val="none" w:sz="0" w:space="0" w:color="auto"/>
        <w:right w:val="none" w:sz="0" w:space="0" w:color="auto"/>
      </w:divBdr>
    </w:div>
    <w:div w:id="1664504667">
      <w:bodyDiv w:val="1"/>
      <w:marLeft w:val="0"/>
      <w:marRight w:val="0"/>
      <w:marTop w:val="0"/>
      <w:marBottom w:val="0"/>
      <w:divBdr>
        <w:top w:val="none" w:sz="0" w:space="0" w:color="auto"/>
        <w:left w:val="none" w:sz="0" w:space="0" w:color="auto"/>
        <w:bottom w:val="none" w:sz="0" w:space="0" w:color="auto"/>
        <w:right w:val="none" w:sz="0" w:space="0" w:color="auto"/>
      </w:divBdr>
    </w:div>
    <w:div w:id="1763185292">
      <w:bodyDiv w:val="1"/>
      <w:marLeft w:val="0"/>
      <w:marRight w:val="0"/>
      <w:marTop w:val="0"/>
      <w:marBottom w:val="0"/>
      <w:divBdr>
        <w:top w:val="none" w:sz="0" w:space="0" w:color="auto"/>
        <w:left w:val="none" w:sz="0" w:space="0" w:color="auto"/>
        <w:bottom w:val="none" w:sz="0" w:space="0" w:color="auto"/>
        <w:right w:val="none" w:sz="0" w:space="0" w:color="auto"/>
      </w:divBdr>
    </w:div>
    <w:div w:id="1938292989">
      <w:bodyDiv w:val="1"/>
      <w:marLeft w:val="0"/>
      <w:marRight w:val="0"/>
      <w:marTop w:val="0"/>
      <w:marBottom w:val="0"/>
      <w:divBdr>
        <w:top w:val="none" w:sz="0" w:space="0" w:color="auto"/>
        <w:left w:val="none" w:sz="0" w:space="0" w:color="auto"/>
        <w:bottom w:val="none" w:sz="0" w:space="0" w:color="auto"/>
        <w:right w:val="none" w:sz="0" w:space="0" w:color="auto"/>
      </w:divBdr>
    </w:div>
    <w:div w:id="1998923348">
      <w:bodyDiv w:val="1"/>
      <w:marLeft w:val="0"/>
      <w:marRight w:val="0"/>
      <w:marTop w:val="0"/>
      <w:marBottom w:val="0"/>
      <w:divBdr>
        <w:top w:val="none" w:sz="0" w:space="0" w:color="auto"/>
        <w:left w:val="none" w:sz="0" w:space="0" w:color="auto"/>
        <w:bottom w:val="none" w:sz="0" w:space="0" w:color="auto"/>
        <w:right w:val="none" w:sz="0" w:space="0" w:color="auto"/>
      </w:divBdr>
    </w:div>
    <w:div w:id="205419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0B3E6-079D-4F69-91F8-24F94B88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172</Words>
  <Characters>987</Characters>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2020-09-15T04:31:00Z</cp:lastPrinted>
  <dcterms:created xsi:type="dcterms:W3CDTF">2023-05-25T07:43:00Z</dcterms:created>
  <dcterms:modified xsi:type="dcterms:W3CDTF">2025-11-18T07:04:00Z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