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CA01" w14:textId="77777777" w:rsidR="00AA76D0" w:rsidRDefault="007926D9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600032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浙江新能</w:t>
      </w:r>
    </w:p>
    <w:p w14:paraId="0CD36A00" w14:textId="77777777" w:rsidR="00AA76D0" w:rsidRDefault="007926D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浙江省新能源投资集团股份有限公司</w:t>
      </w:r>
    </w:p>
    <w:p w14:paraId="2596291D" w14:textId="77777777" w:rsidR="00AA76D0" w:rsidRDefault="007926D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0CB41056" w14:textId="77777777" w:rsidR="00AA76D0" w:rsidRDefault="00AA76D0">
      <w:pPr>
        <w:jc w:val="center"/>
        <w:rPr>
          <w:rFonts w:ascii="黑体" w:eastAsia="黑体" w:hAnsi="黑体"/>
          <w:sz w:val="24"/>
          <w:szCs w:val="24"/>
        </w:rPr>
      </w:pPr>
    </w:p>
    <w:p w14:paraId="72E35BB3" w14:textId="77777777" w:rsidR="00AA76D0" w:rsidRDefault="007926D9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Pr="00405080">
        <w:rPr>
          <w:rFonts w:ascii="宋体" w:hAnsi="宋体"/>
          <w:bCs/>
          <w:iCs/>
          <w:color w:val="000000"/>
          <w:sz w:val="24"/>
        </w:rPr>
        <w:t>6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AA76D0" w14:paraId="21B6CF43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1741E588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</w:tcPr>
          <w:p w14:paraId="66FB68E6" w14:textId="77777777" w:rsidR="00AA76D0" w:rsidRDefault="007926D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特定对象调研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55F421C9" w14:textId="77777777" w:rsidR="00AA76D0" w:rsidRDefault="007926D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媒体采访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11C0FAE2" w14:textId="77777777" w:rsidR="00AA76D0" w:rsidRDefault="007926D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新闻发布会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560F3D7D" w14:textId="77777777" w:rsidR="00AA76D0" w:rsidRDefault="007926D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现场参观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其他（电话调研）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AA76D0" w14:paraId="75B3330F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C42F554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FCA79E5" w14:textId="77777777" w:rsidR="00AA76D0" w:rsidRDefault="007926D9">
            <w:pPr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bCs/>
                <w:iCs/>
                <w:sz w:val="24"/>
              </w:rPr>
              <w:t>通过上</w:t>
            </w:r>
            <w:proofErr w:type="gramStart"/>
            <w:r>
              <w:rPr>
                <w:bCs/>
                <w:iCs/>
                <w:sz w:val="24"/>
              </w:rPr>
              <w:t>证路演中心</w:t>
            </w:r>
            <w:proofErr w:type="gramEnd"/>
            <w:r>
              <w:rPr>
                <w:bCs/>
                <w:iCs/>
                <w:sz w:val="24"/>
              </w:rPr>
              <w:t>网站参与公司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年第三季度</w:t>
            </w:r>
            <w:r>
              <w:rPr>
                <w:rFonts w:hint="eastAsia"/>
                <w:bCs/>
                <w:iCs/>
                <w:sz w:val="24"/>
              </w:rPr>
              <w:t>业绩说明会</w:t>
            </w:r>
            <w:r>
              <w:rPr>
                <w:bCs/>
                <w:iCs/>
                <w:sz w:val="24"/>
              </w:rPr>
              <w:t>的投资者</w:t>
            </w:r>
          </w:p>
        </w:tc>
      </w:tr>
      <w:tr w:rsidR="00AA76D0" w14:paraId="7ECC10E0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7D39F190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2F5124E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浙江新能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年第三季度业绩说明会</w:t>
            </w:r>
          </w:p>
        </w:tc>
      </w:tr>
      <w:tr w:rsidR="00AA76D0" w14:paraId="6BEBBF5F" w14:textId="77777777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75B059B5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96E6A2C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- 13: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00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-14: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00</w:t>
            </w:r>
          </w:p>
        </w:tc>
      </w:tr>
      <w:tr w:rsidR="00AA76D0" w14:paraId="13B03072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4E1991DA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14:paraId="45FD393A" w14:textId="77777777" w:rsidR="00AA76D0" w:rsidRDefault="007926D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>
                <w:rPr>
                  <w:rStyle w:val="ae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1E894887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AA76D0" w14:paraId="337600AD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93F513D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D1C8A78" w14:textId="77777777" w:rsidR="00AA76D0" w:rsidRDefault="007926D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董事、总经理：陆林海</w:t>
            </w:r>
          </w:p>
          <w:p w14:paraId="0AF8FA5C" w14:textId="77777777" w:rsidR="00AA76D0" w:rsidRDefault="007926D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副总经理、董事会秘书：张利</w:t>
            </w:r>
          </w:p>
          <w:p w14:paraId="0CA949F5" w14:textId="77777777" w:rsidR="00AA76D0" w:rsidRDefault="007926D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财务负责人：杨立平</w:t>
            </w:r>
          </w:p>
          <w:p w14:paraId="5586E7C3" w14:textId="77777777" w:rsidR="00AA76D0" w:rsidRDefault="007926D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独立董事：张国昀</w:t>
            </w:r>
          </w:p>
        </w:tc>
      </w:tr>
      <w:tr w:rsidR="00AA76D0" w14:paraId="6E5E56FD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5104C8B6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3F94BC1E" w14:textId="77777777" w:rsidR="00AA76D0" w:rsidRDefault="007926D9">
            <w:pPr>
              <w:spacing w:beforeLines="50" w:before="156"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10F1C628" w14:textId="77777777" w:rsidR="00AA76D0" w:rsidRDefault="007926D9">
            <w:pPr>
              <w:spacing w:line="56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、请问公司今年在研发创新方面取得了哪些新突破？</w:t>
            </w:r>
          </w:p>
          <w:p w14:paraId="033FF14A" w14:textId="77777777" w:rsidR="00AA76D0" w:rsidRDefault="007926D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</w:t>
            </w:r>
            <w:r>
              <w:rPr>
                <w:rFonts w:ascii="宋体" w:hint="eastAsia"/>
                <w:sz w:val="24"/>
              </w:rPr>
              <w:t>:</w:t>
            </w:r>
            <w:r>
              <w:rPr>
                <w:rFonts w:ascii="宋体" w:hint="eastAsia"/>
                <w:sz w:val="24"/>
              </w:rPr>
              <w:t>尊敬的投资者，您好！公司研发创新项目主要是针对新能源项目在生产运</w:t>
            </w:r>
            <w:proofErr w:type="gramStart"/>
            <w:r>
              <w:rPr>
                <w:rFonts w:ascii="宋体" w:hint="eastAsia"/>
                <w:sz w:val="24"/>
              </w:rPr>
              <w:t>维管理</w:t>
            </w:r>
            <w:proofErr w:type="gramEnd"/>
            <w:r>
              <w:rPr>
                <w:rFonts w:ascii="宋体" w:hint="eastAsia"/>
                <w:sz w:val="24"/>
              </w:rPr>
              <w:t>中的技术突破，</w:t>
            </w:r>
            <w:proofErr w:type="gramStart"/>
            <w:r>
              <w:rPr>
                <w:rFonts w:ascii="宋体" w:hint="eastAsia"/>
                <w:sz w:val="24"/>
              </w:rPr>
              <w:t>聚焦数智</w:t>
            </w:r>
            <w:proofErr w:type="gramEnd"/>
            <w:r>
              <w:rPr>
                <w:rFonts w:ascii="宋体" w:hint="eastAsia"/>
                <w:sz w:val="24"/>
              </w:rPr>
              <w:t>化建设，打造近海风电、陆上</w:t>
            </w:r>
            <w:proofErr w:type="gramStart"/>
            <w:r>
              <w:rPr>
                <w:rFonts w:ascii="宋体" w:hint="eastAsia"/>
                <w:sz w:val="24"/>
              </w:rPr>
              <w:t>风光电</w:t>
            </w:r>
            <w:proofErr w:type="gramEnd"/>
            <w:r>
              <w:rPr>
                <w:rFonts w:ascii="宋体" w:hint="eastAsia"/>
                <w:sz w:val="24"/>
              </w:rPr>
              <w:t>运维一体化平台，智能管控平台建设稳步推进，区域新能源运</w:t>
            </w:r>
            <w:proofErr w:type="gramStart"/>
            <w:r>
              <w:rPr>
                <w:rFonts w:ascii="宋体" w:hint="eastAsia"/>
                <w:sz w:val="24"/>
              </w:rPr>
              <w:t>维模</w:t>
            </w:r>
            <w:proofErr w:type="gramEnd"/>
            <w:r>
              <w:rPr>
                <w:rFonts w:ascii="宋体" w:hint="eastAsia"/>
                <w:sz w:val="24"/>
              </w:rPr>
              <w:t>式向“集中化、智能化”转型升级，实现“统一管控、平台赋能、提质增效”，安全生产数字化、科技化赋能水平不断提升。公司已投运多个无人检测系统，通过</w:t>
            </w:r>
            <w:r>
              <w:rPr>
                <w:rFonts w:ascii="宋体" w:hint="eastAsia"/>
                <w:sz w:val="24"/>
              </w:rPr>
              <w:t>AI</w:t>
            </w:r>
            <w:r>
              <w:rPr>
                <w:rFonts w:ascii="宋体" w:hint="eastAsia"/>
                <w:sz w:val="24"/>
              </w:rPr>
              <w:t>智能故障分析，加快</w:t>
            </w:r>
            <w:r>
              <w:rPr>
                <w:rFonts w:ascii="宋体" w:hint="eastAsia"/>
                <w:sz w:val="24"/>
              </w:rPr>
              <w:lastRenderedPageBreak/>
              <w:t>推动</w:t>
            </w:r>
            <w:proofErr w:type="gramStart"/>
            <w:r>
              <w:rPr>
                <w:rFonts w:ascii="宋体" w:hint="eastAsia"/>
                <w:sz w:val="24"/>
              </w:rPr>
              <w:t>数智化现实</w:t>
            </w:r>
            <w:proofErr w:type="gramEnd"/>
            <w:r>
              <w:rPr>
                <w:rFonts w:ascii="宋体" w:hint="eastAsia"/>
                <w:sz w:val="24"/>
              </w:rPr>
              <w:t>场景应用，各项目正按计划稳步推进中。感谢您对公司的关心和支持。</w:t>
            </w:r>
          </w:p>
          <w:p w14:paraId="76D94D61" w14:textId="77777777" w:rsidR="00AA76D0" w:rsidRDefault="007926D9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、</w:t>
            </w:r>
            <w:r>
              <w:rPr>
                <w:rFonts w:ascii="宋体" w:hint="eastAsia"/>
                <w:b/>
                <w:sz w:val="24"/>
              </w:rPr>
              <w:t>面对复杂恶劣的外部环境，公司接下来如何维持相对稳定的业绩增长</w:t>
            </w:r>
            <w:r>
              <w:rPr>
                <w:rFonts w:ascii="宋体"/>
                <w:b/>
                <w:sz w:val="24"/>
              </w:rPr>
              <w:t>？</w:t>
            </w:r>
          </w:p>
          <w:p w14:paraId="2B04EBDD" w14:textId="0C976E5B" w:rsidR="00AA76D0" w:rsidRDefault="007926D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  <w:sz w:val="24"/>
              </w:rPr>
              <w:t>尊敬的投资</w:t>
            </w:r>
            <w:r>
              <w:rPr>
                <w:rFonts w:ascii="宋体" w:hint="eastAsia"/>
                <w:sz w:val="24"/>
              </w:rPr>
              <w:t>者，您好！当前形势下，公司聚焦重点区域和重大项目，深耕省内自主开发，审慎推进省外项目，根据政策变化强化市场风险</w:t>
            </w:r>
            <w:proofErr w:type="gramStart"/>
            <w:r>
              <w:rPr>
                <w:rFonts w:ascii="宋体" w:hint="eastAsia"/>
                <w:sz w:val="24"/>
              </w:rPr>
              <w:t>研</w:t>
            </w:r>
            <w:proofErr w:type="gramEnd"/>
            <w:r>
              <w:rPr>
                <w:rFonts w:ascii="宋体" w:hint="eastAsia"/>
                <w:sz w:val="24"/>
              </w:rPr>
              <w:t>判，把创效益作为核心目标，稳步推进项目开发工作。一</w:t>
            </w:r>
            <w:r>
              <w:rPr>
                <w:rFonts w:ascii="宋体" w:hint="eastAsia"/>
                <w:sz w:val="24"/>
              </w:rPr>
              <w:t>是</w:t>
            </w:r>
            <w:r>
              <w:rPr>
                <w:rFonts w:ascii="宋体" w:hint="eastAsia"/>
                <w:sz w:val="24"/>
              </w:rPr>
              <w:t>聚焦提质增效，提升价值创造水平，全力深化电力市场经营，对政策文件进行</w:t>
            </w:r>
            <w:proofErr w:type="gramStart"/>
            <w:r>
              <w:rPr>
                <w:rFonts w:ascii="宋体" w:hint="eastAsia"/>
                <w:sz w:val="24"/>
              </w:rPr>
              <w:t>研</w:t>
            </w:r>
            <w:proofErr w:type="gramEnd"/>
            <w:r>
              <w:rPr>
                <w:rFonts w:ascii="宋体" w:hint="eastAsia"/>
                <w:sz w:val="24"/>
              </w:rPr>
              <w:t>判与跟踪，灵活制定交易策略，提升抗风险能力；二是聚焦成本控制，强化项目全过程管理，提升精细化管理水平，优化债务结构，降低融资成本，</w:t>
            </w:r>
            <w:proofErr w:type="gramStart"/>
            <w:r>
              <w:rPr>
                <w:rFonts w:ascii="宋体" w:hint="eastAsia"/>
                <w:sz w:val="24"/>
              </w:rPr>
              <w:t>拓宽直融渠道</w:t>
            </w:r>
            <w:proofErr w:type="gramEnd"/>
            <w:r>
              <w:rPr>
                <w:rFonts w:ascii="宋体" w:hint="eastAsia"/>
                <w:sz w:val="24"/>
              </w:rPr>
              <w:t>；三是继续发挥三大产业协同发展、互补优势，优化布局，提升公司整体业绩水平稳定性。感谢您对公司的关心和支持。</w:t>
            </w:r>
          </w:p>
          <w:p w14:paraId="3DB16307" w14:textId="77777777" w:rsidR="00AA76D0" w:rsidRDefault="007926D9">
            <w:pPr>
              <w:spacing w:line="560" w:lineRule="exact"/>
              <w:rPr>
                <w:b/>
              </w:rPr>
            </w:pPr>
            <w:r>
              <w:rPr>
                <w:rFonts w:ascii="宋体"/>
                <w:b/>
                <w:sz w:val="24"/>
              </w:rPr>
              <w:t>3</w:t>
            </w:r>
            <w:r>
              <w:rPr>
                <w:rFonts w:ascii="宋体"/>
                <w:b/>
                <w:sz w:val="24"/>
              </w:rPr>
              <w:t>、</w:t>
            </w:r>
            <w:r>
              <w:rPr>
                <w:rFonts w:ascii="宋体" w:hint="eastAsia"/>
                <w:b/>
                <w:sz w:val="24"/>
              </w:rPr>
              <w:t>请问公司三季度盈利情</w:t>
            </w:r>
            <w:r>
              <w:rPr>
                <w:rFonts w:ascii="宋体" w:hint="eastAsia"/>
                <w:b/>
                <w:sz w:val="24"/>
              </w:rPr>
              <w:t>况如何？</w:t>
            </w:r>
          </w:p>
          <w:p w14:paraId="20ECF64B" w14:textId="28715A06" w:rsidR="00AA76D0" w:rsidRDefault="007926D9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  <w:sz w:val="24"/>
              </w:rPr>
              <w:t>尊敬的投资者，您好！公司</w:t>
            </w:r>
            <w:r>
              <w:rPr>
                <w:rFonts w:ascii="宋体" w:hint="eastAsia"/>
                <w:sz w:val="24"/>
              </w:rPr>
              <w:t>2025</w:t>
            </w:r>
            <w:r>
              <w:rPr>
                <w:rFonts w:ascii="宋体" w:hint="eastAsia"/>
                <w:sz w:val="24"/>
              </w:rPr>
              <w:t>年第三季度实现营业收入</w:t>
            </w:r>
            <w:r>
              <w:rPr>
                <w:rFonts w:ascii="宋体" w:hint="eastAsia"/>
                <w:sz w:val="24"/>
              </w:rPr>
              <w:t>14.00</w:t>
            </w:r>
            <w:r>
              <w:rPr>
                <w:rFonts w:ascii="宋体" w:hint="eastAsia"/>
                <w:sz w:val="24"/>
              </w:rPr>
              <w:t>亿元，同比增长</w:t>
            </w:r>
            <w:r>
              <w:rPr>
                <w:rFonts w:ascii="宋体" w:hint="eastAsia"/>
                <w:sz w:val="24"/>
              </w:rPr>
              <w:t>5.99%</w:t>
            </w:r>
            <w:r>
              <w:rPr>
                <w:rFonts w:ascii="宋体" w:hint="eastAsia"/>
                <w:sz w:val="24"/>
              </w:rPr>
              <w:t>，实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现利润总额</w:t>
            </w:r>
            <w:r>
              <w:rPr>
                <w:rFonts w:ascii="宋体" w:hint="eastAsia"/>
                <w:sz w:val="24"/>
              </w:rPr>
              <w:t>5.96</w:t>
            </w:r>
            <w:r>
              <w:rPr>
                <w:rFonts w:ascii="宋体" w:hint="eastAsia"/>
                <w:sz w:val="24"/>
              </w:rPr>
              <w:t>亿元，同比增长</w:t>
            </w:r>
            <w:r>
              <w:rPr>
                <w:rFonts w:ascii="宋体" w:hint="eastAsia"/>
                <w:sz w:val="24"/>
              </w:rPr>
              <w:t>66.14%</w:t>
            </w:r>
            <w:r>
              <w:rPr>
                <w:rFonts w:ascii="宋体" w:hint="eastAsia"/>
                <w:sz w:val="24"/>
              </w:rPr>
              <w:t>，归属于上市公司股东净利润</w:t>
            </w:r>
            <w:r>
              <w:rPr>
                <w:rFonts w:ascii="宋体" w:hint="eastAsia"/>
                <w:sz w:val="24"/>
              </w:rPr>
              <w:t>3.22</w:t>
            </w:r>
            <w:r>
              <w:rPr>
                <w:rFonts w:ascii="宋体" w:hint="eastAsia"/>
                <w:sz w:val="24"/>
              </w:rPr>
              <w:t>亿元，同比增长</w:t>
            </w:r>
            <w:r>
              <w:rPr>
                <w:rFonts w:ascii="宋体" w:hint="eastAsia"/>
                <w:sz w:val="24"/>
              </w:rPr>
              <w:t>62.89%</w:t>
            </w:r>
            <w:r>
              <w:rPr>
                <w:rFonts w:ascii="宋体" w:hint="eastAsia"/>
                <w:sz w:val="24"/>
              </w:rPr>
              <w:t>，其他具体情况请您</w:t>
            </w:r>
            <w:r>
              <w:rPr>
                <w:rFonts w:ascii="宋体" w:hint="eastAsia"/>
                <w:sz w:val="24"/>
              </w:rPr>
              <w:t>查阅</w:t>
            </w:r>
            <w:r>
              <w:rPr>
                <w:rFonts w:ascii="宋体" w:hint="eastAsia"/>
                <w:sz w:val="24"/>
              </w:rPr>
              <w:t>公司</w:t>
            </w:r>
            <w:r>
              <w:rPr>
                <w:rFonts w:ascii="宋体" w:hint="eastAsia"/>
                <w:sz w:val="24"/>
              </w:rPr>
              <w:t>2025</w:t>
            </w:r>
            <w:r>
              <w:rPr>
                <w:rFonts w:ascii="宋体" w:hint="eastAsia"/>
                <w:sz w:val="24"/>
              </w:rPr>
              <w:t>年三季度报告。感谢您对公司的关心和支持。</w:t>
            </w:r>
          </w:p>
          <w:p w14:paraId="1CBF34EE" w14:textId="77777777" w:rsidR="00AA76D0" w:rsidRDefault="00AA76D0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AA76D0" w14:paraId="4CE2125D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019762AC" w14:textId="77777777" w:rsidR="00AA76D0" w:rsidRDefault="007926D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7B1038D" w14:textId="77777777" w:rsidR="00AA76D0" w:rsidRDefault="007926D9">
            <w:pPr>
              <w:spacing w:beforeLines="50" w:before="156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AA76D0" w14:paraId="0CB705AD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793B6B0E" w14:textId="77777777" w:rsidR="00AA76D0" w:rsidRDefault="007926D9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786E2C8" w14:textId="77777777" w:rsidR="00AA76D0" w:rsidRDefault="007926D9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AA76D0" w14:paraId="028CD284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219FC01A" w14:textId="77777777" w:rsidR="00AA76D0" w:rsidRDefault="007926D9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8997792" w14:textId="77777777" w:rsidR="00AA76D0" w:rsidRDefault="007926D9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19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01DEBDAB" w14:textId="77777777" w:rsidR="00AA76D0" w:rsidRDefault="00AA76D0"/>
    <w:sectPr w:rsidR="00AA76D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16B6A" w14:textId="77777777" w:rsidR="007926D9" w:rsidRDefault="007926D9">
      <w:r>
        <w:separator/>
      </w:r>
    </w:p>
  </w:endnote>
  <w:endnote w:type="continuationSeparator" w:id="0">
    <w:p w14:paraId="21AAD44A" w14:textId="77777777" w:rsidR="007926D9" w:rsidRDefault="0079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5BBB2" w14:textId="77777777" w:rsidR="007926D9" w:rsidRDefault="007926D9">
      <w:r>
        <w:separator/>
      </w:r>
    </w:p>
  </w:footnote>
  <w:footnote w:type="continuationSeparator" w:id="0">
    <w:p w14:paraId="21B1A884" w14:textId="77777777" w:rsidR="007926D9" w:rsidRDefault="0079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B175" w14:textId="77777777" w:rsidR="00AA76D0" w:rsidRDefault="007926D9">
    <w:pPr>
      <w:pStyle w:val="a9"/>
      <w:tabs>
        <w:tab w:val="clear" w:pos="4153"/>
      </w:tabs>
      <w:jc w:val="right"/>
    </w:pPr>
    <w:r>
      <w:rPr>
        <w:rFonts w:hint="eastAsia"/>
      </w:rPr>
      <w:t>浙江省新能源投资集团股份有限公司投资者关系活动记录表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7A4AA7"/>
    <w:rsid w:val="00041141"/>
    <w:rsid w:val="000D5894"/>
    <w:rsid w:val="000D6995"/>
    <w:rsid w:val="001106E0"/>
    <w:rsid w:val="00111209"/>
    <w:rsid w:val="00144FE7"/>
    <w:rsid w:val="001A6EE2"/>
    <w:rsid w:val="001B5130"/>
    <w:rsid w:val="001B7E5D"/>
    <w:rsid w:val="001D58B3"/>
    <w:rsid w:val="002E5A81"/>
    <w:rsid w:val="00312015"/>
    <w:rsid w:val="00330E24"/>
    <w:rsid w:val="003C1510"/>
    <w:rsid w:val="003C7879"/>
    <w:rsid w:val="00405080"/>
    <w:rsid w:val="0041513C"/>
    <w:rsid w:val="00492688"/>
    <w:rsid w:val="00507B0B"/>
    <w:rsid w:val="00520763"/>
    <w:rsid w:val="005219AE"/>
    <w:rsid w:val="005703EB"/>
    <w:rsid w:val="005A5B7B"/>
    <w:rsid w:val="005B2B5E"/>
    <w:rsid w:val="005C1B9A"/>
    <w:rsid w:val="006060BC"/>
    <w:rsid w:val="0064091E"/>
    <w:rsid w:val="00654A79"/>
    <w:rsid w:val="00665C76"/>
    <w:rsid w:val="006B6230"/>
    <w:rsid w:val="007926D9"/>
    <w:rsid w:val="007A4AA7"/>
    <w:rsid w:val="00825047"/>
    <w:rsid w:val="00846C35"/>
    <w:rsid w:val="00887F7F"/>
    <w:rsid w:val="0094472F"/>
    <w:rsid w:val="009C0A93"/>
    <w:rsid w:val="00A36022"/>
    <w:rsid w:val="00A361BC"/>
    <w:rsid w:val="00AA76D0"/>
    <w:rsid w:val="00B60E86"/>
    <w:rsid w:val="00B75B2E"/>
    <w:rsid w:val="00C05BD1"/>
    <w:rsid w:val="00CA42B8"/>
    <w:rsid w:val="00D23A6D"/>
    <w:rsid w:val="00DF593C"/>
    <w:rsid w:val="00E168E2"/>
    <w:rsid w:val="00F34730"/>
    <w:rsid w:val="00F660A5"/>
    <w:rsid w:val="00F849CD"/>
    <w:rsid w:val="00FA08DB"/>
    <w:rsid w:val="00FA2CFA"/>
    <w:rsid w:val="1CB2496B"/>
    <w:rsid w:val="48FA476F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F0A100-2F98-4B46-9BA3-69D1DB30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basedOn w:val="a0"/>
    <w:rPr>
      <w:color w:val="800080" w:themeColor="followedHyperlink"/>
      <w:u w:val="single"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2</cp:revision>
  <cp:lastPrinted>2025-09-18T07:53:00Z</cp:lastPrinted>
  <dcterms:created xsi:type="dcterms:W3CDTF">2025-11-19T07:07:00Z</dcterms:created>
  <dcterms:modified xsi:type="dcterms:W3CDTF">2025-11-19T07:07:00Z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eyJoZGlkIjoiYzg2MGRmNGE5NGVjZWExN2Y0YmVkNzdjNzkwZjA4ZWMiLCJ1c2VySWQiOiI3MTkzMzM2NTYifQ==</vt:lpwstr>
  </property>
</Properties>
</file>