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B402C">
      <w:pPr>
        <w:spacing w:line="360" w:lineRule="auto"/>
        <w:jc w:val="center"/>
        <w:rPr>
          <w:rFonts w:hint="eastAsia" w:ascii="宋体" w:hAnsi="宋体" w:cs="宋体"/>
          <w:b/>
          <w:iCs/>
          <w:color w:val="000000"/>
          <w:sz w:val="44"/>
          <w:szCs w:val="44"/>
        </w:rPr>
      </w:pPr>
      <w:r>
        <w:rPr>
          <w:rFonts w:hint="eastAsia" w:ascii="宋体" w:hAnsi="宋体" w:cs="宋体"/>
          <w:b/>
          <w:iCs/>
          <w:color w:val="000000"/>
          <w:sz w:val="44"/>
          <w:szCs w:val="44"/>
        </w:rPr>
        <w:t>北京福元医药股份有限公司</w:t>
      </w:r>
    </w:p>
    <w:p w14:paraId="5BF120C7">
      <w:pPr>
        <w:spacing w:line="360" w:lineRule="auto"/>
        <w:jc w:val="center"/>
        <w:rPr>
          <w:rFonts w:hint="eastAsia" w:ascii="宋体" w:hAnsi="宋体" w:cs="宋体"/>
          <w:b/>
          <w:iCs/>
          <w:color w:val="000000"/>
          <w:sz w:val="44"/>
          <w:szCs w:val="44"/>
        </w:rPr>
      </w:pPr>
      <w:r>
        <w:rPr>
          <w:rFonts w:hint="eastAsia" w:ascii="宋体" w:hAnsi="宋体" w:cs="宋体"/>
          <w:b/>
          <w:iCs/>
          <w:color w:val="000000"/>
          <w:sz w:val="44"/>
          <w:szCs w:val="44"/>
        </w:rPr>
        <w:t>投资者关系活动记录表</w:t>
      </w:r>
    </w:p>
    <w:p w14:paraId="4C836190">
      <w:pPr>
        <w:spacing w:line="360" w:lineRule="auto"/>
        <w:jc w:val="right"/>
        <w:rPr>
          <w:rFonts w:hint="eastAsia" w:ascii="宋体" w:hAnsi="宋体" w:cs="宋体"/>
          <w:bCs/>
          <w:iCs/>
          <w:color w:val="000000"/>
          <w:sz w:val="28"/>
          <w:szCs w:val="28"/>
        </w:rPr>
      </w:pPr>
      <w:r>
        <w:rPr>
          <w:rFonts w:hint="eastAsia" w:ascii="宋体" w:hAnsi="宋体" w:cs="宋体"/>
          <w:bCs/>
          <w:iCs/>
          <w:color w:val="000000"/>
          <w:sz w:val="28"/>
          <w:szCs w:val="28"/>
        </w:rPr>
        <w:t>编号：2</w:t>
      </w:r>
      <w:r>
        <w:rPr>
          <w:rFonts w:ascii="宋体" w:hAnsi="宋体" w:cs="宋体"/>
          <w:bCs/>
          <w:iCs/>
          <w:color w:val="000000"/>
          <w:sz w:val="28"/>
          <w:szCs w:val="28"/>
        </w:rPr>
        <w:t>025-1</w:t>
      </w:r>
      <w:r>
        <w:rPr>
          <w:rFonts w:hint="eastAsia" w:ascii="宋体" w:hAnsi="宋体" w:cs="宋体"/>
          <w:bCs/>
          <w:iCs/>
          <w:color w:val="000000"/>
          <w:sz w:val="28"/>
          <w:szCs w:val="28"/>
        </w:rPr>
        <w:t>8</w:t>
      </w:r>
    </w:p>
    <w:tbl>
      <w:tblPr>
        <w:tblStyle w:val="9"/>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6782"/>
      </w:tblGrid>
      <w:tr w14:paraId="16F9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6742A109">
            <w:pPr>
              <w:rPr>
                <w:rFonts w:hint="eastAsia" w:ascii="宋体" w:hAnsi="宋体" w:cs="宋体"/>
                <w:bCs/>
                <w:iCs/>
                <w:color w:val="000000"/>
                <w:sz w:val="24"/>
                <w:szCs w:val="24"/>
              </w:rPr>
            </w:pPr>
            <w:r>
              <w:rPr>
                <w:rFonts w:hint="eastAsia" w:ascii="宋体" w:hAnsi="宋体" w:cs="宋体"/>
                <w:bCs/>
                <w:iCs/>
                <w:color w:val="000000"/>
                <w:sz w:val="24"/>
                <w:szCs w:val="24"/>
              </w:rPr>
              <w:t>投资者关系活动类别</w:t>
            </w:r>
          </w:p>
          <w:p w14:paraId="0228BA4E">
            <w:pPr>
              <w:rPr>
                <w:rFonts w:hint="eastAsia" w:ascii="宋体" w:hAnsi="宋体" w:cs="宋体"/>
                <w:bCs/>
                <w:iCs/>
                <w:color w:val="000000"/>
                <w:sz w:val="24"/>
                <w:szCs w:val="24"/>
              </w:rPr>
            </w:pPr>
          </w:p>
        </w:tc>
        <w:tc>
          <w:tcPr>
            <w:tcW w:w="6782" w:type="dxa"/>
            <w:tcBorders>
              <w:top w:val="single" w:color="auto" w:sz="4" w:space="0"/>
              <w:left w:val="single" w:color="auto" w:sz="4" w:space="0"/>
              <w:bottom w:val="single" w:color="auto" w:sz="4" w:space="0"/>
              <w:right w:val="single" w:color="auto" w:sz="4" w:space="0"/>
            </w:tcBorders>
            <w:vAlign w:val="center"/>
          </w:tcPr>
          <w:p w14:paraId="6F7FE241">
            <w:pPr>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特定对象调研        </w:t>
            </w:r>
            <w:r>
              <w:rPr>
                <w:rFonts w:hint="eastAsia" w:ascii="宋体" w:hAnsi="宋体" w:cs="宋体"/>
                <w:bCs/>
                <w:iCs/>
                <w:color w:val="000000"/>
                <w:sz w:val="24"/>
                <w:szCs w:val="24"/>
              </w:rPr>
              <w:sym w:font="Wingdings 2" w:char="00A3"/>
            </w:r>
            <w:r>
              <w:rPr>
                <w:rFonts w:hint="eastAsia" w:ascii="宋体" w:hAnsi="宋体" w:cs="宋体"/>
                <w:color w:val="000000"/>
                <w:sz w:val="24"/>
                <w:szCs w:val="24"/>
              </w:rPr>
              <w:t>分析师会议</w:t>
            </w:r>
          </w:p>
          <w:p w14:paraId="1817BFFE">
            <w:pPr>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媒体采访            </w:t>
            </w:r>
            <w:r>
              <w:rPr>
                <w:rFonts w:hint="eastAsia" w:ascii="宋体" w:hAnsi="宋体" w:cs="宋体"/>
                <w:bCs/>
                <w:iCs/>
                <w:color w:val="000000"/>
                <w:sz w:val="24"/>
                <w:szCs w:val="24"/>
              </w:rPr>
              <w:sym w:font="Wingdings 2" w:char="00A3"/>
            </w:r>
            <w:r>
              <w:rPr>
                <w:rFonts w:hint="eastAsia" w:ascii="宋体" w:hAnsi="宋体" w:cs="宋体"/>
                <w:color w:val="000000"/>
                <w:sz w:val="24"/>
                <w:szCs w:val="24"/>
              </w:rPr>
              <w:t>业绩说明会</w:t>
            </w:r>
          </w:p>
          <w:p w14:paraId="622D3EB9">
            <w:pPr>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新闻发布会          </w:t>
            </w:r>
            <w:r>
              <w:rPr>
                <w:rFonts w:hint="eastAsia" w:ascii="宋体" w:hAnsi="宋体" w:cs="宋体"/>
                <w:bCs/>
                <w:iCs/>
                <w:color w:val="000000"/>
                <w:sz w:val="24"/>
                <w:szCs w:val="24"/>
              </w:rPr>
              <w:t>□</w:t>
            </w:r>
            <w:r>
              <w:rPr>
                <w:rFonts w:hint="eastAsia" w:ascii="宋体" w:hAnsi="宋体" w:cs="宋体"/>
                <w:color w:val="000000"/>
                <w:sz w:val="24"/>
                <w:szCs w:val="24"/>
              </w:rPr>
              <w:t>路演活动</w:t>
            </w:r>
          </w:p>
          <w:p w14:paraId="7CCC3C09">
            <w:pPr>
              <w:tabs>
                <w:tab w:val="left" w:pos="3045"/>
                <w:tab w:val="center" w:pos="3199"/>
              </w:tabs>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现场参观</w:t>
            </w:r>
            <w:r>
              <w:rPr>
                <w:rFonts w:hint="eastAsia" w:ascii="宋体" w:hAnsi="宋体" w:cs="宋体"/>
                <w:bCs/>
                <w:iCs/>
                <w:color w:val="000000"/>
                <w:sz w:val="24"/>
                <w:szCs w:val="24"/>
              </w:rPr>
              <w:tab/>
            </w:r>
          </w:p>
          <w:p w14:paraId="422816A3">
            <w:pPr>
              <w:tabs>
                <w:tab w:val="center" w:pos="3199"/>
              </w:tabs>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其他（</w:t>
            </w:r>
            <w:r>
              <w:rPr>
                <w:rFonts w:hint="eastAsia" w:ascii="宋体" w:hAnsi="宋体" w:cs="宋体"/>
                <w:color w:val="000000"/>
                <w:sz w:val="24"/>
                <w:szCs w:val="24"/>
                <w:u w:val="single"/>
              </w:rPr>
              <w:t>请文字说明其他活动内容）</w:t>
            </w:r>
          </w:p>
        </w:tc>
      </w:tr>
      <w:tr w14:paraId="50D5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2149" w:type="dxa"/>
            <w:tcBorders>
              <w:top w:val="single" w:color="auto" w:sz="4" w:space="0"/>
              <w:left w:val="single" w:color="auto" w:sz="4" w:space="0"/>
              <w:bottom w:val="single" w:color="auto" w:sz="4" w:space="0"/>
              <w:right w:val="single" w:color="auto" w:sz="4" w:space="0"/>
            </w:tcBorders>
            <w:vAlign w:val="center"/>
          </w:tcPr>
          <w:p w14:paraId="72D84765">
            <w:pPr>
              <w:rPr>
                <w:rFonts w:hint="eastAsia" w:ascii="宋体" w:hAnsi="宋体" w:cs="宋体"/>
                <w:bCs/>
                <w:iCs/>
                <w:color w:val="000000"/>
                <w:sz w:val="24"/>
                <w:szCs w:val="24"/>
              </w:rPr>
            </w:pPr>
            <w:r>
              <w:rPr>
                <w:rFonts w:hint="eastAsia" w:ascii="宋体" w:hAnsi="宋体" w:cs="宋体"/>
                <w:bCs/>
                <w:iCs/>
                <w:color w:val="000000"/>
                <w:sz w:val="24"/>
                <w:szCs w:val="24"/>
              </w:rPr>
              <w:t>参与单位名称及人员姓名</w:t>
            </w:r>
          </w:p>
        </w:tc>
        <w:tc>
          <w:tcPr>
            <w:tcW w:w="6782" w:type="dxa"/>
            <w:tcBorders>
              <w:top w:val="single" w:color="auto" w:sz="4" w:space="0"/>
              <w:left w:val="single" w:color="auto" w:sz="4" w:space="0"/>
              <w:bottom w:val="single" w:color="auto" w:sz="4" w:space="0"/>
              <w:right w:val="single" w:color="auto" w:sz="4" w:space="0"/>
            </w:tcBorders>
            <w:vAlign w:val="center"/>
          </w:tcPr>
          <w:p w14:paraId="3A719D5D">
            <w:pPr>
              <w:rPr>
                <w:rFonts w:hint="eastAsia" w:ascii="宋体" w:hAnsi="宋体" w:cs="宋体"/>
                <w:bCs/>
                <w:iCs/>
                <w:color w:val="000000"/>
                <w:sz w:val="24"/>
                <w:szCs w:val="24"/>
              </w:rPr>
            </w:pPr>
            <w:r>
              <w:rPr>
                <w:rFonts w:hint="eastAsia" w:ascii="宋体" w:hAnsi="宋体" w:cs="宋体"/>
                <w:bCs/>
                <w:iCs/>
                <w:color w:val="000000"/>
                <w:sz w:val="24"/>
                <w:szCs w:val="24"/>
              </w:rPr>
              <w:t>中信证券  彭康 唐嘉奕 盛黎阳   华商基金</w:t>
            </w:r>
            <w:r>
              <w:rPr>
                <w:rFonts w:hint="eastAsia" w:ascii="宋体" w:hAnsi="宋体" w:cs="宋体"/>
                <w:bCs/>
                <w:iCs/>
                <w:color w:val="000000"/>
                <w:sz w:val="24"/>
                <w:szCs w:val="24"/>
                <w:lang w:val="en-US" w:eastAsia="zh-CN"/>
              </w:rPr>
              <w:t xml:space="preserve"> </w:t>
            </w:r>
            <w:r>
              <w:rPr>
                <w:rFonts w:hint="eastAsia" w:ascii="宋体" w:hAnsi="宋体" w:cs="宋体"/>
                <w:bCs/>
                <w:iCs/>
                <w:color w:val="000000"/>
                <w:sz w:val="24"/>
                <w:szCs w:val="24"/>
              </w:rPr>
              <w:t xml:space="preserve"> 李海伟</w:t>
            </w:r>
          </w:p>
          <w:p w14:paraId="0E01B5F0">
            <w:pPr>
              <w:rPr>
                <w:rFonts w:hint="eastAsia" w:ascii="宋体" w:hAnsi="宋体" w:cs="宋体"/>
                <w:bCs/>
                <w:iCs/>
                <w:color w:val="000000"/>
                <w:sz w:val="24"/>
                <w:szCs w:val="24"/>
              </w:rPr>
            </w:pPr>
            <w:r>
              <w:rPr>
                <w:rFonts w:hint="eastAsia" w:ascii="宋体" w:hAnsi="宋体" w:cs="宋体"/>
                <w:bCs/>
                <w:iCs/>
                <w:color w:val="000000"/>
                <w:sz w:val="24"/>
                <w:szCs w:val="24"/>
              </w:rPr>
              <w:t xml:space="preserve">方正证券  李霁阳 茹帅 吕行之   中银基金 </w:t>
            </w:r>
            <w:r>
              <w:rPr>
                <w:rFonts w:hint="eastAsia" w:ascii="宋体" w:hAnsi="宋体" w:cs="宋体"/>
                <w:bCs/>
                <w:iCs/>
                <w:color w:val="000000"/>
                <w:sz w:val="24"/>
                <w:szCs w:val="24"/>
                <w:lang w:val="en-US" w:eastAsia="zh-CN"/>
              </w:rPr>
              <w:t xml:space="preserve"> </w:t>
            </w:r>
            <w:r>
              <w:rPr>
                <w:rFonts w:hint="eastAsia" w:ascii="宋体" w:hAnsi="宋体" w:cs="宋体"/>
                <w:bCs/>
                <w:iCs/>
                <w:color w:val="000000"/>
                <w:sz w:val="24"/>
                <w:szCs w:val="24"/>
              </w:rPr>
              <w:t xml:space="preserve">王方舟   </w:t>
            </w:r>
          </w:p>
          <w:p w14:paraId="36F74432">
            <w:pPr>
              <w:rPr>
                <w:rFonts w:hint="eastAsia" w:ascii="宋体" w:hAnsi="宋体" w:cs="宋体"/>
                <w:bCs/>
                <w:iCs/>
                <w:color w:val="000000"/>
                <w:sz w:val="24"/>
                <w:szCs w:val="24"/>
              </w:rPr>
            </w:pPr>
            <w:r>
              <w:rPr>
                <w:rFonts w:hint="eastAsia" w:ascii="宋体" w:hAnsi="宋体" w:cs="宋体"/>
                <w:bCs/>
                <w:iCs/>
                <w:color w:val="000000"/>
                <w:sz w:val="24"/>
                <w:szCs w:val="24"/>
              </w:rPr>
              <w:t xml:space="preserve">招商基金  李稼存 周雨婷        鹏华基金 </w:t>
            </w:r>
            <w:r>
              <w:rPr>
                <w:rFonts w:hint="eastAsia" w:ascii="宋体" w:hAnsi="宋体" w:cs="宋体"/>
                <w:bCs/>
                <w:iCs/>
                <w:color w:val="000000"/>
                <w:sz w:val="24"/>
                <w:szCs w:val="24"/>
                <w:lang w:val="en-US" w:eastAsia="zh-CN"/>
              </w:rPr>
              <w:t xml:space="preserve"> </w:t>
            </w:r>
            <w:r>
              <w:rPr>
                <w:rFonts w:hint="eastAsia" w:ascii="宋体" w:hAnsi="宋体" w:cs="宋体"/>
                <w:bCs/>
                <w:iCs/>
                <w:color w:val="000000"/>
                <w:sz w:val="24"/>
                <w:szCs w:val="24"/>
              </w:rPr>
              <w:t>王子建 蔡春根</w:t>
            </w:r>
          </w:p>
          <w:p w14:paraId="00DD15D2">
            <w:pPr>
              <w:rPr>
                <w:rFonts w:hint="eastAsia" w:ascii="宋体" w:hAnsi="宋体" w:cs="宋体"/>
                <w:bCs/>
                <w:iCs/>
                <w:color w:val="000000"/>
                <w:sz w:val="24"/>
                <w:szCs w:val="24"/>
              </w:rPr>
            </w:pPr>
            <w:r>
              <w:rPr>
                <w:rFonts w:hint="eastAsia" w:ascii="宋体" w:hAnsi="宋体" w:cs="宋体"/>
                <w:bCs/>
                <w:iCs/>
                <w:color w:val="000000"/>
                <w:sz w:val="24"/>
                <w:szCs w:val="24"/>
              </w:rPr>
              <w:t xml:space="preserve">国联基金  刘柏川               信达澳亚 </w:t>
            </w:r>
            <w:r>
              <w:rPr>
                <w:rFonts w:hint="eastAsia" w:ascii="宋体" w:hAnsi="宋体" w:cs="宋体"/>
                <w:bCs/>
                <w:iCs/>
                <w:color w:val="000000"/>
                <w:sz w:val="24"/>
                <w:szCs w:val="24"/>
                <w:lang w:val="en-US" w:eastAsia="zh-CN"/>
              </w:rPr>
              <w:t xml:space="preserve"> </w:t>
            </w:r>
            <w:r>
              <w:rPr>
                <w:rFonts w:hint="eastAsia" w:ascii="宋体" w:hAnsi="宋体" w:cs="宋体"/>
                <w:bCs/>
                <w:iCs/>
                <w:color w:val="000000"/>
                <w:sz w:val="24"/>
                <w:szCs w:val="24"/>
              </w:rPr>
              <w:t xml:space="preserve">杨柯                    </w:t>
            </w:r>
          </w:p>
          <w:p w14:paraId="2733A4C8">
            <w:pPr>
              <w:rPr>
                <w:rFonts w:hint="eastAsia" w:ascii="宋体" w:hAnsi="宋体" w:cs="宋体"/>
                <w:bCs/>
                <w:iCs/>
                <w:color w:val="000000"/>
                <w:sz w:val="24"/>
                <w:szCs w:val="24"/>
              </w:rPr>
            </w:pPr>
            <w:r>
              <w:rPr>
                <w:rFonts w:hint="eastAsia" w:ascii="宋体" w:hAnsi="宋体" w:cs="宋体"/>
                <w:bCs/>
                <w:iCs/>
                <w:color w:val="000000"/>
                <w:sz w:val="24"/>
                <w:szCs w:val="24"/>
              </w:rPr>
              <w:t xml:space="preserve">兴业基金  解婕                 东吴基金 </w:t>
            </w:r>
            <w:r>
              <w:rPr>
                <w:rFonts w:hint="eastAsia" w:ascii="宋体" w:hAnsi="宋体" w:cs="宋体"/>
                <w:bCs/>
                <w:iCs/>
                <w:color w:val="000000"/>
                <w:sz w:val="24"/>
                <w:szCs w:val="24"/>
                <w:lang w:val="en-US" w:eastAsia="zh-CN"/>
              </w:rPr>
              <w:t xml:space="preserve"> </w:t>
            </w:r>
            <w:r>
              <w:rPr>
                <w:rFonts w:hint="eastAsia" w:ascii="宋体" w:hAnsi="宋体" w:cs="宋体"/>
                <w:bCs/>
                <w:iCs/>
                <w:color w:val="000000"/>
                <w:sz w:val="24"/>
                <w:szCs w:val="24"/>
              </w:rPr>
              <w:t xml:space="preserve">吴佳歆 </w:t>
            </w:r>
          </w:p>
          <w:p w14:paraId="611A6FCD">
            <w:pPr>
              <w:rPr>
                <w:rFonts w:hint="eastAsia" w:ascii="宋体" w:hAnsi="宋体" w:cs="宋体"/>
                <w:bCs/>
                <w:iCs/>
                <w:color w:val="000000"/>
                <w:sz w:val="24"/>
                <w:szCs w:val="24"/>
              </w:rPr>
            </w:pPr>
            <w:r>
              <w:rPr>
                <w:rFonts w:hint="eastAsia" w:ascii="宋体" w:hAnsi="宋体" w:cs="宋体"/>
                <w:bCs/>
                <w:iCs/>
                <w:color w:val="000000"/>
                <w:sz w:val="24"/>
                <w:szCs w:val="24"/>
              </w:rPr>
              <w:t xml:space="preserve">平安资管  林启姜 </w:t>
            </w:r>
          </w:p>
        </w:tc>
      </w:tr>
      <w:tr w14:paraId="0262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28B0EF39">
            <w:pPr>
              <w:rPr>
                <w:rFonts w:hint="eastAsia" w:ascii="宋体" w:hAnsi="宋体" w:cs="宋体"/>
                <w:bCs/>
                <w:iCs/>
                <w:color w:val="000000"/>
                <w:sz w:val="24"/>
                <w:szCs w:val="24"/>
              </w:rPr>
            </w:pPr>
            <w:r>
              <w:rPr>
                <w:rFonts w:hint="eastAsia" w:ascii="宋体" w:hAnsi="宋体" w:cs="宋体"/>
                <w:bCs/>
                <w:iCs/>
                <w:color w:val="000000"/>
                <w:sz w:val="24"/>
                <w:szCs w:val="24"/>
              </w:rPr>
              <w:t>时间</w:t>
            </w:r>
          </w:p>
        </w:tc>
        <w:tc>
          <w:tcPr>
            <w:tcW w:w="6782" w:type="dxa"/>
            <w:tcBorders>
              <w:top w:val="single" w:color="auto" w:sz="4" w:space="0"/>
              <w:left w:val="single" w:color="auto" w:sz="4" w:space="0"/>
              <w:bottom w:val="single" w:color="auto" w:sz="4" w:space="0"/>
              <w:right w:val="single" w:color="auto" w:sz="4" w:space="0"/>
            </w:tcBorders>
            <w:vAlign w:val="center"/>
          </w:tcPr>
          <w:p w14:paraId="26D632AD">
            <w:pPr>
              <w:snapToGrid w:val="0"/>
              <w:rPr>
                <w:rFonts w:hint="eastAsia" w:ascii="宋体" w:hAnsi="宋体" w:cs="宋体"/>
                <w:bCs/>
                <w:iCs/>
                <w:color w:val="000000"/>
                <w:sz w:val="24"/>
                <w:szCs w:val="24"/>
              </w:rPr>
            </w:pPr>
            <w:r>
              <w:rPr>
                <w:rFonts w:hint="eastAsia" w:ascii="宋体" w:hAnsi="宋体" w:cs="宋体"/>
                <w:bCs/>
                <w:iCs/>
                <w:color w:val="000000"/>
                <w:sz w:val="24"/>
                <w:szCs w:val="24"/>
              </w:rPr>
              <w:t>2025年11月19日10:0</w:t>
            </w:r>
            <w:r>
              <w:rPr>
                <w:rFonts w:ascii="宋体" w:hAnsi="宋体" w:cs="宋体"/>
                <w:bCs/>
                <w:iCs/>
                <w:color w:val="000000"/>
                <w:sz w:val="24"/>
                <w:szCs w:val="24"/>
              </w:rPr>
              <w:t>0-1</w:t>
            </w:r>
            <w:r>
              <w:rPr>
                <w:rFonts w:hint="eastAsia" w:ascii="宋体" w:hAnsi="宋体" w:cs="宋体"/>
                <w:bCs/>
                <w:iCs/>
                <w:color w:val="000000"/>
                <w:sz w:val="24"/>
                <w:szCs w:val="24"/>
              </w:rPr>
              <w:t>1:0</w:t>
            </w:r>
            <w:r>
              <w:rPr>
                <w:rFonts w:ascii="宋体" w:hAnsi="宋体" w:cs="宋体"/>
                <w:bCs/>
                <w:iCs/>
                <w:color w:val="000000"/>
                <w:sz w:val="24"/>
                <w:szCs w:val="24"/>
              </w:rPr>
              <w:t>0</w:t>
            </w:r>
          </w:p>
        </w:tc>
      </w:tr>
      <w:tr w14:paraId="2E3A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289BA2E8">
            <w:pPr>
              <w:rPr>
                <w:rFonts w:hint="eastAsia" w:ascii="宋体" w:hAnsi="宋体" w:cs="宋体"/>
                <w:bCs/>
                <w:iCs/>
                <w:color w:val="000000"/>
                <w:sz w:val="24"/>
                <w:szCs w:val="24"/>
              </w:rPr>
            </w:pPr>
            <w:r>
              <w:rPr>
                <w:rFonts w:hint="eastAsia" w:ascii="宋体" w:hAnsi="宋体" w:cs="宋体"/>
                <w:bCs/>
                <w:iCs/>
                <w:color w:val="000000"/>
                <w:sz w:val="24"/>
                <w:szCs w:val="24"/>
              </w:rPr>
              <w:t>地点</w:t>
            </w:r>
          </w:p>
        </w:tc>
        <w:tc>
          <w:tcPr>
            <w:tcW w:w="6782" w:type="dxa"/>
            <w:tcBorders>
              <w:top w:val="single" w:color="auto" w:sz="4" w:space="0"/>
              <w:left w:val="single" w:color="auto" w:sz="4" w:space="0"/>
              <w:bottom w:val="single" w:color="auto" w:sz="4" w:space="0"/>
              <w:right w:val="single" w:color="auto" w:sz="4" w:space="0"/>
            </w:tcBorders>
            <w:vAlign w:val="center"/>
          </w:tcPr>
          <w:p w14:paraId="75C55427">
            <w:pPr>
              <w:rPr>
                <w:rFonts w:hint="eastAsia" w:ascii="宋体" w:hAnsi="宋体" w:cs="宋体"/>
                <w:bCs/>
                <w:iCs/>
                <w:color w:val="000000"/>
                <w:sz w:val="24"/>
                <w:szCs w:val="24"/>
              </w:rPr>
            </w:pPr>
            <w:r>
              <w:rPr>
                <w:rFonts w:hint="eastAsia" w:ascii="宋体" w:hAnsi="宋体" w:cs="宋体"/>
                <w:bCs/>
                <w:iCs/>
                <w:color w:val="000000"/>
                <w:sz w:val="24"/>
                <w:szCs w:val="24"/>
              </w:rPr>
              <w:t>线上会议</w:t>
            </w:r>
          </w:p>
        </w:tc>
      </w:tr>
      <w:tr w14:paraId="4C2D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111BAD12">
            <w:pPr>
              <w:rPr>
                <w:rFonts w:hint="eastAsia" w:ascii="宋体" w:hAnsi="宋体" w:cs="宋体"/>
                <w:bCs/>
                <w:iCs/>
                <w:color w:val="000000"/>
                <w:sz w:val="24"/>
                <w:szCs w:val="24"/>
              </w:rPr>
            </w:pPr>
            <w:r>
              <w:rPr>
                <w:rFonts w:hint="eastAsia" w:ascii="宋体" w:hAnsi="宋体" w:cs="宋体"/>
                <w:bCs/>
                <w:iCs/>
                <w:color w:val="000000"/>
                <w:sz w:val="24"/>
                <w:szCs w:val="24"/>
              </w:rPr>
              <w:t>上市公司接待人员姓名</w:t>
            </w:r>
          </w:p>
        </w:tc>
        <w:tc>
          <w:tcPr>
            <w:tcW w:w="6782" w:type="dxa"/>
            <w:tcBorders>
              <w:top w:val="single" w:color="auto" w:sz="4" w:space="0"/>
              <w:left w:val="single" w:color="auto" w:sz="4" w:space="0"/>
              <w:bottom w:val="single" w:color="auto" w:sz="4" w:space="0"/>
              <w:right w:val="single" w:color="auto" w:sz="4" w:space="0"/>
            </w:tcBorders>
            <w:vAlign w:val="center"/>
          </w:tcPr>
          <w:p w14:paraId="00B74A98">
            <w:pPr>
              <w:rPr>
                <w:rFonts w:hint="eastAsia" w:ascii="宋体" w:hAnsi="宋体" w:cs="宋体"/>
                <w:bCs/>
                <w:iCs/>
                <w:color w:val="000000"/>
                <w:sz w:val="24"/>
                <w:szCs w:val="24"/>
              </w:rPr>
            </w:pPr>
            <w:r>
              <w:rPr>
                <w:rFonts w:hint="eastAsia" w:ascii="宋体" w:hAnsi="宋体" w:cs="宋体"/>
                <w:bCs/>
                <w:iCs/>
                <w:color w:val="000000"/>
                <w:sz w:val="24"/>
                <w:szCs w:val="24"/>
              </w:rPr>
              <w:t>董事会秘书 张莉瑾</w:t>
            </w:r>
          </w:p>
          <w:p w14:paraId="0604D809">
            <w:pPr>
              <w:rPr>
                <w:rFonts w:hint="eastAsia" w:ascii="宋体" w:hAnsi="宋体" w:cs="宋体"/>
                <w:bCs/>
                <w:iCs/>
                <w:color w:val="000000"/>
                <w:sz w:val="24"/>
                <w:szCs w:val="24"/>
              </w:rPr>
            </w:pPr>
            <w:r>
              <w:rPr>
                <w:rFonts w:hint="eastAsia" w:ascii="宋体" w:hAnsi="宋体" w:cs="宋体"/>
                <w:bCs/>
                <w:iCs/>
                <w:color w:val="000000"/>
                <w:sz w:val="24"/>
                <w:szCs w:val="24"/>
              </w:rPr>
              <w:t>药物研究院创新中心总监 王岩</w:t>
            </w:r>
          </w:p>
          <w:p w14:paraId="23E6112C">
            <w:pPr>
              <w:rPr>
                <w:rFonts w:hint="eastAsia" w:ascii="宋体" w:hAnsi="宋体" w:cs="宋体"/>
                <w:bCs/>
                <w:iCs/>
                <w:color w:val="000000"/>
                <w:sz w:val="24"/>
                <w:szCs w:val="24"/>
              </w:rPr>
            </w:pPr>
            <w:r>
              <w:rPr>
                <w:rFonts w:hint="eastAsia" w:ascii="宋体" w:hAnsi="宋体" w:cs="宋体"/>
                <w:bCs/>
                <w:iCs/>
                <w:color w:val="000000"/>
                <w:sz w:val="24"/>
                <w:szCs w:val="24"/>
              </w:rPr>
              <w:t>证券事务代表 郑凯微</w:t>
            </w:r>
          </w:p>
        </w:tc>
      </w:tr>
      <w:tr w14:paraId="5820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0CDF7A14">
            <w:pPr>
              <w:rPr>
                <w:rFonts w:hint="eastAsia" w:ascii="宋体" w:hAnsi="宋体" w:cs="宋体"/>
                <w:bCs/>
                <w:iCs/>
                <w:color w:val="000000"/>
                <w:sz w:val="24"/>
                <w:szCs w:val="24"/>
              </w:rPr>
            </w:pPr>
            <w:r>
              <w:rPr>
                <w:rFonts w:hint="eastAsia" w:ascii="宋体" w:hAnsi="宋体" w:cs="宋体"/>
                <w:bCs/>
                <w:iCs/>
                <w:color w:val="000000"/>
                <w:sz w:val="24"/>
                <w:szCs w:val="24"/>
              </w:rPr>
              <w:t>投资者关系活动主要内容介绍</w:t>
            </w:r>
          </w:p>
          <w:p w14:paraId="745B08B6">
            <w:pPr>
              <w:rPr>
                <w:rFonts w:hint="eastAsia" w:ascii="宋体" w:hAnsi="宋体" w:cs="宋体"/>
                <w:bCs/>
                <w:iCs/>
                <w:color w:val="000000"/>
                <w:sz w:val="24"/>
                <w:szCs w:val="24"/>
              </w:rPr>
            </w:pPr>
          </w:p>
        </w:tc>
        <w:tc>
          <w:tcPr>
            <w:tcW w:w="6782" w:type="dxa"/>
            <w:tcBorders>
              <w:top w:val="single" w:color="auto" w:sz="4" w:space="0"/>
              <w:left w:val="single" w:color="auto" w:sz="4" w:space="0"/>
              <w:bottom w:val="single" w:color="auto" w:sz="4" w:space="0"/>
              <w:right w:val="single" w:color="auto" w:sz="4" w:space="0"/>
            </w:tcBorders>
            <w:vAlign w:val="center"/>
          </w:tcPr>
          <w:p w14:paraId="11F5FD8E">
            <w:pPr>
              <w:rPr>
                <w:rFonts w:hint="eastAsia" w:ascii="宋体" w:hAnsi="宋体" w:cs="宋体"/>
                <w:bCs/>
                <w:iCs/>
                <w:color w:val="000000"/>
                <w:sz w:val="24"/>
                <w:szCs w:val="24"/>
              </w:rPr>
            </w:pPr>
            <w:r>
              <w:rPr>
                <w:rFonts w:hint="eastAsia" w:ascii="宋体" w:hAnsi="宋体" w:cs="宋体"/>
                <w:bCs/>
                <w:iCs/>
                <w:color w:val="000000"/>
                <w:sz w:val="24"/>
                <w:szCs w:val="24"/>
              </w:rPr>
              <w:t>（一）公司简介：</w:t>
            </w:r>
          </w:p>
          <w:p w14:paraId="7E564A32">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福元医药于2022年6月在上交所上市，前身为北京万生药业有限责任公司。目前，公司下辖有安徽福元、浙江爱生、万生人和、福元沧州等分子公司，专注于仿制药、创新药、原料药、中药、保健品以及医疗器械领域。</w:t>
            </w:r>
          </w:p>
          <w:p w14:paraId="36FB2E60">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福元医药控股股东为新和成控股集团有限公司，公司秉承老师文化与“创造财富、成就员工、造福社会”的企业宗旨，以“专注医药领域，共创健康人生”为使命，致力于打造研发、生产、销售三位一体的核心竞争优势，持续打造规模化产品群，形成“领域、品种、技术”组合优势的丰富产品线，构建从原料到药品完整周期的产业价值链。</w:t>
            </w:r>
          </w:p>
          <w:p w14:paraId="4F579BFB">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公司重视创新研发，坚持“临床急需、仿创结合”的研发策略，不断加大创新药研发投入。仿制药方面，以药物市场需求为导向，坚持“首仿+快仿”的多品种战略，打造多样化的产品线，持续增强在已有优势的产品及治疗领域的投入，加强技术与产品的积累，形成仿制药的核心竞争力，做到高效、领先。截至目前，公司有15个国内首仿产品，境内的药品注册批件有230余个，130余个产品纳入了国家医保目录，55个产品进入基本药物目录。创新药方面，重点进行小核酸药物及核酸类药物递送系统的研发，其中FY101注射液项目获得药物临床试验批准。</w:t>
            </w:r>
          </w:p>
          <w:p w14:paraId="61BE300A">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在研发团队的培养方面，公司已形成较为成熟的模式，针对不同人才的专业背景、工作能力和性格特点等有所侧重地进行培养。公司通过平台建设、学习型组织的建立等方式培育研发团队的创新能力，保持研发团队的稳定性。公司高度重视自身研发实力的提高，经过多年的技术积累，拥有成熟的研发技术平台，包括化学合成技术平台、口服固体制剂技术平台、外用制剂技术平台、医疗器械氧疗技术平台，为公司产品研发与生产提供有力支持。此外，公司联合国内知名院校持续开展合作研发，充分发挥产学研合作优势，加速推进小核酸类和药物递送系统等项目的研究与开发。</w:t>
            </w:r>
          </w:p>
          <w:p w14:paraId="7109FDAB">
            <w:pPr>
              <w:ind w:firstLine="480" w:firstLineChars="200"/>
              <w:rPr>
                <w:rFonts w:hint="eastAsia" w:ascii="宋体" w:hAnsi="宋体" w:cs="宋体"/>
                <w:bCs/>
                <w:iCs/>
                <w:color w:val="000000"/>
                <w:sz w:val="24"/>
                <w:szCs w:val="24"/>
                <w:highlight w:val="yellow"/>
              </w:rPr>
            </w:pPr>
            <w:r>
              <w:rPr>
                <w:rFonts w:hint="eastAsia" w:ascii="宋体" w:hAnsi="宋体" w:cs="宋体"/>
                <w:bCs/>
                <w:iCs/>
                <w:color w:val="000000"/>
                <w:sz w:val="24"/>
                <w:szCs w:val="24"/>
              </w:rPr>
              <w:t>公司创新药的研发立项思路是以市场价值为导向，聚焦尚未满足的临床需求，进行差异化立项，</w:t>
            </w:r>
            <w:r>
              <w:rPr>
                <w:rFonts w:hint="eastAsia" w:ascii="宋体" w:hAnsi="宋体" w:cs="宋体"/>
                <w:bCs/>
                <w:iCs/>
                <w:color w:val="000000"/>
                <w:sz w:val="24"/>
                <w:szCs w:val="24"/>
                <w:highlight w:val="none"/>
              </w:rPr>
              <w:t>并切合公</w:t>
            </w:r>
            <w:r>
              <w:rPr>
                <w:rFonts w:hint="eastAsia" w:ascii="宋体" w:hAnsi="宋体" w:cs="宋体"/>
                <w:bCs/>
                <w:iCs/>
                <w:color w:val="000000"/>
                <w:sz w:val="24"/>
                <w:szCs w:val="24"/>
              </w:rPr>
              <w:t>司管线及成熟的销售优势。小核酸是继小分子和抗体后的第三大类药物，福元医药创新药主要聚焦小核酸及小核酸递送系统的研发。公司的N-ER平台是以福元医药自主研发为技术基础的创新核酸药物发现及递送系统的研发平台。公司已搭建创新核酸药物设计、合成、修饰、生物学评价、药学研究一体化研发平台。</w:t>
            </w:r>
            <w:bookmarkStart w:id="0" w:name="_GoBack"/>
            <w:bookmarkEnd w:id="0"/>
          </w:p>
          <w:p w14:paraId="2824D29A">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2022年至2024年，公司年均归母净利润近5亿元。同时，公司高度重视投资者回报，积极践行上市公司社会责任，坚持每年分红，上市至今累计现金分红6.6亿元。</w:t>
            </w:r>
          </w:p>
          <w:p w14:paraId="440FC6D1">
            <w:pPr>
              <w:ind w:firstLine="480" w:firstLineChars="200"/>
              <w:rPr>
                <w:rFonts w:hint="eastAsia" w:ascii="宋体" w:hAnsi="宋体" w:cs="宋体"/>
                <w:bCs/>
                <w:iCs/>
                <w:color w:val="000000"/>
                <w:sz w:val="24"/>
                <w:szCs w:val="24"/>
              </w:rPr>
            </w:pPr>
          </w:p>
          <w:p w14:paraId="1ED0C7C5">
            <w:pPr>
              <w:rPr>
                <w:rFonts w:hint="eastAsia" w:ascii="宋体" w:hAnsi="宋体" w:cs="宋体"/>
                <w:bCs/>
                <w:iCs/>
                <w:color w:val="000000"/>
                <w:sz w:val="24"/>
                <w:szCs w:val="24"/>
              </w:rPr>
            </w:pPr>
            <w:r>
              <w:rPr>
                <w:rFonts w:hint="eastAsia" w:ascii="宋体" w:hAnsi="宋体" w:cs="宋体"/>
                <w:bCs/>
                <w:iCs/>
                <w:color w:val="000000"/>
                <w:sz w:val="24"/>
                <w:szCs w:val="24"/>
              </w:rPr>
              <w:t>（二）Q</w:t>
            </w:r>
            <w:r>
              <w:rPr>
                <w:rFonts w:ascii="宋体" w:hAnsi="宋体" w:cs="宋体"/>
                <w:bCs/>
                <w:iCs/>
                <w:color w:val="000000"/>
                <w:sz w:val="24"/>
                <w:szCs w:val="24"/>
              </w:rPr>
              <w:t>&amp;</w:t>
            </w:r>
            <w:r>
              <w:rPr>
                <w:rFonts w:hint="eastAsia" w:ascii="宋体" w:hAnsi="宋体" w:cs="宋体"/>
                <w:bCs/>
                <w:iCs/>
                <w:color w:val="000000"/>
                <w:sz w:val="24"/>
                <w:szCs w:val="24"/>
              </w:rPr>
              <w:t>A环节：</w:t>
            </w:r>
          </w:p>
          <w:p w14:paraId="7901507A">
            <w:pPr>
              <w:rPr>
                <w:rFonts w:hint="eastAsia" w:ascii="宋体" w:hAnsi="宋体" w:cs="宋体"/>
                <w:bCs/>
                <w:iCs/>
                <w:color w:val="000000"/>
                <w:sz w:val="24"/>
                <w:szCs w:val="24"/>
              </w:rPr>
            </w:pPr>
            <w:r>
              <w:rPr>
                <w:rFonts w:hint="eastAsia" w:ascii="宋体" w:hAnsi="宋体" w:cs="宋体"/>
                <w:bCs/>
                <w:iCs/>
                <w:color w:val="000000"/>
                <w:sz w:val="24"/>
                <w:szCs w:val="24"/>
              </w:rPr>
              <w:t>1、 请介绍一下公司的研发团队。</w:t>
            </w:r>
          </w:p>
          <w:p w14:paraId="5E50DDE9">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回答：公司已形成较为成熟的研发团队培养模式,针对不同人才的专业背景、工作能力和性格特点等有所侧重地进行培养。公司通过平台建设、学习型组织的建立等方式培育研发团队的创新能力,保持研发团队的稳定性，截至2024年底，公司研发人员415人。</w:t>
            </w:r>
          </w:p>
          <w:p w14:paraId="329FD867">
            <w:pPr>
              <w:ind w:firstLine="480" w:firstLineChars="200"/>
              <w:rPr>
                <w:rFonts w:hint="eastAsia" w:ascii="宋体" w:hAnsi="宋体" w:cs="宋体"/>
                <w:bCs/>
                <w:iCs/>
                <w:color w:val="000000"/>
                <w:sz w:val="24"/>
                <w:szCs w:val="24"/>
              </w:rPr>
            </w:pPr>
          </w:p>
          <w:p w14:paraId="2570A2FC">
            <w:pPr>
              <w:numPr>
                <w:ilvl w:val="0"/>
                <w:numId w:val="1"/>
              </w:numPr>
              <w:rPr>
                <w:rFonts w:hint="eastAsia" w:ascii="宋体" w:hAnsi="宋体" w:cs="宋体"/>
                <w:bCs/>
                <w:iCs/>
                <w:color w:val="000000"/>
                <w:sz w:val="24"/>
                <w:szCs w:val="24"/>
              </w:rPr>
            </w:pPr>
            <w:r>
              <w:rPr>
                <w:rFonts w:hint="eastAsia" w:ascii="宋体" w:hAnsi="宋体" w:cs="宋体"/>
                <w:bCs/>
                <w:iCs/>
                <w:color w:val="000000"/>
                <w:sz w:val="24"/>
                <w:szCs w:val="24"/>
              </w:rPr>
              <w:t>今年4月披露的FY101注射液项目一期临床启动，现在到什么阶段了？</w:t>
            </w:r>
          </w:p>
          <w:p w14:paraId="7252C4B5">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回答：正按照计划进行一期临床试验，目前结果符合公司预期，预计于明年启动二期临床试验。</w:t>
            </w:r>
          </w:p>
          <w:p w14:paraId="47982FE7">
            <w:pPr>
              <w:rPr>
                <w:rFonts w:hint="eastAsia" w:ascii="宋体" w:hAnsi="宋体" w:cs="宋体"/>
                <w:bCs/>
                <w:iCs/>
                <w:color w:val="000000"/>
                <w:sz w:val="24"/>
                <w:szCs w:val="24"/>
              </w:rPr>
            </w:pPr>
          </w:p>
          <w:p w14:paraId="4BBA6F6F">
            <w:pPr>
              <w:numPr>
                <w:ilvl w:val="0"/>
                <w:numId w:val="1"/>
              </w:numPr>
              <w:rPr>
                <w:rFonts w:hint="eastAsia" w:ascii="宋体" w:hAnsi="宋体" w:cs="宋体"/>
                <w:bCs/>
                <w:iCs/>
                <w:color w:val="000000"/>
                <w:sz w:val="24"/>
                <w:szCs w:val="24"/>
              </w:rPr>
            </w:pPr>
            <w:r>
              <w:rPr>
                <w:rFonts w:hint="eastAsia" w:ascii="宋体" w:hAnsi="宋体" w:cs="宋体"/>
                <w:bCs/>
                <w:iCs/>
                <w:color w:val="000000"/>
                <w:sz w:val="24"/>
                <w:szCs w:val="24"/>
              </w:rPr>
              <w:t>公司接下来有什么靶点可以上IND？</w:t>
            </w:r>
          </w:p>
          <w:p w14:paraId="7B74169B">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回答：公司基于创新核酸药物技术平台开展了多个靶点的研究与开发，肝靶向与肝外靶向均有布局，主要聚焦慢病靶点，有阶段性成果后会与大家分享，请届时关注公司公告。</w:t>
            </w:r>
          </w:p>
          <w:p w14:paraId="310D248F">
            <w:pPr>
              <w:rPr>
                <w:rFonts w:hint="eastAsia" w:ascii="宋体" w:hAnsi="宋体" w:cs="宋体"/>
                <w:bCs/>
                <w:iCs/>
                <w:color w:val="000000"/>
                <w:sz w:val="24"/>
                <w:szCs w:val="24"/>
              </w:rPr>
            </w:pPr>
          </w:p>
          <w:p w14:paraId="09F0B520">
            <w:pPr>
              <w:numPr>
                <w:ilvl w:val="0"/>
                <w:numId w:val="1"/>
              </w:numPr>
              <w:rPr>
                <w:rFonts w:hint="eastAsia" w:ascii="宋体" w:hAnsi="宋体" w:cs="宋体"/>
                <w:bCs/>
                <w:iCs/>
                <w:color w:val="000000"/>
                <w:sz w:val="24"/>
                <w:szCs w:val="24"/>
              </w:rPr>
            </w:pPr>
            <w:r>
              <w:rPr>
                <w:rFonts w:hint="eastAsia" w:ascii="宋体" w:hAnsi="宋体" w:cs="宋体"/>
                <w:bCs/>
                <w:iCs/>
                <w:color w:val="000000"/>
                <w:sz w:val="24"/>
                <w:szCs w:val="24"/>
              </w:rPr>
              <w:t>据先前介绍，公司以布局多个小核酸靶点专利，那咱们</w:t>
            </w:r>
            <w:r>
              <w:rPr>
                <w:rFonts w:ascii="宋体" w:hAnsi="宋体" w:cs="宋体"/>
                <w:bCs/>
                <w:iCs/>
                <w:color w:val="000000"/>
                <w:sz w:val="24"/>
                <w:szCs w:val="24"/>
              </w:rPr>
              <w:t>小核酸管线立项和靶点选择思路</w:t>
            </w:r>
            <w:r>
              <w:rPr>
                <w:rFonts w:hint="eastAsia" w:ascii="宋体" w:hAnsi="宋体" w:cs="宋体"/>
                <w:bCs/>
                <w:iCs/>
                <w:color w:val="000000"/>
                <w:sz w:val="24"/>
                <w:szCs w:val="24"/>
              </w:rPr>
              <w:t>是什么？预期</w:t>
            </w:r>
            <w:r>
              <w:rPr>
                <w:rFonts w:ascii="宋体" w:hAnsi="宋体" w:cs="宋体"/>
                <w:bCs/>
                <w:iCs/>
                <w:color w:val="000000"/>
                <w:sz w:val="24"/>
                <w:szCs w:val="24"/>
              </w:rPr>
              <w:t>后续研发节奏</w:t>
            </w:r>
            <w:r>
              <w:rPr>
                <w:rFonts w:hint="eastAsia" w:ascii="宋体" w:hAnsi="宋体" w:cs="宋体"/>
                <w:bCs/>
                <w:iCs/>
                <w:color w:val="000000"/>
                <w:sz w:val="24"/>
                <w:szCs w:val="24"/>
              </w:rPr>
              <w:t>？</w:t>
            </w:r>
            <w:r>
              <w:rPr>
                <w:rFonts w:ascii="宋体" w:hAnsi="宋体" w:cs="宋体"/>
                <w:bCs/>
                <w:iCs/>
                <w:color w:val="000000"/>
                <w:sz w:val="24"/>
                <w:szCs w:val="24"/>
              </w:rPr>
              <w:t xml:space="preserve">优先推哪些靶点？ </w:t>
            </w:r>
          </w:p>
          <w:p w14:paraId="2C19795E">
            <w:pPr>
              <w:ind w:firstLine="480" w:firstLineChars="200"/>
              <w:rPr>
                <w:rFonts w:hint="eastAsia" w:ascii="宋体" w:hAnsi="宋体" w:cs="宋体"/>
                <w:bCs/>
                <w:iCs/>
                <w:color w:val="000000"/>
                <w:sz w:val="24"/>
                <w:szCs w:val="24"/>
              </w:rPr>
            </w:pPr>
            <w:r>
              <w:rPr>
                <w:rFonts w:ascii="宋体" w:hAnsi="宋体" w:cs="宋体"/>
                <w:bCs/>
                <w:iCs/>
                <w:color w:val="000000"/>
                <w:sz w:val="24"/>
                <w:szCs w:val="24"/>
              </w:rPr>
              <w:t>回答：公司核酸类药物主要聚焦心血管及代谢类疾病等慢病管理方向，系统性布局相关适应症靶点，完善产品组合。公司会综合考虑谨慎优选项目推进。</w:t>
            </w:r>
          </w:p>
          <w:p w14:paraId="57540777">
            <w:pPr>
              <w:rPr>
                <w:rFonts w:hint="eastAsia" w:ascii="宋体" w:hAnsi="宋体" w:cs="宋体"/>
                <w:bCs/>
                <w:iCs/>
                <w:color w:val="000000"/>
                <w:sz w:val="24"/>
                <w:szCs w:val="24"/>
              </w:rPr>
            </w:pPr>
          </w:p>
          <w:p w14:paraId="4BE3D592">
            <w:pPr>
              <w:numPr>
                <w:ilvl w:val="0"/>
                <w:numId w:val="1"/>
              </w:numPr>
              <w:rPr>
                <w:rFonts w:hint="eastAsia" w:ascii="宋体" w:hAnsi="宋体" w:cs="宋体"/>
                <w:bCs/>
                <w:iCs/>
                <w:color w:val="000000"/>
                <w:sz w:val="24"/>
                <w:szCs w:val="24"/>
              </w:rPr>
            </w:pPr>
            <w:r>
              <w:rPr>
                <w:rFonts w:hint="eastAsia" w:ascii="宋体" w:hAnsi="宋体" w:cs="宋体"/>
                <w:bCs/>
                <w:iCs/>
                <w:color w:val="000000"/>
                <w:sz w:val="24"/>
                <w:szCs w:val="24"/>
              </w:rPr>
              <w:t>对BD是否有明确计划？</w:t>
            </w:r>
          </w:p>
          <w:p w14:paraId="5BD62778">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回答：公司目前聚焦国内市场，同时也关注到今年频出大额海外BD。公司会持续关注行业相关动态，对于合作我们持开放态度。</w:t>
            </w:r>
          </w:p>
          <w:p w14:paraId="65AC6507">
            <w:pPr>
              <w:rPr>
                <w:rFonts w:hint="eastAsia" w:ascii="宋体" w:hAnsi="宋体" w:cs="宋体"/>
                <w:bCs/>
                <w:iCs/>
                <w:color w:val="000000"/>
                <w:sz w:val="24"/>
                <w:szCs w:val="24"/>
              </w:rPr>
            </w:pPr>
          </w:p>
          <w:p w14:paraId="7590FDC7">
            <w:pPr>
              <w:numPr>
                <w:ilvl w:val="0"/>
                <w:numId w:val="1"/>
              </w:numPr>
              <w:rPr>
                <w:rFonts w:hint="eastAsia" w:ascii="宋体" w:hAnsi="宋体" w:cs="宋体"/>
                <w:bCs/>
                <w:iCs/>
                <w:color w:val="000000"/>
                <w:sz w:val="24"/>
                <w:szCs w:val="24"/>
              </w:rPr>
            </w:pPr>
            <w:r>
              <w:rPr>
                <w:rFonts w:hint="eastAsia" w:ascii="宋体" w:hAnsi="宋体" w:cs="宋体"/>
                <w:bCs/>
                <w:iCs/>
                <w:color w:val="000000"/>
                <w:sz w:val="24"/>
                <w:szCs w:val="24"/>
              </w:rPr>
              <w:t>公司有股权激励计划吗？</w:t>
            </w:r>
          </w:p>
          <w:p w14:paraId="4B658331">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回答：公司于2025年2月4日完成股份回购，累计回购股份12,000,000股，占公司总股本的比例约为2.50%，计划用于股权激励实施。公司将结合发展战略和人才规划，适时推进股权激励计划，请届时关注公司公告。</w:t>
            </w:r>
          </w:p>
          <w:p w14:paraId="098051C2">
            <w:pPr>
              <w:ind w:firstLine="480" w:firstLineChars="200"/>
              <w:rPr>
                <w:rFonts w:hint="eastAsia" w:ascii="宋体" w:hAnsi="宋体" w:cs="宋体"/>
                <w:bCs/>
                <w:iCs/>
                <w:color w:val="000000"/>
                <w:sz w:val="24"/>
                <w:szCs w:val="24"/>
              </w:rPr>
            </w:pPr>
          </w:p>
          <w:p w14:paraId="22BD483F">
            <w:pPr>
              <w:numPr>
                <w:ilvl w:val="0"/>
                <w:numId w:val="1"/>
              </w:numPr>
              <w:rPr>
                <w:rFonts w:hint="eastAsia" w:ascii="宋体" w:hAnsi="宋体" w:cs="宋体"/>
                <w:bCs/>
                <w:iCs/>
                <w:color w:val="000000"/>
                <w:sz w:val="24"/>
                <w:szCs w:val="24"/>
              </w:rPr>
            </w:pPr>
            <w:r>
              <w:rPr>
                <w:rFonts w:hint="eastAsia" w:ascii="宋体" w:hAnsi="宋体" w:cs="宋体"/>
                <w:bCs/>
                <w:iCs/>
                <w:color w:val="000000"/>
                <w:sz w:val="24"/>
                <w:szCs w:val="24"/>
              </w:rPr>
              <w:t>公司对于分红，后续的计划是什么？</w:t>
            </w:r>
          </w:p>
          <w:p w14:paraId="4F218F8C">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回答：公司自上市以来始终执行稳定积极的现金分红政策，未来公司将结合实际业务情况、未来发展规划、资金情况，统筹好公司发展、业绩增长与股东回报的动态平衡，实现稳定、持续、科学的股东回报机制。</w:t>
            </w:r>
          </w:p>
          <w:p w14:paraId="7AD7050B">
            <w:pPr>
              <w:rPr>
                <w:rFonts w:hint="eastAsia" w:ascii="宋体" w:hAnsi="宋体" w:cs="宋体"/>
                <w:bCs/>
                <w:iCs/>
                <w:color w:val="000000"/>
                <w:sz w:val="24"/>
                <w:szCs w:val="24"/>
              </w:rPr>
            </w:pPr>
          </w:p>
          <w:p w14:paraId="6A4DAE80">
            <w:pPr>
              <w:rPr>
                <w:rFonts w:hint="eastAsia" w:ascii="宋体" w:hAnsi="宋体" w:cs="宋体"/>
                <w:bCs/>
                <w:iCs/>
                <w:color w:val="000000"/>
                <w:sz w:val="24"/>
                <w:szCs w:val="24"/>
              </w:rPr>
            </w:pPr>
            <w:r>
              <w:rPr>
                <w:rFonts w:hint="eastAsia" w:ascii="宋体" w:hAnsi="宋体" w:cs="宋体"/>
                <w:bCs/>
                <w:iCs/>
                <w:color w:val="000000"/>
                <w:sz w:val="24"/>
                <w:szCs w:val="24"/>
              </w:rPr>
              <w:t>公司与参会投资人进行了充分的交流与沟通，并严格按照公司《信息披露管理制度》等规定，保证信息披露的真实、准确、完整、及时、公平。</w:t>
            </w:r>
          </w:p>
        </w:tc>
      </w:tr>
      <w:tr w14:paraId="2153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69B0A95C">
            <w:pPr>
              <w:rPr>
                <w:rFonts w:hint="eastAsia" w:ascii="宋体" w:hAnsi="宋体" w:cs="宋体"/>
                <w:bCs/>
                <w:iCs/>
                <w:color w:val="000000"/>
                <w:sz w:val="24"/>
                <w:szCs w:val="24"/>
              </w:rPr>
            </w:pPr>
            <w:r>
              <w:rPr>
                <w:rFonts w:hint="eastAsia" w:ascii="宋体" w:hAnsi="宋体" w:cs="宋体"/>
                <w:bCs/>
                <w:iCs/>
                <w:color w:val="000000"/>
                <w:sz w:val="24"/>
                <w:szCs w:val="24"/>
              </w:rPr>
              <w:t>附件清单（如有）</w:t>
            </w:r>
          </w:p>
        </w:tc>
        <w:tc>
          <w:tcPr>
            <w:tcW w:w="6782" w:type="dxa"/>
            <w:tcBorders>
              <w:top w:val="single" w:color="auto" w:sz="4" w:space="0"/>
              <w:left w:val="single" w:color="auto" w:sz="4" w:space="0"/>
              <w:bottom w:val="single" w:color="auto" w:sz="4" w:space="0"/>
              <w:right w:val="single" w:color="auto" w:sz="4" w:space="0"/>
            </w:tcBorders>
            <w:vAlign w:val="center"/>
          </w:tcPr>
          <w:p w14:paraId="6D4C4080">
            <w:pPr>
              <w:rPr>
                <w:rFonts w:hint="eastAsia" w:ascii="宋体" w:hAnsi="宋体" w:cs="宋体"/>
                <w:bCs/>
                <w:iCs/>
                <w:color w:val="000000"/>
                <w:sz w:val="24"/>
                <w:szCs w:val="24"/>
              </w:rPr>
            </w:pPr>
          </w:p>
        </w:tc>
      </w:tr>
      <w:tr w14:paraId="36CF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184C46D5">
            <w:pPr>
              <w:rPr>
                <w:rFonts w:hint="eastAsia" w:ascii="宋体" w:hAnsi="宋体" w:cs="宋体"/>
                <w:bCs/>
                <w:iCs/>
                <w:color w:val="000000"/>
                <w:sz w:val="24"/>
                <w:szCs w:val="24"/>
              </w:rPr>
            </w:pPr>
            <w:r>
              <w:rPr>
                <w:rFonts w:hint="eastAsia" w:ascii="宋体" w:hAnsi="宋体" w:cs="宋体"/>
                <w:bCs/>
                <w:iCs/>
                <w:color w:val="000000"/>
                <w:sz w:val="24"/>
                <w:szCs w:val="24"/>
              </w:rPr>
              <w:t>日期</w:t>
            </w:r>
          </w:p>
        </w:tc>
        <w:tc>
          <w:tcPr>
            <w:tcW w:w="6782" w:type="dxa"/>
            <w:tcBorders>
              <w:top w:val="single" w:color="auto" w:sz="4" w:space="0"/>
              <w:left w:val="single" w:color="auto" w:sz="4" w:space="0"/>
              <w:bottom w:val="single" w:color="auto" w:sz="4" w:space="0"/>
              <w:right w:val="single" w:color="auto" w:sz="4" w:space="0"/>
            </w:tcBorders>
            <w:vAlign w:val="center"/>
          </w:tcPr>
          <w:p w14:paraId="414608E2">
            <w:pPr>
              <w:rPr>
                <w:rFonts w:hint="eastAsia" w:ascii="宋体" w:hAnsi="宋体" w:cs="宋体"/>
                <w:bCs/>
                <w:iCs/>
                <w:color w:val="000000"/>
                <w:sz w:val="24"/>
                <w:szCs w:val="24"/>
              </w:rPr>
            </w:pPr>
            <w:r>
              <w:rPr>
                <w:rFonts w:hint="eastAsia" w:ascii="宋体" w:hAnsi="宋体" w:cs="宋体"/>
                <w:bCs/>
                <w:iCs/>
                <w:color w:val="000000"/>
                <w:sz w:val="24"/>
                <w:szCs w:val="24"/>
              </w:rPr>
              <w:t>202</w:t>
            </w:r>
            <w:r>
              <w:rPr>
                <w:rFonts w:ascii="宋体" w:hAnsi="宋体" w:cs="宋体"/>
                <w:bCs/>
                <w:iCs/>
                <w:color w:val="000000"/>
                <w:sz w:val="24"/>
                <w:szCs w:val="24"/>
              </w:rPr>
              <w:t>5</w:t>
            </w:r>
            <w:r>
              <w:rPr>
                <w:rFonts w:hint="eastAsia" w:ascii="宋体" w:hAnsi="宋体" w:cs="宋体"/>
                <w:bCs/>
                <w:iCs/>
                <w:color w:val="000000"/>
                <w:sz w:val="24"/>
                <w:szCs w:val="24"/>
              </w:rPr>
              <w:t>年11月19日</w:t>
            </w:r>
          </w:p>
        </w:tc>
      </w:tr>
    </w:tbl>
    <w:p w14:paraId="5723679E">
      <w:pPr>
        <w:rPr>
          <w:rFonts w:hint="eastAsia" w:ascii="宋体" w:hAnsi="宋体" w:cs="宋体"/>
          <w:sz w:val="28"/>
          <w:szCs w:val="28"/>
        </w:rPr>
      </w:pPr>
    </w:p>
    <w:p w14:paraId="73B1688B">
      <w:pPr>
        <w:rPr>
          <w:rFonts w:hint="eastAsia" w:ascii="宋体" w:hAnsi="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272D6"/>
    <w:multiLevelType w:val="singleLevel"/>
    <w:tmpl w:val="D21272D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1NjM2ZmQ3M2EyYTUxNDQ5MjNjODJhNjYwNmNjNTMifQ=="/>
  </w:docVars>
  <w:rsids>
    <w:rsidRoot w:val="05442F5E"/>
    <w:rsid w:val="00002847"/>
    <w:rsid w:val="000039B2"/>
    <w:rsid w:val="00004ABE"/>
    <w:rsid w:val="00016E42"/>
    <w:rsid w:val="000173DD"/>
    <w:rsid w:val="0002038B"/>
    <w:rsid w:val="00024F3D"/>
    <w:rsid w:val="00026E9B"/>
    <w:rsid w:val="0003103E"/>
    <w:rsid w:val="000338C7"/>
    <w:rsid w:val="00040511"/>
    <w:rsid w:val="00044FFE"/>
    <w:rsid w:val="00046268"/>
    <w:rsid w:val="000566E1"/>
    <w:rsid w:val="000633BA"/>
    <w:rsid w:val="00065FD3"/>
    <w:rsid w:val="0007353E"/>
    <w:rsid w:val="00077220"/>
    <w:rsid w:val="000805C4"/>
    <w:rsid w:val="00094542"/>
    <w:rsid w:val="00094C80"/>
    <w:rsid w:val="000A2DEE"/>
    <w:rsid w:val="000A4710"/>
    <w:rsid w:val="000A69A7"/>
    <w:rsid w:val="000A7FDD"/>
    <w:rsid w:val="000B10FC"/>
    <w:rsid w:val="000B1ED7"/>
    <w:rsid w:val="000B77DC"/>
    <w:rsid w:val="000C0D53"/>
    <w:rsid w:val="000C434B"/>
    <w:rsid w:val="000D32F6"/>
    <w:rsid w:val="000D45CE"/>
    <w:rsid w:val="000D4DFC"/>
    <w:rsid w:val="000D5DC1"/>
    <w:rsid w:val="000D72E3"/>
    <w:rsid w:val="000E06D1"/>
    <w:rsid w:val="000E68F6"/>
    <w:rsid w:val="000F339E"/>
    <w:rsid w:val="000F4710"/>
    <w:rsid w:val="000F5EE2"/>
    <w:rsid w:val="00110A81"/>
    <w:rsid w:val="00115CF8"/>
    <w:rsid w:val="00124BA3"/>
    <w:rsid w:val="0012508C"/>
    <w:rsid w:val="0012733C"/>
    <w:rsid w:val="001344FE"/>
    <w:rsid w:val="00134FD6"/>
    <w:rsid w:val="001376D1"/>
    <w:rsid w:val="0014311B"/>
    <w:rsid w:val="00143F14"/>
    <w:rsid w:val="00146B99"/>
    <w:rsid w:val="00146FD5"/>
    <w:rsid w:val="00151CD4"/>
    <w:rsid w:val="00151D74"/>
    <w:rsid w:val="00154931"/>
    <w:rsid w:val="00162069"/>
    <w:rsid w:val="00162415"/>
    <w:rsid w:val="00165B32"/>
    <w:rsid w:val="0017173B"/>
    <w:rsid w:val="00171789"/>
    <w:rsid w:val="001720C0"/>
    <w:rsid w:val="001737E9"/>
    <w:rsid w:val="00177204"/>
    <w:rsid w:val="0018173C"/>
    <w:rsid w:val="00181C4C"/>
    <w:rsid w:val="00183536"/>
    <w:rsid w:val="00191EE7"/>
    <w:rsid w:val="0019584E"/>
    <w:rsid w:val="001A0DEC"/>
    <w:rsid w:val="001A421A"/>
    <w:rsid w:val="001A7362"/>
    <w:rsid w:val="001B0E82"/>
    <w:rsid w:val="001B0FC6"/>
    <w:rsid w:val="001B5CAB"/>
    <w:rsid w:val="001C3535"/>
    <w:rsid w:val="001D4084"/>
    <w:rsid w:val="001D6BF7"/>
    <w:rsid w:val="001E0D09"/>
    <w:rsid w:val="001E1C9B"/>
    <w:rsid w:val="001E2998"/>
    <w:rsid w:val="001E32C1"/>
    <w:rsid w:val="001F1C45"/>
    <w:rsid w:val="001F64E8"/>
    <w:rsid w:val="00214BDC"/>
    <w:rsid w:val="00215348"/>
    <w:rsid w:val="002162AA"/>
    <w:rsid w:val="002219FC"/>
    <w:rsid w:val="00223C46"/>
    <w:rsid w:val="0022433B"/>
    <w:rsid w:val="00231345"/>
    <w:rsid w:val="00237CC5"/>
    <w:rsid w:val="00240557"/>
    <w:rsid w:val="00254EA5"/>
    <w:rsid w:val="00265483"/>
    <w:rsid w:val="00270576"/>
    <w:rsid w:val="0027764A"/>
    <w:rsid w:val="0027793F"/>
    <w:rsid w:val="00290AB9"/>
    <w:rsid w:val="00291FE6"/>
    <w:rsid w:val="002A5D89"/>
    <w:rsid w:val="002B43A7"/>
    <w:rsid w:val="002C3DC0"/>
    <w:rsid w:val="002D3275"/>
    <w:rsid w:val="002E06F0"/>
    <w:rsid w:val="002E119C"/>
    <w:rsid w:val="002E6F86"/>
    <w:rsid w:val="00300CE2"/>
    <w:rsid w:val="003130C1"/>
    <w:rsid w:val="0031342C"/>
    <w:rsid w:val="003210F3"/>
    <w:rsid w:val="00327FB9"/>
    <w:rsid w:val="00342FA6"/>
    <w:rsid w:val="00345598"/>
    <w:rsid w:val="00350153"/>
    <w:rsid w:val="0035615B"/>
    <w:rsid w:val="00356486"/>
    <w:rsid w:val="00356F3F"/>
    <w:rsid w:val="0037686F"/>
    <w:rsid w:val="00377CBD"/>
    <w:rsid w:val="003905C9"/>
    <w:rsid w:val="00397088"/>
    <w:rsid w:val="003A1669"/>
    <w:rsid w:val="003A5666"/>
    <w:rsid w:val="003A5B02"/>
    <w:rsid w:val="003A61BA"/>
    <w:rsid w:val="003B0F4A"/>
    <w:rsid w:val="003B3153"/>
    <w:rsid w:val="003B72FF"/>
    <w:rsid w:val="003D411D"/>
    <w:rsid w:val="003D4498"/>
    <w:rsid w:val="003E38AE"/>
    <w:rsid w:val="003E5FB3"/>
    <w:rsid w:val="003E6587"/>
    <w:rsid w:val="00400A8C"/>
    <w:rsid w:val="004040CB"/>
    <w:rsid w:val="004049C2"/>
    <w:rsid w:val="00412595"/>
    <w:rsid w:val="0043029D"/>
    <w:rsid w:val="00431CFA"/>
    <w:rsid w:val="00432B1E"/>
    <w:rsid w:val="0043436B"/>
    <w:rsid w:val="00437C1F"/>
    <w:rsid w:val="00452FE4"/>
    <w:rsid w:val="00466066"/>
    <w:rsid w:val="00472AA0"/>
    <w:rsid w:val="00476AC6"/>
    <w:rsid w:val="00483638"/>
    <w:rsid w:val="0048632A"/>
    <w:rsid w:val="004922AD"/>
    <w:rsid w:val="004A3594"/>
    <w:rsid w:val="004B05A7"/>
    <w:rsid w:val="004B0D41"/>
    <w:rsid w:val="004B5735"/>
    <w:rsid w:val="004C0BE1"/>
    <w:rsid w:val="004D0651"/>
    <w:rsid w:val="004D1693"/>
    <w:rsid w:val="004D20C5"/>
    <w:rsid w:val="004D7176"/>
    <w:rsid w:val="004E2238"/>
    <w:rsid w:val="004E7471"/>
    <w:rsid w:val="00500349"/>
    <w:rsid w:val="005016B8"/>
    <w:rsid w:val="0050452C"/>
    <w:rsid w:val="00510E66"/>
    <w:rsid w:val="00514C1A"/>
    <w:rsid w:val="00533220"/>
    <w:rsid w:val="005343FC"/>
    <w:rsid w:val="005377DD"/>
    <w:rsid w:val="0054319E"/>
    <w:rsid w:val="005523DA"/>
    <w:rsid w:val="00552987"/>
    <w:rsid w:val="00552A29"/>
    <w:rsid w:val="0056395F"/>
    <w:rsid w:val="00563BB4"/>
    <w:rsid w:val="00574AD6"/>
    <w:rsid w:val="005839AF"/>
    <w:rsid w:val="00591929"/>
    <w:rsid w:val="00593B56"/>
    <w:rsid w:val="0059633C"/>
    <w:rsid w:val="005972F8"/>
    <w:rsid w:val="005A1592"/>
    <w:rsid w:val="005A25EB"/>
    <w:rsid w:val="005A32A5"/>
    <w:rsid w:val="005A602E"/>
    <w:rsid w:val="005B2C8D"/>
    <w:rsid w:val="005B5039"/>
    <w:rsid w:val="005C22E0"/>
    <w:rsid w:val="005C2953"/>
    <w:rsid w:val="005D015D"/>
    <w:rsid w:val="005D4C51"/>
    <w:rsid w:val="005D670D"/>
    <w:rsid w:val="005E05C3"/>
    <w:rsid w:val="005E3465"/>
    <w:rsid w:val="005E71AF"/>
    <w:rsid w:val="005F0E0C"/>
    <w:rsid w:val="005F259A"/>
    <w:rsid w:val="00607DD2"/>
    <w:rsid w:val="0061735E"/>
    <w:rsid w:val="00630453"/>
    <w:rsid w:val="00631466"/>
    <w:rsid w:val="00633D78"/>
    <w:rsid w:val="006353FB"/>
    <w:rsid w:val="00637397"/>
    <w:rsid w:val="0064462C"/>
    <w:rsid w:val="00646A8C"/>
    <w:rsid w:val="00647081"/>
    <w:rsid w:val="00647D4E"/>
    <w:rsid w:val="00660A9C"/>
    <w:rsid w:val="006677A1"/>
    <w:rsid w:val="00673DE8"/>
    <w:rsid w:val="00675727"/>
    <w:rsid w:val="00676558"/>
    <w:rsid w:val="00677C72"/>
    <w:rsid w:val="0068354D"/>
    <w:rsid w:val="0068404E"/>
    <w:rsid w:val="006847A6"/>
    <w:rsid w:val="00685B6A"/>
    <w:rsid w:val="0068770A"/>
    <w:rsid w:val="006903AB"/>
    <w:rsid w:val="006A4E68"/>
    <w:rsid w:val="006A5030"/>
    <w:rsid w:val="006B090F"/>
    <w:rsid w:val="006B6F0A"/>
    <w:rsid w:val="006B78CF"/>
    <w:rsid w:val="006C0563"/>
    <w:rsid w:val="006C2977"/>
    <w:rsid w:val="006C4247"/>
    <w:rsid w:val="006C7D8B"/>
    <w:rsid w:val="006D1448"/>
    <w:rsid w:val="006D48A9"/>
    <w:rsid w:val="006D6972"/>
    <w:rsid w:val="006E03D3"/>
    <w:rsid w:val="006F7F51"/>
    <w:rsid w:val="00705239"/>
    <w:rsid w:val="00707059"/>
    <w:rsid w:val="00714A38"/>
    <w:rsid w:val="007223E5"/>
    <w:rsid w:val="007232B4"/>
    <w:rsid w:val="00732229"/>
    <w:rsid w:val="007356FA"/>
    <w:rsid w:val="007379CD"/>
    <w:rsid w:val="00740E2D"/>
    <w:rsid w:val="00743248"/>
    <w:rsid w:val="00767A05"/>
    <w:rsid w:val="00772A67"/>
    <w:rsid w:val="00773857"/>
    <w:rsid w:val="00774744"/>
    <w:rsid w:val="00777752"/>
    <w:rsid w:val="00780A85"/>
    <w:rsid w:val="00782727"/>
    <w:rsid w:val="0078643F"/>
    <w:rsid w:val="0078768E"/>
    <w:rsid w:val="007953D4"/>
    <w:rsid w:val="007A53C4"/>
    <w:rsid w:val="007B206B"/>
    <w:rsid w:val="007B463C"/>
    <w:rsid w:val="007C32BD"/>
    <w:rsid w:val="007C611F"/>
    <w:rsid w:val="007D7D37"/>
    <w:rsid w:val="007E097C"/>
    <w:rsid w:val="007E2F62"/>
    <w:rsid w:val="008057C1"/>
    <w:rsid w:val="008070EF"/>
    <w:rsid w:val="008166C9"/>
    <w:rsid w:val="00817E52"/>
    <w:rsid w:val="00823E63"/>
    <w:rsid w:val="00824DC3"/>
    <w:rsid w:val="00841BDA"/>
    <w:rsid w:val="008461BE"/>
    <w:rsid w:val="008655A6"/>
    <w:rsid w:val="00867675"/>
    <w:rsid w:val="00873264"/>
    <w:rsid w:val="00876479"/>
    <w:rsid w:val="00884215"/>
    <w:rsid w:val="008863B7"/>
    <w:rsid w:val="00893B6B"/>
    <w:rsid w:val="00893DD7"/>
    <w:rsid w:val="008A2044"/>
    <w:rsid w:val="008A355D"/>
    <w:rsid w:val="008A443E"/>
    <w:rsid w:val="008A6A71"/>
    <w:rsid w:val="008A7C65"/>
    <w:rsid w:val="008B0868"/>
    <w:rsid w:val="008B0C2F"/>
    <w:rsid w:val="008C0FA2"/>
    <w:rsid w:val="008D6212"/>
    <w:rsid w:val="008D7B5A"/>
    <w:rsid w:val="008E0983"/>
    <w:rsid w:val="008E628C"/>
    <w:rsid w:val="008E7296"/>
    <w:rsid w:val="008F7052"/>
    <w:rsid w:val="00900E24"/>
    <w:rsid w:val="0091173A"/>
    <w:rsid w:val="009139CE"/>
    <w:rsid w:val="00917A2D"/>
    <w:rsid w:val="00921498"/>
    <w:rsid w:val="0092157C"/>
    <w:rsid w:val="00924D90"/>
    <w:rsid w:val="0092599C"/>
    <w:rsid w:val="00927FD2"/>
    <w:rsid w:val="00930D80"/>
    <w:rsid w:val="0094560A"/>
    <w:rsid w:val="00946AA8"/>
    <w:rsid w:val="00956E33"/>
    <w:rsid w:val="00956FF0"/>
    <w:rsid w:val="00957182"/>
    <w:rsid w:val="00957CA1"/>
    <w:rsid w:val="00960ABF"/>
    <w:rsid w:val="009611B0"/>
    <w:rsid w:val="00961EA3"/>
    <w:rsid w:val="009634A6"/>
    <w:rsid w:val="009674FA"/>
    <w:rsid w:val="00970132"/>
    <w:rsid w:val="009760C9"/>
    <w:rsid w:val="00990BAF"/>
    <w:rsid w:val="00993D7D"/>
    <w:rsid w:val="0099414C"/>
    <w:rsid w:val="009A62D5"/>
    <w:rsid w:val="009B3800"/>
    <w:rsid w:val="009C079A"/>
    <w:rsid w:val="009C15BA"/>
    <w:rsid w:val="009C3910"/>
    <w:rsid w:val="009C5296"/>
    <w:rsid w:val="009D0A0C"/>
    <w:rsid w:val="009D3BE8"/>
    <w:rsid w:val="009D5D79"/>
    <w:rsid w:val="009E062A"/>
    <w:rsid w:val="009E0D2A"/>
    <w:rsid w:val="009E6FA7"/>
    <w:rsid w:val="009E7B97"/>
    <w:rsid w:val="009F369D"/>
    <w:rsid w:val="00A00211"/>
    <w:rsid w:val="00A0027E"/>
    <w:rsid w:val="00A157A7"/>
    <w:rsid w:val="00A16634"/>
    <w:rsid w:val="00A24755"/>
    <w:rsid w:val="00A309A4"/>
    <w:rsid w:val="00A33054"/>
    <w:rsid w:val="00A33C7B"/>
    <w:rsid w:val="00A510B2"/>
    <w:rsid w:val="00A55A8E"/>
    <w:rsid w:val="00A62919"/>
    <w:rsid w:val="00A66107"/>
    <w:rsid w:val="00A7542F"/>
    <w:rsid w:val="00A77204"/>
    <w:rsid w:val="00A779C1"/>
    <w:rsid w:val="00A81172"/>
    <w:rsid w:val="00A91AF0"/>
    <w:rsid w:val="00AA4E63"/>
    <w:rsid w:val="00AA7734"/>
    <w:rsid w:val="00AB0C0B"/>
    <w:rsid w:val="00AB56B5"/>
    <w:rsid w:val="00AB6BFD"/>
    <w:rsid w:val="00AC18C1"/>
    <w:rsid w:val="00AD0344"/>
    <w:rsid w:val="00AD0EDE"/>
    <w:rsid w:val="00AD6B40"/>
    <w:rsid w:val="00AE0B46"/>
    <w:rsid w:val="00AE4C20"/>
    <w:rsid w:val="00AF2383"/>
    <w:rsid w:val="00AF3514"/>
    <w:rsid w:val="00AF46FB"/>
    <w:rsid w:val="00AF49F9"/>
    <w:rsid w:val="00B007B8"/>
    <w:rsid w:val="00B203CA"/>
    <w:rsid w:val="00B236F9"/>
    <w:rsid w:val="00B243F5"/>
    <w:rsid w:val="00B24552"/>
    <w:rsid w:val="00B254AE"/>
    <w:rsid w:val="00B37669"/>
    <w:rsid w:val="00B53076"/>
    <w:rsid w:val="00B65AB8"/>
    <w:rsid w:val="00B66DF9"/>
    <w:rsid w:val="00B810F3"/>
    <w:rsid w:val="00B83D46"/>
    <w:rsid w:val="00B95136"/>
    <w:rsid w:val="00B97758"/>
    <w:rsid w:val="00BA3A87"/>
    <w:rsid w:val="00BA5025"/>
    <w:rsid w:val="00BA6CC3"/>
    <w:rsid w:val="00BC07D8"/>
    <w:rsid w:val="00BC0F3D"/>
    <w:rsid w:val="00BD1D59"/>
    <w:rsid w:val="00BD5053"/>
    <w:rsid w:val="00BF0BA4"/>
    <w:rsid w:val="00BF5443"/>
    <w:rsid w:val="00BF594C"/>
    <w:rsid w:val="00C00051"/>
    <w:rsid w:val="00C03D6F"/>
    <w:rsid w:val="00C15E30"/>
    <w:rsid w:val="00C16DA8"/>
    <w:rsid w:val="00C23CFA"/>
    <w:rsid w:val="00C26E11"/>
    <w:rsid w:val="00C30884"/>
    <w:rsid w:val="00C32D13"/>
    <w:rsid w:val="00C35612"/>
    <w:rsid w:val="00C46B80"/>
    <w:rsid w:val="00C746A7"/>
    <w:rsid w:val="00C75A76"/>
    <w:rsid w:val="00C80E27"/>
    <w:rsid w:val="00C82D3C"/>
    <w:rsid w:val="00C845DF"/>
    <w:rsid w:val="00C874C9"/>
    <w:rsid w:val="00C87F53"/>
    <w:rsid w:val="00CA0DAE"/>
    <w:rsid w:val="00CA1FC0"/>
    <w:rsid w:val="00CA7D25"/>
    <w:rsid w:val="00CB4E43"/>
    <w:rsid w:val="00CB5A84"/>
    <w:rsid w:val="00CB62C8"/>
    <w:rsid w:val="00CC3060"/>
    <w:rsid w:val="00CC3E01"/>
    <w:rsid w:val="00CC7663"/>
    <w:rsid w:val="00CD0CD9"/>
    <w:rsid w:val="00CD1972"/>
    <w:rsid w:val="00CD2F78"/>
    <w:rsid w:val="00CD3A06"/>
    <w:rsid w:val="00CD429C"/>
    <w:rsid w:val="00CD53E0"/>
    <w:rsid w:val="00CD7ED7"/>
    <w:rsid w:val="00CE5C0C"/>
    <w:rsid w:val="00CF18B2"/>
    <w:rsid w:val="00CF50B2"/>
    <w:rsid w:val="00D00E24"/>
    <w:rsid w:val="00D016BF"/>
    <w:rsid w:val="00D07375"/>
    <w:rsid w:val="00D11B72"/>
    <w:rsid w:val="00D201AB"/>
    <w:rsid w:val="00D23395"/>
    <w:rsid w:val="00D236C3"/>
    <w:rsid w:val="00D30C55"/>
    <w:rsid w:val="00D3713C"/>
    <w:rsid w:val="00D46FED"/>
    <w:rsid w:val="00D56DE0"/>
    <w:rsid w:val="00D6183F"/>
    <w:rsid w:val="00D6542F"/>
    <w:rsid w:val="00D70646"/>
    <w:rsid w:val="00D721A2"/>
    <w:rsid w:val="00D73955"/>
    <w:rsid w:val="00D83BAF"/>
    <w:rsid w:val="00D8794D"/>
    <w:rsid w:val="00D954D4"/>
    <w:rsid w:val="00DA2B83"/>
    <w:rsid w:val="00DB0C9E"/>
    <w:rsid w:val="00DC05F8"/>
    <w:rsid w:val="00DC1607"/>
    <w:rsid w:val="00DC218C"/>
    <w:rsid w:val="00DC236D"/>
    <w:rsid w:val="00DC30FB"/>
    <w:rsid w:val="00DC3BCD"/>
    <w:rsid w:val="00DC4B94"/>
    <w:rsid w:val="00DD0459"/>
    <w:rsid w:val="00DE2FD2"/>
    <w:rsid w:val="00DE3A6C"/>
    <w:rsid w:val="00DE55EF"/>
    <w:rsid w:val="00DE679E"/>
    <w:rsid w:val="00DE68C3"/>
    <w:rsid w:val="00DE6A9E"/>
    <w:rsid w:val="00DF289C"/>
    <w:rsid w:val="00DF4DB1"/>
    <w:rsid w:val="00DF5E80"/>
    <w:rsid w:val="00DF667F"/>
    <w:rsid w:val="00E00078"/>
    <w:rsid w:val="00E0600B"/>
    <w:rsid w:val="00E11C36"/>
    <w:rsid w:val="00E14B7F"/>
    <w:rsid w:val="00E14CF3"/>
    <w:rsid w:val="00E171CF"/>
    <w:rsid w:val="00E230F0"/>
    <w:rsid w:val="00E26E92"/>
    <w:rsid w:val="00E50DEE"/>
    <w:rsid w:val="00E5395F"/>
    <w:rsid w:val="00E53C6C"/>
    <w:rsid w:val="00E543DE"/>
    <w:rsid w:val="00E54F47"/>
    <w:rsid w:val="00E74BD5"/>
    <w:rsid w:val="00E83899"/>
    <w:rsid w:val="00E947A3"/>
    <w:rsid w:val="00EA2171"/>
    <w:rsid w:val="00EC1C07"/>
    <w:rsid w:val="00EC7447"/>
    <w:rsid w:val="00ED6EE8"/>
    <w:rsid w:val="00EE0408"/>
    <w:rsid w:val="00EE72BB"/>
    <w:rsid w:val="00EF2A8D"/>
    <w:rsid w:val="00EF487D"/>
    <w:rsid w:val="00F11E64"/>
    <w:rsid w:val="00F20430"/>
    <w:rsid w:val="00F2488F"/>
    <w:rsid w:val="00F35F7A"/>
    <w:rsid w:val="00F46F94"/>
    <w:rsid w:val="00F50965"/>
    <w:rsid w:val="00F513BF"/>
    <w:rsid w:val="00F51F99"/>
    <w:rsid w:val="00F52B90"/>
    <w:rsid w:val="00F5501D"/>
    <w:rsid w:val="00F558A4"/>
    <w:rsid w:val="00F76D8A"/>
    <w:rsid w:val="00F7725E"/>
    <w:rsid w:val="00F81324"/>
    <w:rsid w:val="00F90AD5"/>
    <w:rsid w:val="00F94183"/>
    <w:rsid w:val="00FA1757"/>
    <w:rsid w:val="00FA424C"/>
    <w:rsid w:val="00FA5A80"/>
    <w:rsid w:val="00FA72FE"/>
    <w:rsid w:val="00FB0E34"/>
    <w:rsid w:val="00FB6636"/>
    <w:rsid w:val="00FB752B"/>
    <w:rsid w:val="00FC2456"/>
    <w:rsid w:val="00FC678C"/>
    <w:rsid w:val="00FC781D"/>
    <w:rsid w:val="00FD3B54"/>
    <w:rsid w:val="00FF0A37"/>
    <w:rsid w:val="05442F5E"/>
    <w:rsid w:val="06233BF8"/>
    <w:rsid w:val="07AA637F"/>
    <w:rsid w:val="0A530F50"/>
    <w:rsid w:val="0C923608"/>
    <w:rsid w:val="0E1E4387"/>
    <w:rsid w:val="11C46F35"/>
    <w:rsid w:val="121F3DCB"/>
    <w:rsid w:val="1444190A"/>
    <w:rsid w:val="15382F31"/>
    <w:rsid w:val="15501684"/>
    <w:rsid w:val="184C6BF0"/>
    <w:rsid w:val="18D86AC4"/>
    <w:rsid w:val="18E824BA"/>
    <w:rsid w:val="1B4456D2"/>
    <w:rsid w:val="1BDD2D6F"/>
    <w:rsid w:val="1D085F6E"/>
    <w:rsid w:val="1F14047D"/>
    <w:rsid w:val="20595821"/>
    <w:rsid w:val="210E6996"/>
    <w:rsid w:val="23806114"/>
    <w:rsid w:val="24877D1C"/>
    <w:rsid w:val="271A137E"/>
    <w:rsid w:val="27EB4651"/>
    <w:rsid w:val="2876311D"/>
    <w:rsid w:val="28923795"/>
    <w:rsid w:val="29382E6B"/>
    <w:rsid w:val="2CAD1AA3"/>
    <w:rsid w:val="2E572A39"/>
    <w:rsid w:val="2FD1167A"/>
    <w:rsid w:val="315A631F"/>
    <w:rsid w:val="32CB34CA"/>
    <w:rsid w:val="35076310"/>
    <w:rsid w:val="36C73571"/>
    <w:rsid w:val="37227431"/>
    <w:rsid w:val="37EB3CC7"/>
    <w:rsid w:val="3BDC775F"/>
    <w:rsid w:val="3E0B50C2"/>
    <w:rsid w:val="3E3B5595"/>
    <w:rsid w:val="3FB62E0C"/>
    <w:rsid w:val="413E3D02"/>
    <w:rsid w:val="41F44B61"/>
    <w:rsid w:val="434F15AD"/>
    <w:rsid w:val="44D0109A"/>
    <w:rsid w:val="45125AE6"/>
    <w:rsid w:val="46756273"/>
    <w:rsid w:val="48A20E5D"/>
    <w:rsid w:val="49920362"/>
    <w:rsid w:val="49A81A17"/>
    <w:rsid w:val="4D36558C"/>
    <w:rsid w:val="4EC81B2B"/>
    <w:rsid w:val="4FB83AA6"/>
    <w:rsid w:val="504B2B91"/>
    <w:rsid w:val="52A336C4"/>
    <w:rsid w:val="5386726D"/>
    <w:rsid w:val="53BD2563"/>
    <w:rsid w:val="56660C90"/>
    <w:rsid w:val="566D14D9"/>
    <w:rsid w:val="597C39F6"/>
    <w:rsid w:val="5A697FC3"/>
    <w:rsid w:val="5D760C7A"/>
    <w:rsid w:val="61EB0BE3"/>
    <w:rsid w:val="6269416D"/>
    <w:rsid w:val="62893EF8"/>
    <w:rsid w:val="63F0603D"/>
    <w:rsid w:val="660C5642"/>
    <w:rsid w:val="661758B8"/>
    <w:rsid w:val="68232E85"/>
    <w:rsid w:val="6AAE2FD3"/>
    <w:rsid w:val="6C4B5AD8"/>
    <w:rsid w:val="6E3851B0"/>
    <w:rsid w:val="6E531FEA"/>
    <w:rsid w:val="6F8E4795"/>
    <w:rsid w:val="70F159D9"/>
    <w:rsid w:val="72770B24"/>
    <w:rsid w:val="73AF78C0"/>
    <w:rsid w:val="74680687"/>
    <w:rsid w:val="752E18DF"/>
    <w:rsid w:val="756D573F"/>
    <w:rsid w:val="77915EC1"/>
    <w:rsid w:val="78434E7D"/>
    <w:rsid w:val="79DD1A52"/>
    <w:rsid w:val="7D6776A8"/>
    <w:rsid w:val="7D6D0417"/>
    <w:rsid w:val="7D954E34"/>
    <w:rsid w:val="7ED06D3F"/>
    <w:rsid w:val="7F6B0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360" w:lineRule="auto"/>
      <w:jc w:val="center"/>
      <w:outlineLvl w:val="0"/>
    </w:pPr>
    <w:rPr>
      <w:rFonts w:asciiTheme="minorHAnsi" w:hAnsiTheme="minorHAnsi"/>
      <w:b/>
      <w:kern w:val="44"/>
      <w:sz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qFormat/>
    <w:uiPriority w:val="0"/>
    <w:pPr>
      <w:jc w:val="left"/>
    </w:pPr>
  </w:style>
  <w:style w:type="paragraph" w:styleId="5">
    <w:name w:val="footer"/>
    <w:basedOn w:val="1"/>
    <w:link w:val="13"/>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4"/>
    <w:next w:val="4"/>
    <w:link w:val="16"/>
    <w:qFormat/>
    <w:uiPriority w:val="0"/>
    <w:rPr>
      <w:b/>
      <w:bCs/>
    </w:rPr>
  </w:style>
  <w:style w:type="character" w:styleId="11">
    <w:name w:val="annotation reference"/>
    <w:basedOn w:val="10"/>
    <w:qFormat/>
    <w:uiPriority w:val="0"/>
    <w:rPr>
      <w:sz w:val="21"/>
      <w:szCs w:val="21"/>
    </w:rPr>
  </w:style>
  <w:style w:type="character" w:customStyle="1" w:styleId="12">
    <w:name w:val="页眉 字符"/>
    <w:basedOn w:val="10"/>
    <w:link w:val="6"/>
    <w:autoRedefine/>
    <w:qFormat/>
    <w:uiPriority w:val="0"/>
    <w:rPr>
      <w:kern w:val="2"/>
      <w:sz w:val="18"/>
      <w:szCs w:val="18"/>
    </w:rPr>
  </w:style>
  <w:style w:type="character" w:customStyle="1" w:styleId="13">
    <w:name w:val="页脚 字符"/>
    <w:basedOn w:val="10"/>
    <w:link w:val="5"/>
    <w:autoRedefine/>
    <w:qFormat/>
    <w:uiPriority w:val="0"/>
    <w:rPr>
      <w:kern w:val="2"/>
      <w:sz w:val="18"/>
      <w:szCs w:val="18"/>
    </w:rPr>
  </w:style>
  <w:style w:type="paragraph" w:styleId="14">
    <w:name w:val="List Paragraph"/>
    <w:basedOn w:val="1"/>
    <w:qFormat/>
    <w:uiPriority w:val="99"/>
    <w:pPr>
      <w:ind w:firstLine="420" w:firstLineChars="200"/>
    </w:pPr>
  </w:style>
  <w:style w:type="character" w:customStyle="1" w:styleId="15">
    <w:name w:val="批注文字 字符"/>
    <w:basedOn w:val="10"/>
    <w:link w:val="4"/>
    <w:qFormat/>
    <w:uiPriority w:val="0"/>
    <w:rPr>
      <w:kern w:val="2"/>
      <w:sz w:val="21"/>
      <w:szCs w:val="22"/>
    </w:rPr>
  </w:style>
  <w:style w:type="character" w:customStyle="1" w:styleId="16">
    <w:name w:val="批注主题 字符"/>
    <w:basedOn w:val="15"/>
    <w:link w:val="8"/>
    <w:qFormat/>
    <w:uiPriority w:val="0"/>
    <w:rPr>
      <w:b/>
      <w:bCs/>
      <w:kern w:val="2"/>
      <w:sz w:val="21"/>
      <w:szCs w:val="22"/>
    </w:rPr>
  </w:style>
  <w:style w:type="paragraph" w:customStyle="1" w:styleId="17">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75F2D-DEE1-4A57-890D-9FAFC77F48E4}">
  <ds:schemaRefs/>
</ds:datastoreItem>
</file>

<file path=docProps/app.xml><?xml version="1.0" encoding="utf-8"?>
<Properties xmlns="http://schemas.openxmlformats.org/officeDocument/2006/extended-properties" xmlns:vt="http://schemas.openxmlformats.org/officeDocument/2006/docPropsVTypes">
  <Template>Normal</Template>
  <Pages>3</Pages>
  <Words>2039</Words>
  <Characters>2120</Characters>
  <Lines>69</Lines>
  <Paragraphs>54</Paragraphs>
  <TotalTime>30</TotalTime>
  <ScaleCrop>false</ScaleCrop>
  <LinksUpToDate>false</LinksUpToDate>
  <CharactersWithSpaces>2253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2025-09-15T00:55:00Z</dcterms:created>
  <dc:creator>guoyi.chen</dc:creator>
  <cp:lastModifiedBy>User</cp:lastModifiedBy>
  <cp:lastPrinted>2025-06-03T06:19:00Z</cp:lastPrinted>
  <dcterms:modified xsi:type="dcterms:W3CDTF">2025-11-20T09:54:37Z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307B2D87376A4C418F6CEEFCF2925272_13</vt:lpwstr>
  </property>
  <property fmtid="{D5CDD505-2E9C-101B-9397-08002B2CF9AE}" pid="4" name="KSOTemplateDocerSaveRecord">
    <vt:lpwstr>eyJoZGlkIjoiYThmNzkzZjFmYzkxNTE1OWEyM2Y5YjE5NmZjOGYyNmQiLCJ1c2VySWQiOiIyMjA5MDU1NTUifQ==</vt:lpwstr>
  </property>
</Properties>
</file>