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3E" w:rsidRDefault="005461A0" w:rsidP="0032207E">
      <w:pPr>
        <w:pStyle w:val="a3"/>
        <w:tabs>
          <w:tab w:val="left" w:pos="7867"/>
        </w:tabs>
        <w:spacing w:before="51"/>
        <w:ind w:left="232"/>
        <w:jc w:val="both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证券代码</w:t>
      </w:r>
      <w:r>
        <w:rPr>
          <w:rFonts w:asciiTheme="minorEastAsia" w:eastAsiaTheme="minorEastAsia" w:hAnsiTheme="minorEastAsia" w:cstheme="minorEastAsia" w:hint="eastAsia"/>
          <w:spacing w:val="-11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pacing w:val="-11"/>
          <w:sz w:val="24"/>
          <w:szCs w:val="24"/>
          <w:lang w:val="en-US"/>
        </w:rPr>
        <w:t>603315</w:t>
      </w:r>
      <w:r>
        <w:rPr>
          <w:rFonts w:asciiTheme="minorEastAsia" w:eastAsiaTheme="minorEastAsia" w:hAnsiTheme="minorEastAsia" w:cstheme="minorEastAsia" w:hint="eastAsia"/>
          <w:spacing w:val="-11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证券简称：福鞍股份</w:t>
      </w:r>
    </w:p>
    <w:p w:rsidR="00B01D3E" w:rsidRDefault="005461A0" w:rsidP="0032207E">
      <w:pPr>
        <w:spacing w:before="252" w:line="283" w:lineRule="auto"/>
        <w:ind w:left="3408" w:right="3522"/>
        <w:jc w:val="both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辽宁福鞍重工股份有限公司</w:t>
      </w:r>
    </w:p>
    <w:p w:rsidR="00B01D3E" w:rsidRDefault="005461A0" w:rsidP="0032207E">
      <w:pPr>
        <w:spacing w:before="252" w:line="283" w:lineRule="auto"/>
        <w:ind w:left="3408" w:right="3522" w:firstLineChars="100" w:firstLine="241"/>
        <w:jc w:val="both"/>
        <w:rPr>
          <w:rFonts w:asciiTheme="minorEastAsia" w:eastAsiaTheme="minorEastAsia" w:hAnsiTheme="minorEastAsia" w:cstheme="minorEastAsia"/>
          <w:b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投资者关系活动记录表</w:t>
      </w:r>
    </w:p>
    <w:p w:rsidR="00B01D3E" w:rsidRDefault="005461A0" w:rsidP="0032207E">
      <w:pPr>
        <w:jc w:val="both"/>
        <w:rPr>
          <w:lang w:val="en-US"/>
        </w:rPr>
      </w:pPr>
      <w:r>
        <w:rPr>
          <w:rFonts w:hint="eastAsia"/>
          <w:lang w:val="en-US"/>
        </w:rPr>
        <w:t>编号：</w:t>
      </w:r>
      <w:r w:rsidR="00215612">
        <w:rPr>
          <w:rFonts w:hint="eastAsia"/>
          <w:lang w:val="en-US"/>
        </w:rPr>
        <w:t>202</w:t>
      </w:r>
      <w:r w:rsidR="005D4C27">
        <w:rPr>
          <w:rFonts w:hint="eastAsia"/>
          <w:lang w:val="en-US"/>
        </w:rPr>
        <w:t>5</w:t>
      </w:r>
      <w:r w:rsidR="003E6161">
        <w:rPr>
          <w:lang w:val="en-US"/>
        </w:rPr>
        <w:t>-</w:t>
      </w:r>
      <w:r w:rsidR="00D71896">
        <w:rPr>
          <w:rFonts w:hint="eastAsia"/>
          <w:lang w:val="en-US"/>
        </w:rPr>
        <w:t>001</w:t>
      </w:r>
    </w:p>
    <w:p w:rsidR="00B01D3E" w:rsidRDefault="00B01D3E" w:rsidP="0032207E">
      <w:pPr>
        <w:pStyle w:val="a3"/>
        <w:jc w:val="both"/>
        <w:rPr>
          <w:rFonts w:asciiTheme="minorEastAsia" w:eastAsiaTheme="minorEastAsia" w:hAnsiTheme="minorEastAsia" w:cstheme="minorEastAsia"/>
          <w:b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15"/>
        <w:gridCol w:w="8302"/>
      </w:tblGrid>
      <w:tr w:rsidR="00B01D3E" w:rsidTr="003C5C83">
        <w:trPr>
          <w:trHeight w:val="2109"/>
        </w:trPr>
        <w:tc>
          <w:tcPr>
            <w:tcW w:w="2015" w:type="dxa"/>
            <w:vAlign w:val="center"/>
          </w:tcPr>
          <w:p w:rsidR="00B01D3E" w:rsidRDefault="00B01D3E" w:rsidP="00722462">
            <w:pPr>
              <w:pStyle w:val="TableParagraph"/>
              <w:spacing w:before="10"/>
              <w:ind w:left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Default="005461A0" w:rsidP="00722462">
            <w:pPr>
              <w:pStyle w:val="TableParagraph"/>
              <w:spacing w:line="290" w:lineRule="auto"/>
              <w:ind w:right="403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投资者来访类别</w:t>
            </w:r>
          </w:p>
        </w:tc>
        <w:tc>
          <w:tcPr>
            <w:tcW w:w="8302" w:type="dxa"/>
          </w:tcPr>
          <w:p w:rsidR="00B01D3E" w:rsidRDefault="00D71896" w:rsidP="0032207E">
            <w:pPr>
              <w:pStyle w:val="TableParagraph"/>
              <w:tabs>
                <w:tab w:val="left" w:pos="3189"/>
                <w:tab w:val="left" w:pos="6831"/>
              </w:tabs>
              <w:spacing w:before="25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D71896"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√</w:t>
            </w:r>
            <w:r w:rsidR="005461A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特定对象调研</w:t>
            </w:r>
            <w:r w:rsidR="005461A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r w:rsidR="005461A0"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□</w:t>
            </w:r>
            <w:r w:rsidR="005461A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分析师会议</w:t>
            </w:r>
            <w:r w:rsidR="005461A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r w:rsidR="005461A0"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□</w:t>
            </w:r>
            <w:r w:rsidR="005461A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媒体采访</w:t>
            </w:r>
          </w:p>
          <w:p w:rsidR="00B01D3E" w:rsidRDefault="00B01D3E" w:rsidP="0032207E">
            <w:pPr>
              <w:pStyle w:val="TableParagraph"/>
              <w:spacing w:before="8"/>
              <w:ind w:left="0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Default="005461A0" w:rsidP="0032207E">
            <w:pPr>
              <w:pStyle w:val="TableParagraph"/>
              <w:tabs>
                <w:tab w:val="left" w:pos="3189"/>
                <w:tab w:val="left" w:pos="6831"/>
              </w:tabs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业绩说明会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新闻发布会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r w:rsidR="00D71896" w:rsidRPr="00D71896"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:rsidR="00B01D3E" w:rsidRDefault="00B01D3E" w:rsidP="0032207E">
            <w:pPr>
              <w:pStyle w:val="TableParagraph"/>
              <w:spacing w:before="8"/>
              <w:ind w:left="0"/>
              <w:jc w:val="both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Default="005461A0" w:rsidP="0032207E">
            <w:pPr>
              <w:pStyle w:val="TableParagraph"/>
              <w:tabs>
                <w:tab w:val="left" w:pos="3189"/>
                <w:tab w:val="left" w:pos="6615"/>
              </w:tabs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一对一沟通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ab/>
            </w:r>
          </w:p>
        </w:tc>
      </w:tr>
      <w:tr w:rsidR="00B01D3E" w:rsidTr="003C5C83">
        <w:trPr>
          <w:trHeight w:val="1240"/>
        </w:trPr>
        <w:tc>
          <w:tcPr>
            <w:tcW w:w="2015" w:type="dxa"/>
            <w:vAlign w:val="center"/>
          </w:tcPr>
          <w:p w:rsidR="00B01D3E" w:rsidRDefault="00B01D3E" w:rsidP="00722462">
            <w:pPr>
              <w:pStyle w:val="TableParagraph"/>
              <w:spacing w:before="1"/>
              <w:ind w:left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Default="005461A0" w:rsidP="00722462">
            <w:pPr>
              <w:pStyle w:val="TableParagraph"/>
              <w:spacing w:line="290" w:lineRule="auto"/>
              <w:ind w:left="273" w:right="123" w:hanging="142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来访单位名称及人员名称</w:t>
            </w:r>
          </w:p>
        </w:tc>
        <w:tc>
          <w:tcPr>
            <w:tcW w:w="8302" w:type="dxa"/>
            <w:vAlign w:val="center"/>
          </w:tcPr>
          <w:p w:rsidR="00B01D3E" w:rsidRPr="00A54D63" w:rsidRDefault="00D71896" w:rsidP="00A54D63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中天自营、昶元投资、明澄投资、偕丰资产、君</w:t>
            </w:r>
            <w:r w:rsidR="00722462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屹资产、文浩投资、竹润投资、真科基金、信达证券、华福证券、中航证券、民生证券、华安证券、中邮证券、国盛证券、个人投资者</w:t>
            </w:r>
          </w:p>
        </w:tc>
      </w:tr>
      <w:tr w:rsidR="00B01D3E" w:rsidTr="003C5C83">
        <w:trPr>
          <w:trHeight w:val="719"/>
        </w:trPr>
        <w:tc>
          <w:tcPr>
            <w:tcW w:w="2015" w:type="dxa"/>
            <w:vAlign w:val="center"/>
          </w:tcPr>
          <w:p w:rsidR="00B01D3E" w:rsidRDefault="005461A0" w:rsidP="00722462">
            <w:pPr>
              <w:pStyle w:val="TableParagraph"/>
              <w:spacing w:before="88"/>
              <w:ind w:left="92" w:right="82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来访时间</w:t>
            </w:r>
          </w:p>
        </w:tc>
        <w:tc>
          <w:tcPr>
            <w:tcW w:w="8302" w:type="dxa"/>
          </w:tcPr>
          <w:p w:rsidR="00B01D3E" w:rsidRDefault="00722462" w:rsidP="00A54D63">
            <w:pPr>
              <w:pStyle w:val="TableParagraph"/>
              <w:spacing w:before="18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2025年11月21日</w:t>
            </w:r>
          </w:p>
        </w:tc>
      </w:tr>
      <w:tr w:rsidR="00B01D3E" w:rsidTr="003C5C83">
        <w:trPr>
          <w:trHeight w:val="664"/>
        </w:trPr>
        <w:tc>
          <w:tcPr>
            <w:tcW w:w="2015" w:type="dxa"/>
            <w:vAlign w:val="center"/>
          </w:tcPr>
          <w:p w:rsidR="00B01D3E" w:rsidRDefault="005461A0" w:rsidP="00722462">
            <w:pPr>
              <w:pStyle w:val="TableParagraph"/>
              <w:spacing w:before="61"/>
              <w:ind w:left="92" w:right="82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来访地点</w:t>
            </w:r>
          </w:p>
        </w:tc>
        <w:tc>
          <w:tcPr>
            <w:tcW w:w="8302" w:type="dxa"/>
          </w:tcPr>
          <w:p w:rsidR="00B01D3E" w:rsidRDefault="00722462" w:rsidP="00215612">
            <w:pPr>
              <w:pStyle w:val="TableParagraph"/>
              <w:spacing w:before="154"/>
              <w:ind w:left="0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公司现场</w:t>
            </w:r>
          </w:p>
        </w:tc>
      </w:tr>
      <w:tr w:rsidR="00B01D3E" w:rsidTr="003C5C83">
        <w:trPr>
          <w:trHeight w:val="834"/>
        </w:trPr>
        <w:tc>
          <w:tcPr>
            <w:tcW w:w="2015" w:type="dxa"/>
            <w:tcBorders>
              <w:bottom w:val="single" w:sz="6" w:space="0" w:color="000000"/>
            </w:tcBorders>
            <w:vAlign w:val="center"/>
          </w:tcPr>
          <w:p w:rsidR="00B01D3E" w:rsidRPr="00A54D63" w:rsidRDefault="00B01D3E" w:rsidP="00722462">
            <w:pPr>
              <w:pStyle w:val="TableParagraph"/>
              <w:spacing w:before="2"/>
              <w:ind w:left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Pr="00A54D63" w:rsidRDefault="005461A0" w:rsidP="00722462">
            <w:pPr>
              <w:pStyle w:val="TableParagraph"/>
              <w:ind w:left="92" w:right="131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 w:rsidRPr="00A54D63"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8302" w:type="dxa"/>
            <w:tcBorders>
              <w:bottom w:val="single" w:sz="6" w:space="0" w:color="000000"/>
            </w:tcBorders>
            <w:vAlign w:val="center"/>
          </w:tcPr>
          <w:p w:rsidR="00B01D3E" w:rsidRPr="00A54D63" w:rsidRDefault="00722462" w:rsidP="00357A1E">
            <w:pPr>
              <w:pStyle w:val="TableParagraph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穆建华、秦帅、任馥臻</w:t>
            </w:r>
          </w:p>
        </w:tc>
      </w:tr>
      <w:tr w:rsidR="00B01D3E" w:rsidTr="003C5C83">
        <w:trPr>
          <w:trHeight w:val="4063"/>
        </w:trPr>
        <w:tc>
          <w:tcPr>
            <w:tcW w:w="2015" w:type="dxa"/>
            <w:vAlign w:val="center"/>
          </w:tcPr>
          <w:p w:rsidR="00B01D3E" w:rsidRDefault="00B01D3E" w:rsidP="00722462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Default="00B01D3E" w:rsidP="00722462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Pr="003E6161" w:rsidRDefault="00B01D3E" w:rsidP="00722462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  <w:lang w:val="en-US"/>
              </w:rPr>
            </w:pPr>
          </w:p>
          <w:p w:rsidR="00B01D3E" w:rsidRDefault="00B01D3E" w:rsidP="00722462">
            <w:pPr>
              <w:pStyle w:val="TableParagraph"/>
              <w:spacing w:before="11"/>
              <w:ind w:left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  <w:p w:rsidR="00B01D3E" w:rsidRDefault="005461A0" w:rsidP="00722462">
            <w:pPr>
              <w:pStyle w:val="TableParagraph"/>
              <w:spacing w:line="290" w:lineRule="auto"/>
              <w:ind w:left="131" w:right="123" w:firstLine="129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投资者来访主要内容介绍</w:t>
            </w:r>
          </w:p>
        </w:tc>
        <w:tc>
          <w:tcPr>
            <w:tcW w:w="8302" w:type="dxa"/>
          </w:tcPr>
          <w:p w:rsidR="00722462" w:rsidRDefault="00722462" w:rsidP="00050F80">
            <w:pPr>
              <w:widowControl/>
              <w:adjustRightInd w:val="0"/>
              <w:snapToGrid w:val="0"/>
              <w:spacing w:beforeLines="50"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B218D2">
              <w:rPr>
                <w:rFonts w:asciiTheme="minorEastAsia" w:hAnsiTheme="minorEastAsia" w:hint="eastAsia"/>
                <w:sz w:val="24"/>
                <w:szCs w:val="24"/>
              </w:rPr>
              <w:t>公司装备制造板块主要产品有哪些，</w:t>
            </w:r>
            <w:r w:rsidR="0001437C">
              <w:rPr>
                <w:rFonts w:asciiTheme="minorEastAsia" w:hAnsiTheme="minorEastAsia" w:hint="eastAsia"/>
                <w:sz w:val="24"/>
                <w:szCs w:val="24"/>
              </w:rPr>
              <w:t>对接客户群体国内外划分情况？</w:t>
            </w:r>
          </w:p>
          <w:p w:rsidR="006C5EF0" w:rsidRDefault="00A83384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01437C" w:rsidRPr="00AD18F0">
              <w:rPr>
                <w:rFonts w:asciiTheme="minorEastAsia" w:hAnsiTheme="minorEastAsia" w:hint="eastAsia"/>
                <w:sz w:val="24"/>
                <w:szCs w:val="24"/>
              </w:rPr>
              <w:t>公司主要从事重大技术装备配套大型铸钢件的生产和销售。公司产品按照用途可以分为火电设备铸件、水电设备铸件以及其他铸件，主要火电产品有：高</w:t>
            </w:r>
            <w:r w:rsidR="0001437C" w:rsidRPr="00AD18F0">
              <w:rPr>
                <w:rFonts w:asciiTheme="minorEastAsia" w:hAnsiTheme="minorEastAsia"/>
                <w:sz w:val="24"/>
                <w:szCs w:val="24"/>
              </w:rPr>
              <w:t>/中压内、外汽缸；阀体/缸体；超</w:t>
            </w:r>
            <w:r w:rsidR="0001437C" w:rsidRPr="00AD18F0">
              <w:rPr>
                <w:rFonts w:asciiTheme="minorEastAsia" w:hAnsiTheme="minorEastAsia" w:hint="eastAsia"/>
                <w:sz w:val="24"/>
                <w:szCs w:val="24"/>
              </w:rPr>
              <w:t>超临界主汽调节阀；燃机排气缸、燃机透平缸等；水电产品：上冠、下环、转轮体、推力头、叶片、增能器、导叶等；轨道交通产品：内燃机转向架、矿用卡车</w:t>
            </w:r>
            <w:r w:rsidR="0001437C">
              <w:rPr>
                <w:rFonts w:asciiTheme="minorEastAsia" w:hAnsiTheme="minorEastAsia" w:hint="eastAsia"/>
                <w:sz w:val="24"/>
                <w:szCs w:val="24"/>
              </w:rPr>
              <w:t>交通类产品</w:t>
            </w:r>
            <w:r w:rsidR="0001437C" w:rsidRPr="00AD18F0">
              <w:rPr>
                <w:rFonts w:asciiTheme="minorEastAsia" w:hAnsiTheme="minorEastAsia" w:hint="eastAsia"/>
                <w:sz w:val="24"/>
                <w:szCs w:val="24"/>
              </w:rPr>
              <w:t>轮毂、架体等。</w:t>
            </w:r>
          </w:p>
          <w:p w:rsidR="0001437C" w:rsidRDefault="0001437C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我们的</w:t>
            </w:r>
            <w:r w:rsidRPr="00AD18F0">
              <w:rPr>
                <w:rFonts w:asciiTheme="minorEastAsia" w:hAnsiTheme="minorEastAsia" w:hint="eastAsia"/>
                <w:sz w:val="24"/>
                <w:szCs w:val="24"/>
              </w:rPr>
              <w:t>主要客户以世界</w:t>
            </w:r>
            <w:r w:rsidRPr="00AD18F0">
              <w:rPr>
                <w:rFonts w:asciiTheme="minorEastAsia" w:hAnsiTheme="minorEastAsia"/>
                <w:sz w:val="24"/>
                <w:szCs w:val="24"/>
              </w:rPr>
              <w:t>500强企业为主，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国内客户主要有哈电集团、东方电气、上海电气等企业；国外客户主要有GE、日本三菱、</w:t>
            </w:r>
            <w:r w:rsidR="006C5EF0">
              <w:rPr>
                <w:rFonts w:asciiTheme="minorEastAsia" w:hAnsiTheme="minorEastAsia" w:hint="eastAsia"/>
                <w:sz w:val="24"/>
                <w:szCs w:val="24"/>
              </w:rPr>
              <w:t>西屋制动等企业；</w:t>
            </w:r>
            <w:r w:rsidR="003C5C83">
              <w:rPr>
                <w:rFonts w:asciiTheme="minorEastAsia" w:hAnsiTheme="minorEastAsia" w:hint="eastAsia"/>
                <w:sz w:val="24"/>
                <w:szCs w:val="24"/>
              </w:rPr>
              <w:t>公司已与各方达成长期稳定合作关系且相关进展一切顺利。未来，</w:t>
            </w:r>
            <w:r w:rsidR="006C5EF0" w:rsidRPr="006C5EF0">
              <w:rPr>
                <w:rFonts w:asciiTheme="minorEastAsia" w:hAnsiTheme="minorEastAsia" w:hint="eastAsia"/>
                <w:sz w:val="24"/>
                <w:szCs w:val="24"/>
              </w:rPr>
              <w:t>公司将</w:t>
            </w:r>
            <w:r w:rsidR="003C5C83">
              <w:rPr>
                <w:rFonts w:asciiTheme="minorEastAsia" w:hAnsiTheme="minorEastAsia" w:hint="eastAsia"/>
                <w:sz w:val="24"/>
                <w:szCs w:val="24"/>
              </w:rPr>
              <w:t>会继</w:t>
            </w:r>
            <w:r w:rsidR="006C5EF0">
              <w:rPr>
                <w:rFonts w:asciiTheme="minorEastAsia" w:hAnsiTheme="minorEastAsia" w:hint="eastAsia"/>
                <w:sz w:val="24"/>
                <w:szCs w:val="24"/>
              </w:rPr>
              <w:t>续</w:t>
            </w:r>
            <w:r w:rsidR="006C5EF0" w:rsidRPr="006C5EF0">
              <w:rPr>
                <w:rFonts w:asciiTheme="minorEastAsia" w:hAnsiTheme="minorEastAsia" w:hint="eastAsia"/>
                <w:sz w:val="24"/>
                <w:szCs w:val="24"/>
              </w:rPr>
              <w:t>深耕主业，不断提升核心竞争力！</w:t>
            </w:r>
          </w:p>
          <w:p w:rsidR="00412F72" w:rsidRPr="00412F72" w:rsidRDefault="0001437C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01437C">
              <w:rPr>
                <w:rFonts w:asciiTheme="minorEastAsia" w:hAnsiTheme="minorEastAsia" w:hint="eastAsia"/>
                <w:sz w:val="24"/>
                <w:szCs w:val="24"/>
              </w:rPr>
              <w:t>2.装备制造板块</w:t>
            </w:r>
            <w:r w:rsidR="003C5C8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01437C">
              <w:rPr>
                <w:rFonts w:asciiTheme="minorEastAsia" w:hAnsiTheme="minorEastAsia" w:hint="eastAsia"/>
                <w:sz w:val="24"/>
                <w:szCs w:val="24"/>
              </w:rPr>
              <w:t>产值为多少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412F72">
              <w:rPr>
                <w:rFonts w:asciiTheme="minorEastAsia" w:hAnsiTheme="minorEastAsia" w:hint="eastAsia"/>
                <w:sz w:val="24"/>
                <w:szCs w:val="24"/>
              </w:rPr>
              <w:t>未来</w:t>
            </w:r>
            <w:r w:rsidR="00412F72" w:rsidRPr="00412F72">
              <w:rPr>
                <w:rFonts w:asciiTheme="minorEastAsia" w:hAnsiTheme="minorEastAsia" w:hint="eastAsia"/>
                <w:sz w:val="24"/>
                <w:szCs w:val="24"/>
              </w:rPr>
              <w:t>公司是否</w:t>
            </w:r>
            <w:r w:rsidR="00412F72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="00412F72" w:rsidRPr="00412F72">
              <w:rPr>
                <w:rFonts w:asciiTheme="minorEastAsia" w:hAnsiTheme="minorEastAsia" w:hint="eastAsia"/>
                <w:sz w:val="24"/>
                <w:szCs w:val="24"/>
              </w:rPr>
              <w:t>扩产</w:t>
            </w:r>
            <w:r w:rsidR="00412F72">
              <w:rPr>
                <w:rFonts w:asciiTheme="minorEastAsia" w:hAnsiTheme="minorEastAsia" w:hint="eastAsia"/>
                <w:sz w:val="24"/>
                <w:szCs w:val="24"/>
              </w:rPr>
              <w:t>的计划</w:t>
            </w:r>
            <w:r w:rsidR="00412F72" w:rsidRPr="00412F72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:rsidR="0001437C" w:rsidRDefault="003C5C83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答：2024年整体收入产值约为5.5亿，</w:t>
            </w:r>
            <w:r w:rsidR="00357A1E">
              <w:rPr>
                <w:rFonts w:asciiTheme="minorEastAsia" w:hAnsiTheme="minorEastAsia" w:hint="eastAsia"/>
                <w:sz w:val="24"/>
                <w:szCs w:val="24"/>
              </w:rPr>
              <w:t>2025年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较比去年</w:t>
            </w:r>
            <w:r w:rsidR="00546745">
              <w:rPr>
                <w:rFonts w:asciiTheme="minorEastAsia" w:hAnsiTheme="minorEastAsia" w:hint="eastAsia"/>
                <w:sz w:val="24"/>
                <w:szCs w:val="24"/>
              </w:rPr>
              <w:t>略有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增加</w:t>
            </w:r>
            <w:r w:rsidR="0054674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412F72">
              <w:rPr>
                <w:rFonts w:asciiTheme="minorEastAsia" w:hAnsiTheme="minorEastAsia" w:hint="eastAsia"/>
                <w:sz w:val="24"/>
                <w:szCs w:val="24"/>
              </w:rPr>
              <w:t>随着</w:t>
            </w:r>
            <w:r w:rsidR="00546745">
              <w:rPr>
                <w:rFonts w:asciiTheme="minorEastAsia" w:hAnsiTheme="minorEastAsia" w:hint="eastAsia"/>
                <w:sz w:val="24"/>
                <w:szCs w:val="24"/>
              </w:rPr>
              <w:t>客户需求</w:t>
            </w:r>
            <w:r w:rsidR="00412F72">
              <w:rPr>
                <w:rFonts w:asciiTheme="minorEastAsia" w:hAnsiTheme="minorEastAsia" w:hint="eastAsia"/>
                <w:sz w:val="24"/>
                <w:szCs w:val="24"/>
              </w:rPr>
              <w:t>的不断增长、订单量增多，</w:t>
            </w:r>
            <w:r w:rsidR="00FB7D12">
              <w:rPr>
                <w:rFonts w:asciiTheme="minorEastAsia" w:hAnsiTheme="minorEastAsia" w:hint="eastAsia"/>
                <w:sz w:val="24"/>
                <w:szCs w:val="24"/>
              </w:rPr>
              <w:t>公司有计划从以下两个路径着手实现扩产：</w:t>
            </w:r>
          </w:p>
          <w:p w:rsidR="00546745" w:rsidRPr="00546745" w:rsidRDefault="00546745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1）</w:t>
            </w:r>
            <w:r w:rsidRPr="00546745">
              <w:rPr>
                <w:rFonts w:asciiTheme="minorEastAsia" w:hAnsiTheme="minorEastAsia" w:hint="eastAsia"/>
                <w:sz w:val="24"/>
                <w:szCs w:val="24"/>
              </w:rPr>
              <w:t>推进技术升级与智能化改造。计划在生产制造关键环节，包括焊接、热处理、打磨及机械加工等工序，系统引入工业机器人、</w:t>
            </w:r>
            <w:r w:rsidRPr="00546745">
              <w:rPr>
                <w:rFonts w:asciiTheme="minorEastAsia" w:hAnsiTheme="minorEastAsia"/>
                <w:sz w:val="24"/>
                <w:szCs w:val="24"/>
              </w:rPr>
              <w:t>3D打印</w:t>
            </w:r>
            <w:r w:rsidR="00FB7D12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546745">
              <w:rPr>
                <w:rFonts w:asciiTheme="minorEastAsia" w:hAnsiTheme="minorEastAsia"/>
                <w:sz w:val="24"/>
                <w:szCs w:val="24"/>
              </w:rPr>
              <w:t>自动化</w:t>
            </w:r>
            <w:r w:rsidR="00403E4A">
              <w:rPr>
                <w:rFonts w:asciiTheme="minorEastAsia" w:hAnsiTheme="minorEastAsia" w:hint="eastAsia"/>
                <w:sz w:val="24"/>
                <w:szCs w:val="24"/>
              </w:rPr>
              <w:t>设</w:t>
            </w:r>
            <w:r w:rsidRPr="00546745">
              <w:rPr>
                <w:rFonts w:asciiTheme="minorEastAsia" w:hAnsiTheme="minorEastAsia"/>
                <w:sz w:val="24"/>
                <w:szCs w:val="24"/>
              </w:rPr>
              <w:t>备，并持续优化设备运行效率。通过生产线转型升级，全面提升自动化与智能化水平，实现产能的有效提升。</w:t>
            </w:r>
          </w:p>
          <w:p w:rsidR="00546745" w:rsidRDefault="00546745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2）</w:t>
            </w:r>
            <w:r w:rsidRPr="00546745">
              <w:rPr>
                <w:rFonts w:asciiTheme="minorEastAsia" w:hAnsiTheme="minorEastAsia" w:hint="eastAsia"/>
                <w:sz w:val="24"/>
                <w:szCs w:val="24"/>
              </w:rPr>
              <w:t>扩大基</w:t>
            </w:r>
            <w:r w:rsidR="00FB7D12">
              <w:rPr>
                <w:rFonts w:asciiTheme="minorEastAsia" w:hAnsiTheme="minorEastAsia" w:hint="eastAsia"/>
                <w:sz w:val="24"/>
                <w:szCs w:val="24"/>
              </w:rPr>
              <w:t>础设施与资源投入。计划新增生产设备、拓展场地规模并补充相应人员，通过实体资源的投入</w:t>
            </w:r>
            <w:r w:rsidRPr="00546745">
              <w:rPr>
                <w:rFonts w:asciiTheme="minorEastAsia" w:hAnsiTheme="minorEastAsia" w:hint="eastAsia"/>
                <w:sz w:val="24"/>
                <w:szCs w:val="24"/>
              </w:rPr>
              <w:t>扩大生产规模。</w:t>
            </w:r>
          </w:p>
          <w:p w:rsidR="00FB7D12" w:rsidRDefault="00FB7D12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此外，公司也将从产品战略和风险平衡等方向综合决策，实现扩产增效、增加收益。</w:t>
            </w:r>
          </w:p>
          <w:p w:rsidR="00EF4109" w:rsidRPr="0001437C" w:rsidRDefault="0001437C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01437C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8E7F87" w:rsidRPr="0001437C">
              <w:rPr>
                <w:rFonts w:asciiTheme="minorEastAsia" w:hAnsiTheme="minorEastAsia" w:hint="eastAsia"/>
                <w:sz w:val="24"/>
                <w:szCs w:val="24"/>
              </w:rPr>
              <w:t>乐山</w:t>
            </w:r>
            <w:r w:rsidR="008E7F87" w:rsidRPr="0001437C">
              <w:rPr>
                <w:rFonts w:asciiTheme="minorEastAsia" w:hAnsiTheme="minorEastAsia"/>
                <w:sz w:val="24"/>
                <w:szCs w:val="24"/>
              </w:rPr>
              <w:t>燃机</w:t>
            </w:r>
            <w:r w:rsidR="008E7F87" w:rsidRPr="0001437C">
              <w:rPr>
                <w:rFonts w:asciiTheme="minorEastAsia" w:hAnsiTheme="minorEastAsia" w:hint="eastAsia"/>
                <w:sz w:val="24"/>
                <w:szCs w:val="24"/>
              </w:rPr>
              <w:t>合作项目</w:t>
            </w:r>
            <w:r w:rsidR="00785720" w:rsidRPr="0001437C">
              <w:rPr>
                <w:rFonts w:asciiTheme="minorEastAsia" w:hAnsiTheme="minorEastAsia" w:hint="eastAsia"/>
                <w:sz w:val="24"/>
                <w:szCs w:val="24"/>
              </w:rPr>
              <w:t>具体情况</w:t>
            </w:r>
            <w:r w:rsidR="004426AB">
              <w:rPr>
                <w:rFonts w:asciiTheme="minorEastAsia" w:hAnsiTheme="minorEastAsia" w:hint="eastAsia"/>
                <w:sz w:val="24"/>
                <w:szCs w:val="24"/>
              </w:rPr>
              <w:t>、投产期限</w:t>
            </w:r>
            <w:r w:rsidR="008E7F87" w:rsidRPr="0001437C">
              <w:rPr>
                <w:rFonts w:asciiTheme="minorEastAsia" w:hAnsiTheme="minorEastAsia"/>
                <w:sz w:val="24"/>
                <w:szCs w:val="24"/>
              </w:rPr>
              <w:t>？</w:t>
            </w:r>
          </w:p>
          <w:p w:rsidR="004426AB" w:rsidRDefault="00785720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01437C"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bookmarkStart w:id="0" w:name="OLE_LINK3"/>
            <w:bookmarkStart w:id="1" w:name="OLE_LINK4"/>
            <w:r w:rsidRPr="0001437C">
              <w:rPr>
                <w:rFonts w:asciiTheme="minorEastAsia" w:hAnsiTheme="minorEastAsia"/>
                <w:sz w:val="24"/>
                <w:szCs w:val="24"/>
              </w:rPr>
              <w:t>乐山燃机合作项目公司主要是以实物资产和技术出资，乐山高新投及投资基金以货币出资，建设期预计为十二个月。</w:t>
            </w:r>
            <w:r w:rsidRPr="0001437C">
              <w:rPr>
                <w:rFonts w:asciiTheme="minorEastAsia" w:hAnsiTheme="minorEastAsia" w:hint="eastAsia"/>
                <w:sz w:val="24"/>
                <w:szCs w:val="24"/>
              </w:rPr>
              <w:t>目前，</w:t>
            </w:r>
            <w:r w:rsidR="009B56B8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01437C">
              <w:rPr>
                <w:rFonts w:asciiTheme="minorEastAsia" w:hAnsiTheme="minorEastAsia"/>
                <w:sz w:val="24"/>
                <w:szCs w:val="24"/>
              </w:rPr>
              <w:t>与乐山高新投的合作协议已经正式签署，相关工作正在稳步推进中</w:t>
            </w:r>
            <w:r w:rsidR="009B56B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4426AB" w:rsidRPr="004426AB">
              <w:rPr>
                <w:rFonts w:asciiTheme="minorEastAsia" w:hAnsiTheme="minorEastAsia" w:hint="eastAsia"/>
                <w:sz w:val="24"/>
                <w:szCs w:val="24"/>
              </w:rPr>
              <w:t>同时，公司正积极加快推进示范项目的落地实施，为项目投产后迅速拓展市场</w:t>
            </w:r>
            <w:bookmarkEnd w:id="0"/>
            <w:bookmarkEnd w:id="1"/>
            <w:r w:rsidR="004426AB">
              <w:rPr>
                <w:rFonts w:asciiTheme="minorEastAsia" w:hAnsiTheme="minorEastAsia" w:hint="eastAsia"/>
                <w:sz w:val="24"/>
                <w:szCs w:val="24"/>
              </w:rPr>
              <w:t>奠定基础。</w:t>
            </w:r>
          </w:p>
          <w:p w:rsidR="004426AB" w:rsidRDefault="004426AB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="00357A1E">
              <w:rPr>
                <w:rFonts w:asciiTheme="minorEastAsia" w:hAnsiTheme="minorEastAsia" w:hint="eastAsia"/>
                <w:sz w:val="24"/>
                <w:szCs w:val="24"/>
              </w:rPr>
              <w:t>公司业务毛利率较低的原因、将采取什么措施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:rsidR="004426AB" w:rsidRPr="00357A1E" w:rsidRDefault="004426AB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357A1E">
              <w:rPr>
                <w:rFonts w:asciiTheme="minorEastAsia" w:hAnsiTheme="minorEastAsia" w:hint="eastAsia"/>
                <w:sz w:val="24"/>
                <w:szCs w:val="24"/>
              </w:rPr>
              <w:t>答：毛利率较低主要是受市场波动影响。公司</w:t>
            </w:r>
            <w:r w:rsidRPr="00357A1E">
              <w:rPr>
                <w:rFonts w:asciiTheme="minorEastAsia" w:hAnsiTheme="minorEastAsia"/>
                <w:sz w:val="24"/>
                <w:szCs w:val="24"/>
              </w:rPr>
              <w:t>将重点推进以下工作：狠抓订单质量，积极争取高毛利订单，优化销售结构；深化降本增效，全面压缩非生产性开支，提升生产效率和资源利用率；加速项目落地，推动在建项目尽快产生效益，培育新的利润增长点。公司上下正团结一致，全力以赴改善公司盈利能力。</w:t>
            </w:r>
          </w:p>
          <w:p w:rsidR="00357A1E" w:rsidRDefault="00357A1E" w:rsidP="00403E4A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5.上海福鞍集铁的AI算力租赁业务是否开展？</w:t>
            </w:r>
          </w:p>
          <w:p w:rsidR="00357A1E" w:rsidRPr="0001437C" w:rsidRDefault="00357A1E" w:rsidP="007A1C84">
            <w:pPr>
              <w:widowControl/>
              <w:adjustRightInd w:val="0"/>
              <w:snapToGrid w:val="0"/>
              <w:spacing w:line="360" w:lineRule="auto"/>
              <w:ind w:leftChars="50" w:left="110" w:rightChars="50" w:right="110" w:firstLineChars="200" w:firstLine="48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答：目前公司尚未开展该项业务。算力租赁业务</w:t>
            </w:r>
            <w:r w:rsidRPr="00357A1E">
              <w:rPr>
                <w:rFonts w:asciiTheme="minorEastAsia" w:hAnsiTheme="minorEastAsia" w:hint="eastAsia"/>
                <w:sz w:val="24"/>
                <w:szCs w:val="24"/>
              </w:rPr>
              <w:t>是公司为进一步提升盈利能力、探索业务多元化而</w:t>
            </w:r>
            <w:r w:rsidR="007A1C84">
              <w:rPr>
                <w:rFonts w:asciiTheme="minorEastAsia" w:hAnsiTheme="minorEastAsia" w:hint="eastAsia"/>
                <w:sz w:val="24"/>
                <w:szCs w:val="24"/>
              </w:rPr>
              <w:t>做的前期</w:t>
            </w:r>
            <w:r w:rsidRPr="00357A1E">
              <w:rPr>
                <w:rFonts w:asciiTheme="minorEastAsia" w:hAnsiTheme="minorEastAsia" w:hint="eastAsia"/>
                <w:sz w:val="24"/>
                <w:szCs w:val="24"/>
              </w:rPr>
              <w:t>尝试。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由于</w:t>
            </w:r>
            <w:r w:rsidRPr="00357A1E">
              <w:rPr>
                <w:rFonts w:asciiTheme="minorEastAsia" w:hAnsiTheme="minorEastAsia" w:hint="eastAsia"/>
                <w:sz w:val="24"/>
                <w:szCs w:val="24"/>
              </w:rPr>
              <w:t>该业务市场透明度较高，回报水平与预期存在一定差距。同时，考虑到大规模投入涉及的合同履约风险、资产回收周期及资金占用等因素，经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公司综合评估后</w:t>
            </w:r>
            <w:r w:rsidRPr="00357A1E">
              <w:rPr>
                <w:rFonts w:asciiTheme="minorEastAsia" w:hAnsiTheme="minorEastAsia" w:hint="eastAsia"/>
                <w:sz w:val="24"/>
                <w:szCs w:val="24"/>
              </w:rPr>
              <w:t>基于审慎经营原则，暂未对该业务进行实质性资产投入。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后续</w:t>
            </w:r>
            <w:r w:rsidRPr="00357A1E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="007A1C84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根据</w:t>
            </w:r>
            <w:r w:rsidRPr="00357A1E">
              <w:rPr>
                <w:rFonts w:asciiTheme="minorEastAsia" w:hAnsiTheme="minorEastAsia" w:hint="eastAsia"/>
                <w:sz w:val="24"/>
                <w:szCs w:val="24"/>
              </w:rPr>
              <w:t>市场变化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及实际情况考虑其未来发展情况。</w:t>
            </w:r>
          </w:p>
        </w:tc>
      </w:tr>
      <w:tr w:rsidR="00B01D3E" w:rsidTr="003C5C83">
        <w:trPr>
          <w:trHeight w:val="623"/>
        </w:trPr>
        <w:tc>
          <w:tcPr>
            <w:tcW w:w="2015" w:type="dxa"/>
            <w:vAlign w:val="center"/>
          </w:tcPr>
          <w:p w:rsidR="00B01D3E" w:rsidRDefault="005461A0" w:rsidP="00722462">
            <w:pPr>
              <w:pStyle w:val="TableParagraph"/>
              <w:spacing w:before="40"/>
              <w:ind w:left="92" w:right="85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8302" w:type="dxa"/>
          </w:tcPr>
          <w:p w:rsidR="00B01D3E" w:rsidRDefault="00722462" w:rsidP="0032207E">
            <w:pPr>
              <w:pStyle w:val="TableParagraph"/>
              <w:spacing w:before="132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无</w:t>
            </w:r>
          </w:p>
        </w:tc>
      </w:tr>
      <w:tr w:rsidR="00B01D3E" w:rsidTr="003C5C83">
        <w:trPr>
          <w:trHeight w:val="626"/>
        </w:trPr>
        <w:tc>
          <w:tcPr>
            <w:tcW w:w="2015" w:type="dxa"/>
            <w:vAlign w:val="center"/>
          </w:tcPr>
          <w:p w:rsidR="00B01D3E" w:rsidRPr="00276F97" w:rsidRDefault="005461A0" w:rsidP="00722462">
            <w:pPr>
              <w:pStyle w:val="TableParagraph"/>
              <w:spacing w:before="40"/>
              <w:ind w:left="92" w:right="82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 w:rsidRPr="00276F97"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8302" w:type="dxa"/>
          </w:tcPr>
          <w:p w:rsidR="00B01D3E" w:rsidRPr="00276F97" w:rsidRDefault="00722462" w:rsidP="00276F97">
            <w:pPr>
              <w:pStyle w:val="TableParagraph"/>
              <w:spacing w:before="132"/>
              <w:jc w:val="both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2025年11月21日</w:t>
            </w:r>
          </w:p>
        </w:tc>
      </w:tr>
    </w:tbl>
    <w:p w:rsidR="00B01D3E" w:rsidRDefault="00B01D3E" w:rsidP="0032207E">
      <w:pPr>
        <w:jc w:val="both"/>
      </w:pPr>
    </w:p>
    <w:sectPr w:rsidR="00B01D3E" w:rsidSect="00AA4DD8">
      <w:pgSz w:w="11910" w:h="16840"/>
      <w:pgMar w:top="1260" w:right="62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9E2" w:rsidRDefault="00D919E2">
      <w:r>
        <w:separator/>
      </w:r>
    </w:p>
  </w:endnote>
  <w:endnote w:type="continuationSeparator" w:id="1">
    <w:p w:rsidR="00D919E2" w:rsidRDefault="00D91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9E2" w:rsidRDefault="00D919E2">
      <w:r>
        <w:separator/>
      </w:r>
    </w:p>
  </w:footnote>
  <w:footnote w:type="continuationSeparator" w:id="1">
    <w:p w:rsidR="00D919E2" w:rsidRDefault="00D919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4987"/>
    <w:multiLevelType w:val="hybridMultilevel"/>
    <w:tmpl w:val="988CBF78"/>
    <w:lvl w:ilvl="0" w:tplc="491AEED2">
      <w:start w:val="1"/>
      <w:numFmt w:val="decimal"/>
      <w:lvlText w:val="%1."/>
      <w:lvlJc w:val="left"/>
      <w:pPr>
        <w:ind w:left="68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</w:compat>
  <w:rsids>
    <w:rsidRoot w:val="00B01D3E"/>
    <w:rsid w:val="0001437C"/>
    <w:rsid w:val="00050F80"/>
    <w:rsid w:val="000E6D82"/>
    <w:rsid w:val="00122D14"/>
    <w:rsid w:val="0015336F"/>
    <w:rsid w:val="00153E12"/>
    <w:rsid w:val="00173234"/>
    <w:rsid w:val="002155A2"/>
    <w:rsid w:val="00215612"/>
    <w:rsid w:val="00233BCE"/>
    <w:rsid w:val="00235843"/>
    <w:rsid w:val="00266DC2"/>
    <w:rsid w:val="00276F97"/>
    <w:rsid w:val="002F2AAE"/>
    <w:rsid w:val="0032207E"/>
    <w:rsid w:val="0034163B"/>
    <w:rsid w:val="00357A1E"/>
    <w:rsid w:val="003C5C83"/>
    <w:rsid w:val="003E2854"/>
    <w:rsid w:val="003E6161"/>
    <w:rsid w:val="00403E4A"/>
    <w:rsid w:val="00412F72"/>
    <w:rsid w:val="004426AB"/>
    <w:rsid w:val="00480DD6"/>
    <w:rsid w:val="004813C1"/>
    <w:rsid w:val="004E464D"/>
    <w:rsid w:val="00516F1F"/>
    <w:rsid w:val="00523000"/>
    <w:rsid w:val="00537D17"/>
    <w:rsid w:val="005461A0"/>
    <w:rsid w:val="00546745"/>
    <w:rsid w:val="00553905"/>
    <w:rsid w:val="005B3C6B"/>
    <w:rsid w:val="005D4C27"/>
    <w:rsid w:val="005F5549"/>
    <w:rsid w:val="00600577"/>
    <w:rsid w:val="00651D94"/>
    <w:rsid w:val="006678E5"/>
    <w:rsid w:val="006C5EF0"/>
    <w:rsid w:val="00722462"/>
    <w:rsid w:val="00785720"/>
    <w:rsid w:val="007A1C84"/>
    <w:rsid w:val="007A54CA"/>
    <w:rsid w:val="007A749F"/>
    <w:rsid w:val="007E0475"/>
    <w:rsid w:val="007F31DA"/>
    <w:rsid w:val="00835C66"/>
    <w:rsid w:val="00837C2A"/>
    <w:rsid w:val="008C003B"/>
    <w:rsid w:val="008E7F87"/>
    <w:rsid w:val="008F42EE"/>
    <w:rsid w:val="00945200"/>
    <w:rsid w:val="0097348D"/>
    <w:rsid w:val="009A1414"/>
    <w:rsid w:val="009B56B8"/>
    <w:rsid w:val="009C681A"/>
    <w:rsid w:val="009C76FE"/>
    <w:rsid w:val="00A1384F"/>
    <w:rsid w:val="00A54D63"/>
    <w:rsid w:val="00A64B9B"/>
    <w:rsid w:val="00A83384"/>
    <w:rsid w:val="00AA4DD8"/>
    <w:rsid w:val="00AD18F0"/>
    <w:rsid w:val="00B01D3E"/>
    <w:rsid w:val="00B218D2"/>
    <w:rsid w:val="00B400C6"/>
    <w:rsid w:val="00B829E6"/>
    <w:rsid w:val="00BA0B10"/>
    <w:rsid w:val="00BB107F"/>
    <w:rsid w:val="00BD0160"/>
    <w:rsid w:val="00C316B7"/>
    <w:rsid w:val="00C626ED"/>
    <w:rsid w:val="00CB36FF"/>
    <w:rsid w:val="00D64BDC"/>
    <w:rsid w:val="00D71896"/>
    <w:rsid w:val="00D919E2"/>
    <w:rsid w:val="00DE4F31"/>
    <w:rsid w:val="00E52F60"/>
    <w:rsid w:val="00EA2AFF"/>
    <w:rsid w:val="00EF4109"/>
    <w:rsid w:val="00EF6FE5"/>
    <w:rsid w:val="00F02570"/>
    <w:rsid w:val="00F02909"/>
    <w:rsid w:val="00F80E6A"/>
    <w:rsid w:val="00FB7D12"/>
    <w:rsid w:val="00FC1C02"/>
    <w:rsid w:val="00FD44FC"/>
    <w:rsid w:val="00FE0C4B"/>
    <w:rsid w:val="00FE50A8"/>
    <w:rsid w:val="00FF26A2"/>
    <w:rsid w:val="0989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4DD8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A4DD8"/>
    <w:pPr>
      <w:spacing w:before="15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4D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AA4DD8"/>
  </w:style>
  <w:style w:type="paragraph" w:customStyle="1" w:styleId="TableParagraph">
    <w:name w:val="Table Paragraph"/>
    <w:basedOn w:val="a"/>
    <w:uiPriority w:val="1"/>
    <w:qFormat/>
    <w:rsid w:val="00AA4DD8"/>
    <w:pPr>
      <w:ind w:left="107"/>
    </w:pPr>
  </w:style>
  <w:style w:type="paragraph" w:styleId="a5">
    <w:name w:val="header"/>
    <w:basedOn w:val="a"/>
    <w:link w:val="Char"/>
    <w:rsid w:val="0051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16F1F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516F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16F1F"/>
    <w:rPr>
      <w:rFonts w:ascii="宋体" w:hAnsi="宋体" w:cs="宋体"/>
      <w:sz w:val="18"/>
      <w:szCs w:val="18"/>
      <w:lang w:val="zh-CN" w:bidi="zh-CN"/>
    </w:rPr>
  </w:style>
  <w:style w:type="paragraph" w:styleId="a7">
    <w:name w:val="Normal (Web)"/>
    <w:basedOn w:val="a"/>
    <w:qFormat/>
    <w:rsid w:val="003220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a8">
    <w:name w:val="annotation reference"/>
    <w:basedOn w:val="a0"/>
    <w:rsid w:val="00A64B9B"/>
    <w:rPr>
      <w:sz w:val="21"/>
      <w:szCs w:val="21"/>
    </w:rPr>
  </w:style>
  <w:style w:type="paragraph" w:styleId="a9">
    <w:name w:val="annotation text"/>
    <w:basedOn w:val="a"/>
    <w:link w:val="Char1"/>
    <w:rsid w:val="00A64B9B"/>
  </w:style>
  <w:style w:type="character" w:customStyle="1" w:styleId="Char1">
    <w:name w:val="批注文字 Char"/>
    <w:basedOn w:val="a0"/>
    <w:link w:val="a9"/>
    <w:rsid w:val="00A64B9B"/>
    <w:rPr>
      <w:rFonts w:ascii="宋体" w:hAnsi="宋体" w:cs="宋体"/>
      <w:sz w:val="22"/>
      <w:szCs w:val="22"/>
      <w:lang w:val="zh-CN" w:bidi="zh-CN"/>
    </w:rPr>
  </w:style>
  <w:style w:type="paragraph" w:styleId="aa">
    <w:name w:val="annotation subject"/>
    <w:basedOn w:val="a9"/>
    <w:next w:val="a9"/>
    <w:link w:val="Char2"/>
    <w:rsid w:val="00A64B9B"/>
    <w:rPr>
      <w:b/>
      <w:bCs/>
    </w:rPr>
  </w:style>
  <w:style w:type="character" w:customStyle="1" w:styleId="Char2">
    <w:name w:val="批注主题 Char"/>
    <w:basedOn w:val="Char1"/>
    <w:link w:val="aa"/>
    <w:rsid w:val="00A64B9B"/>
    <w:rPr>
      <w:rFonts w:ascii="宋体" w:hAnsi="宋体" w:cs="宋体"/>
      <w:b/>
      <w:bCs/>
      <w:sz w:val="22"/>
      <w:szCs w:val="22"/>
      <w:lang w:val="zh-CN" w:bidi="zh-CN"/>
    </w:rPr>
  </w:style>
  <w:style w:type="paragraph" w:styleId="ab">
    <w:name w:val="Balloon Text"/>
    <w:basedOn w:val="a"/>
    <w:link w:val="Char3"/>
    <w:rsid w:val="00A64B9B"/>
    <w:rPr>
      <w:sz w:val="18"/>
      <w:szCs w:val="18"/>
    </w:rPr>
  </w:style>
  <w:style w:type="character" w:customStyle="1" w:styleId="Char3">
    <w:name w:val="批注框文本 Char"/>
    <w:basedOn w:val="a0"/>
    <w:link w:val="ab"/>
    <w:rsid w:val="00A64B9B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1231</Characters>
  <Application>Microsoft Office Word</Application>
  <DocSecurity>0</DocSecurity>
  <Lines>10</Lines>
  <Paragraphs>2</Paragraphs>
  <ScaleCrop>false</ScaleCrop>
  <Company>Organization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刘冰凝</dc:creator>
  <cp:lastModifiedBy>微软用户</cp:lastModifiedBy>
  <cp:revision>7</cp:revision>
  <cp:lastPrinted>2022-07-02T09:28:00Z</cp:lastPrinted>
  <dcterms:created xsi:type="dcterms:W3CDTF">2025-11-21T07:38:00Z</dcterms:created>
  <dcterms:modified xsi:type="dcterms:W3CDTF">2025-11-22T06:44:00Z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2021-12-22T00:00:00Z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36EC13F0BC04456F95324EB1B3BE3742</vt:lpwstr>
  </property>
</Properties>
</file>