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1920B">
      <w:pPr>
        <w:spacing w:before="156" w:beforeLines="50" w:after="156" w:afterLines="50" w:line="400" w:lineRule="exact"/>
        <w:ind w:firstLine="0" w:firstLineChars="0"/>
        <w:rPr>
          <w:bCs/>
          <w:iCs/>
          <w:color w:val="000000"/>
          <w:szCs w:val="22"/>
        </w:rPr>
      </w:pPr>
      <w:r>
        <w:rPr>
          <w:bCs/>
          <w:iCs/>
          <w:color w:val="000000"/>
          <w:szCs w:val="22"/>
        </w:rPr>
        <w:t>证券代码：688273                                     证券简称：麦澜德</w:t>
      </w:r>
    </w:p>
    <w:p w14:paraId="37803F67">
      <w:pPr>
        <w:ind w:firstLine="0" w:firstLineChars="0"/>
        <w:jc w:val="center"/>
        <w:rPr>
          <w:b/>
          <w:bCs/>
          <w:iCs/>
          <w:color w:val="000000"/>
        </w:rPr>
      </w:pPr>
      <w:r>
        <w:rPr>
          <w:b/>
          <w:bCs/>
          <w:iCs/>
          <w:color w:val="000000"/>
          <w:sz w:val="28"/>
          <w:szCs w:val="28"/>
        </w:rPr>
        <w:t>南京麦澜德医疗科技股份有限公司投资者关系活动记录表</w:t>
      </w:r>
    </w:p>
    <w:p w14:paraId="737512B5">
      <w:pPr>
        <w:ind w:firstLine="0" w:firstLineChars="0"/>
        <w:jc w:val="center"/>
        <w:rPr>
          <w:b/>
          <w:bCs/>
          <w:iCs/>
          <w:color w:val="000000"/>
        </w:rPr>
      </w:pPr>
      <w:r>
        <w:rPr>
          <w:b/>
          <w:bCs/>
          <w:iCs/>
          <w:color w:val="000000"/>
        </w:rPr>
        <w:t>（</w:t>
      </w:r>
      <w:bookmarkStart w:id="0" w:name="OLE_LINK2"/>
      <w:bookmarkStart w:id="1" w:name="OLE_LINK1"/>
      <w:r>
        <w:rPr>
          <w:b/>
          <w:bCs/>
          <w:iCs/>
          <w:color w:val="000000"/>
        </w:rPr>
        <w:t>2025年</w:t>
      </w:r>
      <w:r>
        <w:rPr>
          <w:rFonts w:hint="eastAsia"/>
          <w:b/>
          <w:bCs/>
          <w:iCs/>
          <w:color w:val="000000"/>
          <w:lang w:val="en-US" w:eastAsia="zh-CN"/>
        </w:rPr>
        <w:t>11</w:t>
      </w:r>
      <w:r>
        <w:rPr>
          <w:b/>
          <w:bCs/>
          <w:iCs/>
          <w:color w:val="000000"/>
        </w:rPr>
        <w:t>月</w:t>
      </w:r>
      <w:r>
        <w:rPr>
          <w:rFonts w:hint="eastAsia"/>
          <w:b/>
          <w:bCs/>
          <w:iCs/>
          <w:color w:val="000000"/>
          <w:lang w:val="en-US" w:eastAsia="zh-CN"/>
        </w:rPr>
        <w:t>21</w:t>
      </w:r>
      <w:r>
        <w:rPr>
          <w:b/>
          <w:bCs/>
          <w:iCs/>
          <w:color w:val="000000"/>
        </w:rPr>
        <w:t>日</w:t>
      </w:r>
      <w:bookmarkEnd w:id="0"/>
      <w:bookmarkEnd w:id="1"/>
      <w:r>
        <w:rPr>
          <w:b/>
          <w:bCs/>
          <w:iCs/>
          <w:color w:val="000000"/>
        </w:rPr>
        <w:t>）</w:t>
      </w:r>
    </w:p>
    <w:tbl>
      <w:tblPr>
        <w:tblStyle w:val="9"/>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025"/>
      </w:tblGrid>
      <w:tr w14:paraId="5078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AAB9E4B">
            <w:pPr>
              <w:spacing w:line="400" w:lineRule="exact"/>
              <w:ind w:firstLine="480"/>
              <w:rPr>
                <w:bCs/>
                <w:iCs/>
                <w:color w:val="000000"/>
              </w:rPr>
            </w:pPr>
            <w:r>
              <w:rPr>
                <w:bCs/>
                <w:iCs/>
                <w:color w:val="000000"/>
              </w:rPr>
              <w:t xml:space="preserve">                                                  投资者关系活动类别</w:t>
            </w:r>
          </w:p>
          <w:p w14:paraId="166A8761">
            <w:pPr>
              <w:ind w:firstLine="0" w:firstLineChars="0"/>
              <w:rPr>
                <w:bCs/>
                <w:iCs/>
                <w:color w:val="000000"/>
              </w:rPr>
            </w:pP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238A4179">
            <w:pPr>
              <w:spacing w:line="480" w:lineRule="atLeast"/>
              <w:ind w:firstLine="0" w:firstLineChars="0"/>
              <w:rPr>
                <w:bCs/>
                <w:iCs/>
                <w:color w:val="000000"/>
              </w:rPr>
            </w:pPr>
            <w:r>
              <w:rPr>
                <w:rFonts w:hint="eastAsia" w:ascii="宋体" w:hAnsi="宋体"/>
                <w:bCs/>
                <w:iCs/>
                <w:color w:val="000000"/>
              </w:rPr>
              <w:sym w:font="Wingdings 2" w:char="0052"/>
            </w:r>
            <w:r>
              <w:t xml:space="preserve">特定对象调研       </w:t>
            </w:r>
            <w:r>
              <w:rPr>
                <w:rFonts w:hint="eastAsia"/>
              </w:rPr>
              <w:t xml:space="preserve"> </w:t>
            </w:r>
            <w:r>
              <w:rPr>
                <w:bCs/>
                <w:iCs/>
                <w:color w:val="000000"/>
              </w:rPr>
              <w:sym w:font="Wingdings 2" w:char="00A3"/>
            </w:r>
            <w:r>
              <w:t>分析师会议</w:t>
            </w:r>
          </w:p>
          <w:p w14:paraId="721D8223">
            <w:pPr>
              <w:spacing w:line="480" w:lineRule="atLeast"/>
              <w:ind w:firstLine="0" w:firstLineChars="0"/>
              <w:rPr>
                <w:bCs/>
                <w:iCs/>
                <w:color w:val="000000"/>
              </w:rPr>
            </w:pPr>
            <w:r>
              <w:rPr>
                <w:bCs/>
                <w:iCs/>
                <w:color w:val="000000"/>
              </w:rPr>
              <w:sym w:font="Wingdings 2" w:char="00A3"/>
            </w:r>
            <w:r>
              <w:t xml:space="preserve">媒体采访            </w:t>
            </w:r>
            <w:r>
              <w:rPr>
                <w:bCs/>
                <w:iCs/>
                <w:color w:val="000000"/>
              </w:rPr>
              <w:sym w:font="Wingdings 2" w:char="00A3"/>
            </w:r>
            <w:r>
              <w:t>业绩说明会</w:t>
            </w:r>
          </w:p>
          <w:p w14:paraId="025BCE2D">
            <w:pPr>
              <w:spacing w:line="480" w:lineRule="atLeast"/>
              <w:ind w:firstLine="0" w:firstLineChars="0"/>
              <w:rPr>
                <w:bCs/>
                <w:iCs/>
                <w:color w:val="000000"/>
              </w:rPr>
            </w:pPr>
            <w:r>
              <w:rPr>
                <w:bCs/>
                <w:iCs/>
                <w:color w:val="000000"/>
              </w:rPr>
              <w:sym w:font="Wingdings 2" w:char="00A3"/>
            </w:r>
            <w:r>
              <w:t xml:space="preserve">新闻发布会          </w:t>
            </w:r>
            <w:r>
              <w:rPr>
                <w:rFonts w:hint="eastAsia" w:ascii="宋体" w:hAnsi="宋体"/>
                <w:bCs/>
                <w:iCs/>
                <w:color w:val="000000"/>
                <w:lang w:eastAsia="zh-CN"/>
              </w:rPr>
              <w:t>□</w:t>
            </w:r>
            <w:r>
              <w:t>路演活动</w:t>
            </w:r>
          </w:p>
          <w:p w14:paraId="3BCC2C60">
            <w:pPr>
              <w:tabs>
                <w:tab w:val="left" w:pos="3045"/>
                <w:tab w:val="center" w:pos="3199"/>
              </w:tabs>
              <w:spacing w:line="480" w:lineRule="atLeast"/>
              <w:ind w:firstLine="0" w:firstLineChars="0"/>
              <w:rPr>
                <w:bCs/>
                <w:iCs/>
                <w:color w:val="000000"/>
                <w:u w:val="single"/>
              </w:rPr>
            </w:pPr>
            <w:r>
              <w:rPr>
                <w:rFonts w:hint="eastAsia" w:ascii="宋体" w:hAnsi="宋体"/>
                <w:bCs/>
                <w:iCs/>
                <w:color w:val="000000"/>
              </w:rPr>
              <w:sym w:font="Wingdings 2" w:char="00A3"/>
            </w:r>
            <w:r>
              <w:t>现场参观</w:t>
            </w:r>
            <w:r>
              <w:rPr>
                <w:rFonts w:hint="eastAsia"/>
              </w:rPr>
              <w:t xml:space="preserve">           </w:t>
            </w:r>
            <w:r>
              <w:t xml:space="preserve"> </w:t>
            </w:r>
            <w:r>
              <w:rPr>
                <w:rFonts w:hint="eastAsia" w:ascii="宋体" w:hAnsi="宋体"/>
                <w:bCs/>
                <w:iCs/>
                <w:color w:val="000000"/>
              </w:rPr>
              <w:t>□</w:t>
            </w:r>
            <w:r>
              <w:t xml:space="preserve">其他 </w:t>
            </w:r>
          </w:p>
        </w:tc>
      </w:tr>
      <w:tr w14:paraId="1BE8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4677410">
            <w:pPr>
              <w:ind w:firstLine="0" w:firstLineChars="0"/>
              <w:rPr>
                <w:bCs/>
                <w:iCs/>
                <w:color w:val="000000"/>
              </w:rPr>
            </w:pPr>
            <w:r>
              <w:rPr>
                <w:bCs/>
                <w:iCs/>
                <w:color w:val="000000"/>
              </w:rPr>
              <w:t>参与单位名称</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600395C1">
            <w:pPr>
              <w:ind w:firstLine="0" w:firstLineChars="0"/>
              <w:rPr>
                <w:rFonts w:hint="default" w:eastAsia="宋体"/>
                <w:lang w:val="en-US" w:eastAsia="zh-CN"/>
              </w:rPr>
            </w:pPr>
            <w:r>
              <w:rPr>
                <w:rFonts w:hint="eastAsia"/>
                <w:lang w:val="en-US" w:eastAsia="zh-CN"/>
              </w:rPr>
              <w:t>共62家机构，70位参与人</w:t>
            </w:r>
          </w:p>
          <w:p w14:paraId="764723B7">
            <w:pPr>
              <w:ind w:firstLine="0" w:firstLineChars="0"/>
              <w:rPr>
                <w:rFonts w:hint="default" w:eastAsia="宋体"/>
                <w:lang w:val="en-US" w:eastAsia="zh-CN"/>
              </w:rPr>
            </w:pPr>
            <w:r>
              <w:rPr>
                <w:rFonts w:hint="default" w:eastAsia="宋体"/>
                <w:lang w:val="en-US" w:eastAsia="zh-CN"/>
              </w:rPr>
              <w:t>金牛投资</w:t>
            </w:r>
            <w:r>
              <w:rPr>
                <w:rFonts w:hint="eastAsia"/>
                <w:lang w:val="en-US" w:eastAsia="zh-CN"/>
              </w:rPr>
              <w:t>、</w:t>
            </w:r>
            <w:r>
              <w:rPr>
                <w:rFonts w:hint="default" w:eastAsia="宋体"/>
                <w:lang w:val="en-US" w:eastAsia="zh-CN"/>
              </w:rPr>
              <w:t>尚诚资产</w:t>
            </w:r>
            <w:r>
              <w:rPr>
                <w:rFonts w:hint="eastAsia"/>
                <w:lang w:val="en-US" w:eastAsia="zh-CN"/>
              </w:rPr>
              <w:t>、</w:t>
            </w:r>
            <w:r>
              <w:rPr>
                <w:rFonts w:hint="default" w:eastAsia="宋体"/>
                <w:lang w:val="en-US" w:eastAsia="zh-CN"/>
              </w:rPr>
              <w:t>华金证券</w:t>
            </w:r>
            <w:r>
              <w:rPr>
                <w:rFonts w:hint="eastAsia"/>
                <w:lang w:val="en-US" w:eastAsia="zh-CN"/>
              </w:rPr>
              <w:t>、</w:t>
            </w:r>
            <w:r>
              <w:rPr>
                <w:rFonts w:hint="default" w:eastAsia="宋体"/>
                <w:lang w:val="en-US" w:eastAsia="zh-CN"/>
              </w:rPr>
              <w:t>湖南医药发展私募</w:t>
            </w:r>
            <w:r>
              <w:rPr>
                <w:rFonts w:hint="eastAsia"/>
                <w:lang w:val="en-US" w:eastAsia="zh-CN"/>
              </w:rPr>
              <w:t>、</w:t>
            </w:r>
            <w:r>
              <w:rPr>
                <w:rFonts w:hint="default" w:eastAsia="宋体"/>
                <w:lang w:val="en-US" w:eastAsia="zh-CN"/>
              </w:rPr>
              <w:t>国泰海通</w:t>
            </w:r>
            <w:r>
              <w:rPr>
                <w:rFonts w:hint="eastAsia"/>
                <w:lang w:val="en-US" w:eastAsia="zh-CN"/>
              </w:rPr>
              <w:t>证券、</w:t>
            </w:r>
            <w:r>
              <w:rPr>
                <w:rFonts w:hint="default" w:eastAsia="宋体"/>
                <w:lang w:val="en-US" w:eastAsia="zh-CN"/>
              </w:rPr>
              <w:t>华宝证券</w:t>
            </w:r>
            <w:r>
              <w:rPr>
                <w:rFonts w:hint="eastAsia"/>
                <w:lang w:val="en-US" w:eastAsia="zh-CN"/>
              </w:rPr>
              <w:t>、</w:t>
            </w:r>
            <w:r>
              <w:rPr>
                <w:rFonts w:hint="default" w:eastAsia="宋体"/>
                <w:lang w:val="en-US" w:eastAsia="zh-CN"/>
              </w:rPr>
              <w:t>民生证券</w:t>
            </w:r>
            <w:r>
              <w:rPr>
                <w:rFonts w:hint="eastAsia"/>
                <w:lang w:val="en-US" w:eastAsia="zh-CN"/>
              </w:rPr>
              <w:t>、</w:t>
            </w:r>
            <w:r>
              <w:rPr>
                <w:rFonts w:hint="default" w:eastAsia="宋体"/>
                <w:lang w:val="en-US" w:eastAsia="zh-CN"/>
              </w:rPr>
              <w:t>太朴生科私募</w:t>
            </w:r>
            <w:r>
              <w:rPr>
                <w:rFonts w:hint="eastAsia"/>
                <w:lang w:val="en-US" w:eastAsia="zh-CN"/>
              </w:rPr>
              <w:t>、</w:t>
            </w:r>
            <w:r>
              <w:rPr>
                <w:rFonts w:hint="default" w:eastAsia="宋体"/>
                <w:lang w:val="en-US" w:eastAsia="zh-CN"/>
              </w:rPr>
              <w:t>度势投资</w:t>
            </w:r>
            <w:r>
              <w:rPr>
                <w:rFonts w:hint="eastAsia"/>
                <w:lang w:val="en-US" w:eastAsia="zh-CN"/>
              </w:rPr>
              <w:t>、</w:t>
            </w:r>
            <w:r>
              <w:rPr>
                <w:rFonts w:hint="default" w:eastAsia="宋体"/>
                <w:lang w:val="en-US" w:eastAsia="zh-CN"/>
              </w:rPr>
              <w:t>平安证券</w:t>
            </w:r>
            <w:r>
              <w:rPr>
                <w:rFonts w:hint="eastAsia"/>
                <w:lang w:val="en-US" w:eastAsia="zh-CN"/>
              </w:rPr>
              <w:t>、</w:t>
            </w:r>
            <w:r>
              <w:rPr>
                <w:rFonts w:hint="default" w:eastAsia="宋体"/>
                <w:lang w:val="en-US" w:eastAsia="zh-CN"/>
              </w:rPr>
              <w:t>国盛证券</w:t>
            </w:r>
            <w:r>
              <w:rPr>
                <w:rFonts w:hint="eastAsia"/>
                <w:lang w:val="en-US" w:eastAsia="zh-CN"/>
              </w:rPr>
              <w:t>、</w:t>
            </w:r>
            <w:r>
              <w:rPr>
                <w:rFonts w:hint="default" w:eastAsia="宋体"/>
                <w:lang w:val="en-US" w:eastAsia="zh-CN"/>
              </w:rPr>
              <w:t>国信证券</w:t>
            </w:r>
            <w:r>
              <w:rPr>
                <w:rFonts w:hint="eastAsia"/>
                <w:lang w:val="en-US" w:eastAsia="zh-CN"/>
              </w:rPr>
              <w:t>、</w:t>
            </w:r>
            <w:r>
              <w:rPr>
                <w:rFonts w:hint="default" w:eastAsia="宋体"/>
                <w:lang w:val="en-US" w:eastAsia="zh-CN"/>
              </w:rPr>
              <w:t>东方资管</w:t>
            </w:r>
            <w:r>
              <w:rPr>
                <w:rFonts w:hint="eastAsia"/>
                <w:lang w:val="en-US" w:eastAsia="zh-CN"/>
              </w:rPr>
              <w:t>、</w:t>
            </w:r>
            <w:r>
              <w:rPr>
                <w:rFonts w:hint="default" w:eastAsia="宋体"/>
                <w:lang w:val="en-US" w:eastAsia="zh-CN"/>
              </w:rPr>
              <w:t>路博迈基金</w:t>
            </w:r>
            <w:r>
              <w:rPr>
                <w:rFonts w:hint="eastAsia"/>
                <w:lang w:val="en-US" w:eastAsia="zh-CN"/>
              </w:rPr>
              <w:t>、</w:t>
            </w:r>
            <w:r>
              <w:rPr>
                <w:rFonts w:hint="default" w:eastAsia="宋体"/>
                <w:lang w:val="en-US" w:eastAsia="zh-CN"/>
              </w:rPr>
              <w:t>华富基金</w:t>
            </w:r>
            <w:r>
              <w:rPr>
                <w:rFonts w:hint="eastAsia"/>
                <w:lang w:val="en-US" w:eastAsia="zh-CN"/>
              </w:rPr>
              <w:t>、</w:t>
            </w:r>
            <w:r>
              <w:rPr>
                <w:rFonts w:hint="default" w:eastAsia="宋体"/>
                <w:lang w:val="en-US" w:eastAsia="zh-CN"/>
              </w:rPr>
              <w:t>喜世润投资</w:t>
            </w:r>
            <w:r>
              <w:rPr>
                <w:rFonts w:hint="eastAsia"/>
                <w:lang w:val="en-US" w:eastAsia="zh-CN"/>
              </w:rPr>
              <w:t>、</w:t>
            </w:r>
            <w:r>
              <w:rPr>
                <w:rFonts w:hint="default" w:eastAsia="宋体"/>
                <w:lang w:val="en-US" w:eastAsia="zh-CN"/>
              </w:rPr>
              <w:t>同泰基金</w:t>
            </w:r>
            <w:r>
              <w:rPr>
                <w:rFonts w:hint="eastAsia"/>
                <w:lang w:val="en-US" w:eastAsia="zh-CN"/>
              </w:rPr>
              <w:t>、</w:t>
            </w:r>
            <w:r>
              <w:rPr>
                <w:rFonts w:hint="default" w:eastAsia="宋体"/>
                <w:lang w:val="en-US" w:eastAsia="zh-CN"/>
              </w:rPr>
              <w:t>鸿途私募</w:t>
            </w:r>
            <w:r>
              <w:rPr>
                <w:rFonts w:hint="eastAsia"/>
                <w:lang w:val="en-US" w:eastAsia="zh-CN"/>
              </w:rPr>
              <w:t>、</w:t>
            </w:r>
            <w:r>
              <w:rPr>
                <w:rFonts w:hint="default" w:eastAsia="宋体"/>
                <w:lang w:val="en-US" w:eastAsia="zh-CN"/>
              </w:rPr>
              <w:t>协和医院</w:t>
            </w:r>
            <w:r>
              <w:rPr>
                <w:rFonts w:hint="eastAsia"/>
                <w:lang w:val="en-US" w:eastAsia="zh-CN"/>
              </w:rPr>
              <w:t>、</w:t>
            </w:r>
            <w:r>
              <w:rPr>
                <w:rFonts w:hint="default" w:eastAsia="宋体"/>
                <w:lang w:val="en-US" w:eastAsia="zh-CN"/>
              </w:rPr>
              <w:t>问源体育</w:t>
            </w:r>
            <w:r>
              <w:rPr>
                <w:rFonts w:hint="eastAsia"/>
                <w:lang w:val="en-US" w:eastAsia="zh-CN"/>
              </w:rPr>
              <w:t>、</w:t>
            </w:r>
            <w:r>
              <w:rPr>
                <w:rFonts w:hint="default" w:eastAsia="宋体"/>
                <w:lang w:val="en-US" w:eastAsia="zh-CN"/>
              </w:rPr>
              <w:t>FuziTea</w:t>
            </w:r>
            <w:r>
              <w:rPr>
                <w:rFonts w:hint="eastAsia"/>
                <w:lang w:val="en-US" w:eastAsia="zh-CN"/>
              </w:rPr>
              <w:t>、</w:t>
            </w:r>
            <w:r>
              <w:rPr>
                <w:rFonts w:hint="default" w:eastAsia="宋体"/>
                <w:lang w:val="en-US" w:eastAsia="zh-CN"/>
              </w:rPr>
              <w:t>中金公司</w:t>
            </w:r>
            <w:r>
              <w:rPr>
                <w:rFonts w:hint="eastAsia"/>
                <w:lang w:val="en-US" w:eastAsia="zh-CN"/>
              </w:rPr>
              <w:t>、</w:t>
            </w:r>
            <w:r>
              <w:rPr>
                <w:rFonts w:hint="default" w:eastAsia="宋体"/>
                <w:lang w:val="en-US" w:eastAsia="zh-CN"/>
              </w:rPr>
              <w:t>嘉世私募</w:t>
            </w:r>
            <w:r>
              <w:rPr>
                <w:rFonts w:hint="eastAsia"/>
                <w:lang w:val="en-US" w:eastAsia="zh-CN"/>
              </w:rPr>
              <w:t>、</w:t>
            </w:r>
            <w:r>
              <w:rPr>
                <w:rFonts w:hint="default" w:eastAsia="宋体"/>
                <w:lang w:val="en-US" w:eastAsia="zh-CN"/>
              </w:rPr>
              <w:t>华源证券</w:t>
            </w:r>
            <w:r>
              <w:rPr>
                <w:rFonts w:hint="eastAsia"/>
                <w:lang w:val="en-US" w:eastAsia="zh-CN"/>
              </w:rPr>
              <w:t>、</w:t>
            </w:r>
            <w:r>
              <w:rPr>
                <w:rFonts w:hint="default" w:eastAsia="宋体"/>
                <w:lang w:val="en-US" w:eastAsia="zh-CN"/>
              </w:rPr>
              <w:t>泓屹</w:t>
            </w:r>
            <w:r>
              <w:rPr>
                <w:rFonts w:hint="eastAsia"/>
                <w:lang w:val="en-US" w:eastAsia="zh-CN"/>
              </w:rPr>
              <w:t>资管、</w:t>
            </w:r>
            <w:r>
              <w:rPr>
                <w:rFonts w:hint="default" w:eastAsia="宋体"/>
                <w:lang w:val="en-US" w:eastAsia="zh-CN"/>
              </w:rPr>
              <w:t>高竹私募</w:t>
            </w:r>
            <w:r>
              <w:rPr>
                <w:rFonts w:hint="eastAsia"/>
                <w:lang w:val="en-US" w:eastAsia="zh-CN"/>
              </w:rPr>
              <w:t>、</w:t>
            </w:r>
            <w:r>
              <w:rPr>
                <w:rFonts w:hint="default" w:eastAsia="宋体"/>
                <w:lang w:val="en-US" w:eastAsia="zh-CN"/>
              </w:rPr>
              <w:t>国晖投资</w:t>
            </w:r>
            <w:r>
              <w:rPr>
                <w:rFonts w:hint="eastAsia"/>
                <w:lang w:val="en-US" w:eastAsia="zh-CN"/>
              </w:rPr>
              <w:t>、</w:t>
            </w:r>
            <w:r>
              <w:rPr>
                <w:rFonts w:hint="default" w:eastAsia="宋体"/>
                <w:lang w:val="en-US" w:eastAsia="zh-CN"/>
              </w:rPr>
              <w:t>国海证券</w:t>
            </w:r>
            <w:r>
              <w:rPr>
                <w:rFonts w:hint="eastAsia"/>
                <w:lang w:val="en-US" w:eastAsia="zh-CN"/>
              </w:rPr>
              <w:t>、</w:t>
            </w:r>
            <w:r>
              <w:rPr>
                <w:rFonts w:hint="default" w:eastAsia="宋体"/>
                <w:lang w:val="en-US" w:eastAsia="zh-CN"/>
              </w:rPr>
              <w:t>中信证券</w:t>
            </w:r>
            <w:r>
              <w:rPr>
                <w:rFonts w:hint="eastAsia"/>
                <w:lang w:val="en-US" w:eastAsia="zh-CN"/>
              </w:rPr>
              <w:t>、</w:t>
            </w:r>
            <w:r>
              <w:rPr>
                <w:rFonts w:hint="default" w:eastAsia="宋体"/>
                <w:lang w:val="en-US" w:eastAsia="zh-CN"/>
              </w:rPr>
              <w:t>中邮证券</w:t>
            </w:r>
            <w:r>
              <w:rPr>
                <w:rFonts w:hint="eastAsia"/>
                <w:lang w:val="en-US" w:eastAsia="zh-CN"/>
              </w:rPr>
              <w:t>、</w:t>
            </w:r>
            <w:r>
              <w:rPr>
                <w:rFonts w:hint="default" w:eastAsia="宋体"/>
                <w:lang w:val="en-US" w:eastAsia="zh-CN"/>
              </w:rPr>
              <w:t>誉辉资本</w:t>
            </w:r>
            <w:r>
              <w:rPr>
                <w:rFonts w:hint="eastAsia"/>
                <w:lang w:val="en-US" w:eastAsia="zh-CN"/>
              </w:rPr>
              <w:t>、</w:t>
            </w:r>
            <w:r>
              <w:rPr>
                <w:rFonts w:hint="default" w:eastAsia="宋体"/>
                <w:lang w:val="en-US" w:eastAsia="zh-CN"/>
              </w:rPr>
              <w:t>蜂巢基金</w:t>
            </w:r>
            <w:r>
              <w:rPr>
                <w:rFonts w:hint="eastAsia"/>
                <w:lang w:val="en-US" w:eastAsia="zh-CN"/>
              </w:rPr>
              <w:t>、</w:t>
            </w:r>
            <w:r>
              <w:rPr>
                <w:rFonts w:hint="default" w:eastAsia="宋体"/>
                <w:lang w:val="en-US" w:eastAsia="zh-CN"/>
              </w:rPr>
              <w:t>广发证券</w:t>
            </w:r>
            <w:r>
              <w:rPr>
                <w:rFonts w:hint="eastAsia"/>
                <w:lang w:val="en-US" w:eastAsia="zh-CN"/>
              </w:rPr>
              <w:t>、</w:t>
            </w:r>
            <w:r>
              <w:rPr>
                <w:rFonts w:hint="default" w:eastAsia="宋体"/>
                <w:lang w:val="en-US" w:eastAsia="zh-CN"/>
              </w:rPr>
              <w:t>华创证券</w:t>
            </w:r>
            <w:r>
              <w:rPr>
                <w:rFonts w:hint="eastAsia"/>
                <w:lang w:val="en-US" w:eastAsia="zh-CN"/>
              </w:rPr>
              <w:t>、</w:t>
            </w:r>
            <w:r>
              <w:rPr>
                <w:rFonts w:hint="default" w:eastAsia="宋体"/>
                <w:lang w:val="en-US" w:eastAsia="zh-CN"/>
              </w:rPr>
              <w:t>中信建投</w:t>
            </w:r>
            <w:r>
              <w:rPr>
                <w:rFonts w:hint="eastAsia"/>
                <w:lang w:val="en-US" w:eastAsia="zh-CN"/>
              </w:rPr>
              <w:t>、</w:t>
            </w:r>
            <w:r>
              <w:rPr>
                <w:rFonts w:hint="default" w:eastAsia="宋体"/>
                <w:lang w:val="en-US" w:eastAsia="zh-CN"/>
              </w:rPr>
              <w:t>国元证券</w:t>
            </w:r>
            <w:r>
              <w:rPr>
                <w:rFonts w:hint="eastAsia"/>
                <w:lang w:val="en-US" w:eastAsia="zh-CN"/>
              </w:rPr>
              <w:t>、</w:t>
            </w:r>
            <w:r>
              <w:rPr>
                <w:rFonts w:hint="default" w:eastAsia="宋体"/>
                <w:lang w:val="en-US" w:eastAsia="zh-CN"/>
              </w:rPr>
              <w:t>西南证券</w:t>
            </w:r>
            <w:r>
              <w:rPr>
                <w:rFonts w:hint="eastAsia"/>
                <w:lang w:val="en-US" w:eastAsia="zh-CN"/>
              </w:rPr>
              <w:t>、</w:t>
            </w:r>
            <w:r>
              <w:rPr>
                <w:rFonts w:hint="default" w:eastAsia="宋体"/>
                <w:lang w:val="en-US" w:eastAsia="zh-CN"/>
              </w:rPr>
              <w:t>江岳私募</w:t>
            </w:r>
            <w:r>
              <w:rPr>
                <w:rFonts w:hint="eastAsia"/>
                <w:lang w:val="en-US" w:eastAsia="zh-CN"/>
              </w:rPr>
              <w:t>、</w:t>
            </w:r>
            <w:r>
              <w:rPr>
                <w:rFonts w:hint="default" w:eastAsia="宋体"/>
                <w:lang w:val="en-US" w:eastAsia="zh-CN"/>
              </w:rPr>
              <w:t>进门财经</w:t>
            </w:r>
            <w:r>
              <w:rPr>
                <w:rFonts w:hint="eastAsia"/>
                <w:lang w:val="en-US" w:eastAsia="zh-CN"/>
              </w:rPr>
              <w:t>、</w:t>
            </w:r>
            <w:r>
              <w:rPr>
                <w:rFonts w:hint="default" w:eastAsia="宋体"/>
                <w:lang w:val="en-US" w:eastAsia="zh-CN"/>
              </w:rPr>
              <w:t>国都证券</w:t>
            </w:r>
            <w:r>
              <w:rPr>
                <w:rFonts w:hint="eastAsia"/>
                <w:lang w:val="en-US" w:eastAsia="zh-CN"/>
              </w:rPr>
              <w:t>、</w:t>
            </w:r>
            <w:r>
              <w:rPr>
                <w:rFonts w:hint="default" w:eastAsia="宋体"/>
                <w:lang w:val="en-US" w:eastAsia="zh-CN"/>
              </w:rPr>
              <w:t>国寿</w:t>
            </w:r>
            <w:r>
              <w:rPr>
                <w:rFonts w:hint="eastAsia"/>
                <w:lang w:val="en-US" w:eastAsia="zh-CN"/>
              </w:rPr>
              <w:t>资管、</w:t>
            </w:r>
            <w:r>
              <w:rPr>
                <w:rFonts w:hint="default" w:eastAsia="宋体"/>
                <w:lang w:val="en-US" w:eastAsia="zh-CN"/>
              </w:rPr>
              <w:t>五地私募</w:t>
            </w:r>
            <w:r>
              <w:rPr>
                <w:rFonts w:hint="eastAsia"/>
                <w:lang w:val="en-US" w:eastAsia="zh-CN"/>
              </w:rPr>
              <w:t>、</w:t>
            </w:r>
            <w:r>
              <w:rPr>
                <w:rFonts w:hint="default" w:eastAsia="宋体"/>
                <w:lang w:val="en-US" w:eastAsia="zh-CN"/>
              </w:rPr>
              <w:t>鑫焱创投</w:t>
            </w:r>
            <w:r>
              <w:rPr>
                <w:rFonts w:hint="eastAsia"/>
                <w:lang w:val="en-US" w:eastAsia="zh-CN"/>
              </w:rPr>
              <w:t>、</w:t>
            </w:r>
            <w:r>
              <w:rPr>
                <w:rFonts w:hint="default" w:eastAsia="宋体"/>
                <w:lang w:val="en-US" w:eastAsia="zh-CN"/>
              </w:rPr>
              <w:t>About Capital（香港）</w:t>
            </w:r>
            <w:r>
              <w:rPr>
                <w:rFonts w:hint="eastAsia"/>
                <w:lang w:val="en-US" w:eastAsia="zh-CN"/>
              </w:rPr>
              <w:t>、</w:t>
            </w:r>
            <w:r>
              <w:rPr>
                <w:rFonts w:hint="default" w:eastAsia="宋体"/>
                <w:lang w:val="en-US" w:eastAsia="zh-CN"/>
              </w:rPr>
              <w:t>禾升投资</w:t>
            </w:r>
            <w:r>
              <w:rPr>
                <w:rFonts w:hint="eastAsia"/>
                <w:lang w:val="en-US" w:eastAsia="zh-CN"/>
              </w:rPr>
              <w:t>、</w:t>
            </w:r>
            <w:r>
              <w:rPr>
                <w:rFonts w:hint="default" w:eastAsia="宋体"/>
                <w:lang w:val="en-US" w:eastAsia="zh-CN"/>
              </w:rPr>
              <w:t>青骊投资</w:t>
            </w:r>
            <w:r>
              <w:rPr>
                <w:rFonts w:hint="eastAsia"/>
                <w:lang w:val="en-US" w:eastAsia="zh-CN"/>
              </w:rPr>
              <w:t>、</w:t>
            </w:r>
            <w:r>
              <w:rPr>
                <w:rFonts w:hint="default" w:eastAsia="宋体"/>
                <w:lang w:val="en-US" w:eastAsia="zh-CN"/>
              </w:rPr>
              <w:t>国融证券</w:t>
            </w:r>
            <w:r>
              <w:rPr>
                <w:rFonts w:hint="eastAsia"/>
                <w:lang w:val="en-US" w:eastAsia="zh-CN"/>
              </w:rPr>
              <w:t>、</w:t>
            </w:r>
            <w:r>
              <w:rPr>
                <w:rFonts w:hint="default" w:eastAsia="宋体"/>
                <w:lang w:val="en-US" w:eastAsia="zh-CN"/>
              </w:rPr>
              <w:t>光大保德信基金</w:t>
            </w:r>
            <w:r>
              <w:rPr>
                <w:rFonts w:hint="eastAsia"/>
                <w:lang w:val="en-US" w:eastAsia="zh-CN"/>
              </w:rPr>
              <w:t>、</w:t>
            </w:r>
            <w:r>
              <w:rPr>
                <w:rFonts w:hint="default" w:eastAsia="宋体"/>
                <w:lang w:val="en-US" w:eastAsia="zh-CN"/>
              </w:rPr>
              <w:t>宝盈基金</w:t>
            </w:r>
            <w:r>
              <w:rPr>
                <w:rFonts w:hint="eastAsia"/>
                <w:lang w:val="en-US" w:eastAsia="zh-CN"/>
              </w:rPr>
              <w:t>、</w:t>
            </w:r>
            <w:r>
              <w:rPr>
                <w:rFonts w:hint="default" w:eastAsia="宋体"/>
                <w:lang w:val="en-US" w:eastAsia="zh-CN"/>
              </w:rPr>
              <w:t>中信建投基金</w:t>
            </w:r>
            <w:r>
              <w:rPr>
                <w:rFonts w:hint="eastAsia"/>
                <w:lang w:val="en-US" w:eastAsia="zh-CN"/>
              </w:rPr>
              <w:t>、</w:t>
            </w:r>
            <w:r>
              <w:rPr>
                <w:rFonts w:hint="default" w:eastAsia="宋体"/>
                <w:lang w:val="en-US" w:eastAsia="zh-CN"/>
              </w:rPr>
              <w:t>星允投资</w:t>
            </w:r>
            <w:r>
              <w:rPr>
                <w:rFonts w:hint="eastAsia"/>
                <w:lang w:val="en-US" w:eastAsia="zh-CN"/>
              </w:rPr>
              <w:t>、</w:t>
            </w:r>
            <w:r>
              <w:rPr>
                <w:rFonts w:hint="default" w:eastAsia="宋体"/>
                <w:lang w:val="en-US" w:eastAsia="zh-CN"/>
              </w:rPr>
              <w:t>千榕资产</w:t>
            </w:r>
            <w:r>
              <w:rPr>
                <w:rFonts w:hint="eastAsia"/>
                <w:lang w:val="en-US" w:eastAsia="zh-CN"/>
              </w:rPr>
              <w:t>、</w:t>
            </w:r>
            <w:r>
              <w:rPr>
                <w:rFonts w:hint="default" w:eastAsia="宋体"/>
                <w:lang w:val="en-US" w:eastAsia="zh-CN"/>
              </w:rPr>
              <w:t>西部利得基金</w:t>
            </w:r>
            <w:r>
              <w:rPr>
                <w:rFonts w:hint="eastAsia"/>
                <w:lang w:val="en-US" w:eastAsia="zh-CN"/>
              </w:rPr>
              <w:t>、</w:t>
            </w:r>
            <w:r>
              <w:rPr>
                <w:rFonts w:hint="default" w:eastAsia="宋体"/>
                <w:lang w:val="en-US" w:eastAsia="zh-CN"/>
              </w:rPr>
              <w:t>朱雀基金</w:t>
            </w:r>
            <w:r>
              <w:rPr>
                <w:rFonts w:hint="eastAsia"/>
                <w:lang w:val="en-US" w:eastAsia="zh-CN"/>
              </w:rPr>
              <w:t>、</w:t>
            </w:r>
            <w:r>
              <w:rPr>
                <w:rFonts w:hint="default" w:eastAsia="宋体"/>
                <w:lang w:val="en-US" w:eastAsia="zh-CN"/>
              </w:rPr>
              <w:t>申万宏源资管</w:t>
            </w:r>
            <w:r>
              <w:rPr>
                <w:rFonts w:hint="eastAsia"/>
                <w:lang w:val="en-US" w:eastAsia="zh-CN"/>
              </w:rPr>
              <w:t>、</w:t>
            </w:r>
            <w:r>
              <w:rPr>
                <w:rFonts w:hint="default" w:eastAsia="宋体"/>
                <w:lang w:val="en-US" w:eastAsia="zh-CN"/>
              </w:rPr>
              <w:t>中泰证券</w:t>
            </w:r>
            <w:r>
              <w:rPr>
                <w:rFonts w:hint="eastAsia"/>
                <w:lang w:val="en-US" w:eastAsia="zh-CN"/>
              </w:rPr>
              <w:t>、</w:t>
            </w:r>
            <w:r>
              <w:rPr>
                <w:rFonts w:hint="default" w:eastAsia="宋体"/>
                <w:lang w:val="en-US" w:eastAsia="zh-CN"/>
              </w:rPr>
              <w:t>汇百川基金</w:t>
            </w:r>
            <w:r>
              <w:rPr>
                <w:rFonts w:hint="eastAsia"/>
                <w:lang w:val="en-US" w:eastAsia="zh-CN"/>
              </w:rPr>
              <w:t>、</w:t>
            </w:r>
            <w:r>
              <w:rPr>
                <w:rFonts w:hint="default" w:eastAsia="宋体"/>
                <w:lang w:val="en-US" w:eastAsia="zh-CN"/>
              </w:rPr>
              <w:t>方正证券</w:t>
            </w:r>
            <w:r>
              <w:rPr>
                <w:rFonts w:hint="eastAsia"/>
                <w:lang w:val="en-US" w:eastAsia="zh-CN"/>
              </w:rPr>
              <w:t>、</w:t>
            </w:r>
            <w:r>
              <w:rPr>
                <w:rFonts w:hint="default" w:eastAsia="宋体"/>
                <w:lang w:val="en-US" w:eastAsia="zh-CN"/>
              </w:rPr>
              <w:t>新华</w:t>
            </w:r>
            <w:r>
              <w:rPr>
                <w:rFonts w:hint="eastAsia"/>
                <w:lang w:val="en-US" w:eastAsia="zh-CN"/>
              </w:rPr>
              <w:t>资管、</w:t>
            </w:r>
            <w:r>
              <w:rPr>
                <w:rFonts w:hint="default" w:eastAsia="宋体"/>
                <w:lang w:val="en-US" w:eastAsia="zh-CN"/>
              </w:rPr>
              <w:t>勤远私募</w:t>
            </w:r>
            <w:r>
              <w:rPr>
                <w:rFonts w:hint="eastAsia"/>
                <w:lang w:val="en-US" w:eastAsia="zh-CN"/>
              </w:rPr>
              <w:t>、</w:t>
            </w:r>
            <w:r>
              <w:rPr>
                <w:rFonts w:hint="default" w:eastAsia="宋体"/>
                <w:lang w:val="en-US" w:eastAsia="zh-CN"/>
              </w:rPr>
              <w:t>中加基金</w:t>
            </w:r>
            <w:r>
              <w:rPr>
                <w:rFonts w:hint="eastAsia"/>
                <w:lang w:val="en-US" w:eastAsia="zh-CN"/>
              </w:rPr>
              <w:t>、</w:t>
            </w:r>
            <w:r>
              <w:rPr>
                <w:rFonts w:hint="default" w:eastAsia="宋体"/>
                <w:lang w:val="en-US" w:eastAsia="zh-CN"/>
              </w:rPr>
              <w:t>兴业证券</w:t>
            </w:r>
            <w:r>
              <w:rPr>
                <w:rFonts w:hint="eastAsia"/>
                <w:lang w:val="en-US" w:eastAsia="zh-CN"/>
              </w:rPr>
              <w:t>等</w:t>
            </w:r>
          </w:p>
        </w:tc>
      </w:tr>
      <w:tr w14:paraId="68BC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027F270">
            <w:pPr>
              <w:ind w:firstLine="0" w:firstLineChars="0"/>
              <w:rPr>
                <w:bCs/>
                <w:iCs/>
                <w:color w:val="000000"/>
              </w:rPr>
            </w:pPr>
            <w:r>
              <w:rPr>
                <w:bCs/>
                <w:iCs/>
                <w:color w:val="000000"/>
              </w:rPr>
              <w:t>时间</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757AFF18">
            <w:pPr>
              <w:spacing w:line="240" w:lineRule="auto"/>
              <w:ind w:firstLine="0" w:firstLineChars="0"/>
              <w:rPr>
                <w:bCs/>
                <w:iCs/>
                <w:color w:val="000000"/>
              </w:rPr>
            </w:pPr>
            <w:r>
              <w:rPr>
                <w:bCs/>
                <w:iCs/>
                <w:color w:val="000000"/>
              </w:rPr>
              <w:t>2025年</w:t>
            </w:r>
            <w:r>
              <w:rPr>
                <w:rFonts w:hint="eastAsia"/>
                <w:bCs/>
                <w:iCs/>
                <w:color w:val="000000"/>
                <w:lang w:val="en-US" w:eastAsia="zh-CN"/>
              </w:rPr>
              <w:t>11</w:t>
            </w:r>
            <w:r>
              <w:rPr>
                <w:bCs/>
                <w:iCs/>
                <w:color w:val="000000"/>
              </w:rPr>
              <w:t>月</w:t>
            </w:r>
            <w:r>
              <w:rPr>
                <w:rFonts w:hint="eastAsia"/>
                <w:bCs/>
                <w:iCs/>
                <w:color w:val="000000"/>
                <w:lang w:val="en-US" w:eastAsia="zh-CN"/>
              </w:rPr>
              <w:t>21</w:t>
            </w:r>
            <w:r>
              <w:rPr>
                <w:rFonts w:hint="eastAsia"/>
                <w:bCs/>
                <w:iCs/>
                <w:color w:val="000000"/>
              </w:rPr>
              <w:t>日</w:t>
            </w:r>
          </w:p>
        </w:tc>
      </w:tr>
      <w:tr w14:paraId="6F18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40AF81D7">
            <w:pPr>
              <w:ind w:firstLine="0" w:firstLineChars="0"/>
              <w:rPr>
                <w:bCs/>
                <w:iCs/>
                <w:color w:val="000000"/>
              </w:rPr>
            </w:pPr>
            <w:r>
              <w:rPr>
                <w:bCs/>
                <w:iCs/>
                <w:color w:val="000000"/>
              </w:rPr>
              <w:t>地点（形式）</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21629F8B">
            <w:pPr>
              <w:spacing w:line="240" w:lineRule="auto"/>
              <w:ind w:firstLine="0" w:firstLineChars="0"/>
              <w:rPr>
                <w:rFonts w:hint="default"/>
                <w:bCs/>
                <w:iCs/>
                <w:color w:val="000000"/>
                <w:lang w:val="en-US" w:eastAsia="zh-CN"/>
              </w:rPr>
            </w:pPr>
            <w:r>
              <w:rPr>
                <w:rFonts w:hint="eastAsia"/>
                <w:bCs/>
                <w:iCs/>
                <w:color w:val="000000"/>
              </w:rPr>
              <w:t>进门财经A</w:t>
            </w:r>
            <w:r>
              <w:rPr>
                <w:bCs/>
                <w:iCs/>
                <w:color w:val="000000"/>
              </w:rPr>
              <w:t>PP</w:t>
            </w:r>
          </w:p>
        </w:tc>
      </w:tr>
      <w:tr w14:paraId="458F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52F135B">
            <w:pPr>
              <w:ind w:firstLine="0" w:firstLineChars="0"/>
              <w:rPr>
                <w:bCs/>
                <w:iCs/>
                <w:color w:val="000000"/>
              </w:rPr>
            </w:pPr>
            <w:r>
              <w:rPr>
                <w:bCs/>
                <w:iCs/>
                <w:color w:val="000000"/>
              </w:rPr>
              <w:t>上市公司接待人员姓名</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763BFD73">
            <w:pPr>
              <w:spacing w:line="480" w:lineRule="atLeast"/>
              <w:ind w:firstLine="0" w:firstLineChars="0"/>
              <w:rPr>
                <w:bCs/>
                <w:iCs/>
                <w:color w:val="000000"/>
              </w:rPr>
            </w:pPr>
            <w:r>
              <w:rPr>
                <w:bCs/>
                <w:iCs/>
                <w:color w:val="000000"/>
              </w:rPr>
              <w:t>副总经理、董事会秘书  陈江宁</w:t>
            </w:r>
          </w:p>
          <w:p w14:paraId="548A1250">
            <w:pPr>
              <w:spacing w:line="480" w:lineRule="atLeast"/>
              <w:ind w:firstLine="0" w:firstLineChars="0"/>
              <w:rPr>
                <w:rFonts w:hint="default" w:eastAsia="宋体"/>
                <w:bCs/>
                <w:iCs/>
                <w:color w:val="000000"/>
                <w:lang w:val="en-US" w:eastAsia="zh-CN"/>
              </w:rPr>
            </w:pPr>
            <w:r>
              <w:rPr>
                <w:rFonts w:hint="eastAsia"/>
                <w:bCs/>
                <w:iCs/>
                <w:color w:val="000000"/>
                <w:lang w:val="en-US" w:eastAsia="zh-CN"/>
              </w:rPr>
              <w:t>锐诗得副总经理  苗盛巍</w:t>
            </w:r>
          </w:p>
          <w:p w14:paraId="308A28EA">
            <w:pPr>
              <w:spacing w:line="480" w:lineRule="atLeast"/>
              <w:ind w:firstLine="0" w:firstLineChars="0"/>
              <w:rPr>
                <w:rFonts w:hint="eastAsia" w:eastAsia="宋体"/>
                <w:bCs/>
                <w:iCs/>
                <w:color w:val="000000"/>
                <w:lang w:val="en-US" w:eastAsia="zh-CN"/>
              </w:rPr>
            </w:pPr>
            <w:r>
              <w:rPr>
                <w:bCs/>
                <w:iCs/>
                <w:color w:val="000000"/>
              </w:rPr>
              <w:t xml:space="preserve">证券代表  </w:t>
            </w:r>
            <w:r>
              <w:rPr>
                <w:rFonts w:hint="eastAsia"/>
                <w:bCs/>
                <w:iCs/>
                <w:color w:val="000000"/>
                <w:lang w:val="en-US" w:eastAsia="zh-CN"/>
              </w:rPr>
              <w:t>沈家争</w:t>
            </w:r>
          </w:p>
        </w:tc>
      </w:tr>
      <w:tr w14:paraId="64C5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77A5C5F3">
            <w:pPr>
              <w:ind w:firstLine="0" w:firstLineChars="0"/>
              <w:rPr>
                <w:bCs/>
                <w:iCs/>
                <w:color w:val="000000"/>
              </w:rPr>
            </w:pPr>
            <w:r>
              <w:rPr>
                <w:bCs/>
                <w:iCs/>
                <w:color w:val="000000"/>
              </w:rPr>
              <w:t>投资者关系活动主要内容介绍</w:t>
            </w:r>
          </w:p>
          <w:p w14:paraId="281E916A">
            <w:pPr>
              <w:ind w:firstLine="0" w:firstLineChars="0"/>
              <w:rPr>
                <w:bCs/>
                <w:iCs/>
                <w:color w:val="000000"/>
              </w:rPr>
            </w:pP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6A784882">
            <w:pPr>
              <w:ind w:firstLine="482"/>
              <w:rPr>
                <w:b/>
                <w:iCs/>
              </w:rPr>
            </w:pPr>
          </w:p>
          <w:p w14:paraId="31475782">
            <w:pPr>
              <w:ind w:firstLine="482"/>
              <w:rPr>
                <w:rFonts w:hint="default" w:cs="Times New Roman"/>
                <w:b/>
                <w:sz w:val="24"/>
                <w:szCs w:val="24"/>
                <w:lang w:val="en-US" w:eastAsia="zh-CN"/>
              </w:rPr>
            </w:pPr>
            <w:r>
              <w:rPr>
                <w:rFonts w:hint="eastAsia" w:cs="Times New Roman"/>
                <w:b/>
                <w:sz w:val="24"/>
                <w:szCs w:val="24"/>
                <w:lang w:val="en-US" w:eastAsia="zh-CN"/>
              </w:rPr>
              <w:t>一、公司脑机接口业务介绍</w:t>
            </w:r>
          </w:p>
          <w:p w14:paraId="455BBCBA">
            <w:pPr>
              <w:ind w:firstLine="482"/>
              <w:rPr>
                <w:rFonts w:hint="eastAsia" w:cs="Times New Roman"/>
                <w:b w:val="0"/>
                <w:bCs/>
                <w:sz w:val="24"/>
                <w:szCs w:val="24"/>
                <w:lang w:val="en-US" w:eastAsia="zh-CN"/>
              </w:rPr>
            </w:pPr>
            <w:r>
              <w:rPr>
                <w:rFonts w:hint="eastAsia" w:cs="Times New Roman"/>
                <w:b w:val="0"/>
                <w:bCs/>
                <w:sz w:val="24"/>
                <w:szCs w:val="24"/>
                <w:lang w:val="en-US" w:eastAsia="zh-CN"/>
              </w:rPr>
              <w:t>在脑机接口领域，公司主要推动脑机接口技术与公司原有技术、原有临床场景相结合，专注于非侵入式脑机接口技术的研发和产品化。目前聚焦于认知功能障碍干预、运动功能障碍康复及精神与心身疾病调控三大临床方向。</w:t>
            </w:r>
          </w:p>
          <w:p w14:paraId="38B2311F">
            <w:pPr>
              <w:ind w:firstLine="482"/>
              <w:rPr>
                <w:rFonts w:hint="eastAsia" w:cs="Times New Roman"/>
                <w:b w:val="0"/>
                <w:bCs/>
                <w:sz w:val="24"/>
                <w:szCs w:val="24"/>
                <w:lang w:val="en-US" w:eastAsia="zh-CN"/>
              </w:rPr>
            </w:pPr>
            <w:r>
              <w:rPr>
                <w:rFonts w:hint="eastAsia" w:cs="Times New Roman"/>
                <w:b w:val="0"/>
                <w:bCs/>
                <w:sz w:val="24"/>
                <w:szCs w:val="24"/>
                <w:lang w:val="en-US" w:eastAsia="zh-CN"/>
              </w:rPr>
              <w:t>在认知功能障碍干预方向，公司依托2022年国家重点研发计划项目，针对帕金森、阿尔茨海默病的认知障碍进行识别与干预。核心技术包括多模态情感识别，通过语音、表情及生理信号获取患者情感状态；情感交互系统，结合语音反馈、数字孪生人及外设装置实现情绪干预；基于情感交互的认知评估与数字疗法，融合传统认知训练与情感识别，形成差异化数字治疗方案。通过多维度生理信号采集系统与核心算法的集成，最终形成成熟装备。产品形态涵盖情感识别、情感交互、认知评估与认知干预四大模块，构建“人在回路”的闭环系统。该技术可更早识别轻度认知障碍，提升临床干预时效与疗效，并已进入多中心临床验证阶段。</w:t>
            </w:r>
          </w:p>
          <w:p w14:paraId="743113C0">
            <w:pPr>
              <w:ind w:firstLine="482"/>
              <w:rPr>
                <w:rFonts w:hint="eastAsia" w:cs="Times New Roman"/>
                <w:b w:val="0"/>
                <w:bCs/>
                <w:sz w:val="24"/>
                <w:szCs w:val="24"/>
                <w:lang w:val="en-US" w:eastAsia="zh-CN"/>
              </w:rPr>
            </w:pPr>
            <w:r>
              <w:rPr>
                <w:rFonts w:hint="eastAsia" w:cs="Times New Roman"/>
                <w:b w:val="0"/>
                <w:bCs/>
                <w:sz w:val="24"/>
                <w:szCs w:val="24"/>
                <w:lang w:val="en-US" w:eastAsia="zh-CN"/>
              </w:rPr>
              <w:t>在运动功能障碍康复方向，公司通过现有的软体外骨骼手功能与脑电设备结合的脑机手训练系统，实现运动想象信号解码并触发外骨骼动作，帮助卒中或脊髓损伤患者绕过损伤区域实现大脑对外周肢体的控制。同时，该系统结合神经调控平台，构建中枢与外周的多模态精准感知与干预闭环，实现序贯式刺激，初步效果优于传统单一的中枢或外周干预。</w:t>
            </w:r>
          </w:p>
          <w:p w14:paraId="29BF47D7">
            <w:pPr>
              <w:ind w:firstLine="482"/>
              <w:rPr>
                <w:rFonts w:hint="default" w:cs="Times New Roman"/>
                <w:b/>
                <w:sz w:val="24"/>
                <w:szCs w:val="24"/>
                <w:lang w:val="en-US" w:eastAsia="zh-CN"/>
              </w:rPr>
            </w:pPr>
            <w:r>
              <w:rPr>
                <w:rFonts w:hint="eastAsia" w:cs="Times New Roman"/>
                <w:b w:val="0"/>
                <w:bCs/>
                <w:sz w:val="24"/>
                <w:szCs w:val="24"/>
                <w:lang w:val="en-US" w:eastAsia="zh-CN"/>
              </w:rPr>
              <w:t>在精神与心身疾病调控方向，公司基于江苏省前沿技术研发计划专项，正联合浙江大学、荣脑科技等机构研发多模态脑生理信号监测平台。其核心创新在于将近红外与脑电进行双模态融合，并协同经颅磁刺激，实现了多模态信号的采集与同步。我们正研发跨模态核心算法，实现大脑状态的立体化监测。产品形态上，将从医疗机构推车式向便携式发展。针对经颅磁刺激干扰脑电信号采集的行业难题，公司正开发可在刺激同时采集脑电与近红外信号的模块，以实现实时监测-精准调控的个性化闭环治疗。该系统目前主要应用于神经系统、精神及认知障碍疾病，未来将拓展至盆底疾病相关的产后抑郁、肿瘤心理等更广泛的医疗场景</w:t>
            </w:r>
            <w:r>
              <w:rPr>
                <w:rFonts w:hint="default" w:cs="Times New Roman"/>
                <w:b w:val="0"/>
                <w:bCs/>
                <w:sz w:val="24"/>
                <w:szCs w:val="24"/>
                <w:lang w:val="en-US" w:eastAsia="zh-CN"/>
              </w:rPr>
              <w:t>。</w:t>
            </w:r>
          </w:p>
          <w:p w14:paraId="62B5D79F">
            <w:pPr>
              <w:ind w:left="0" w:leftChars="0" w:firstLine="0" w:firstLineChars="0"/>
              <w:rPr>
                <w:rFonts w:hint="default" w:ascii="Times New Roman" w:hAnsi="Times New Roman" w:cs="Times New Roman"/>
                <w:b/>
                <w:sz w:val="24"/>
                <w:szCs w:val="24"/>
              </w:rPr>
            </w:pPr>
          </w:p>
          <w:p w14:paraId="1219E769">
            <w:pPr>
              <w:ind w:firstLine="482"/>
              <w:rPr>
                <w:rFonts w:hint="default" w:ascii="Times New Roman" w:hAnsi="Times New Roman" w:eastAsia="宋体" w:cs="Times New Roman"/>
                <w:b/>
                <w:sz w:val="24"/>
                <w:szCs w:val="24"/>
                <w:lang w:val="en-US" w:eastAsia="zh-CN"/>
              </w:rPr>
            </w:pPr>
            <w:r>
              <w:rPr>
                <w:rFonts w:hint="eastAsia" w:cs="Times New Roman"/>
                <w:b/>
                <w:sz w:val="24"/>
                <w:szCs w:val="24"/>
                <w:lang w:val="en-US" w:eastAsia="zh-CN"/>
              </w:rPr>
              <w:t>二、提问交流</w:t>
            </w:r>
          </w:p>
          <w:p w14:paraId="0932ED53">
            <w:pPr>
              <w:ind w:firstLine="482"/>
              <w:rPr>
                <w:rFonts w:hint="default" w:ascii="Times New Roman" w:hAnsi="Times New Roman" w:cs="Times New Roman"/>
                <w:b/>
                <w:sz w:val="24"/>
                <w:szCs w:val="24"/>
              </w:rPr>
            </w:pPr>
            <w:r>
              <w:rPr>
                <w:rFonts w:hint="default" w:ascii="Times New Roman" w:hAnsi="Times New Roman" w:cs="Times New Roman"/>
                <w:b/>
                <w:sz w:val="24"/>
                <w:szCs w:val="24"/>
              </w:rPr>
              <w:t>Q1：目前多模态技术为何成为非侵入式脑机接口的发展主流？</w:t>
            </w:r>
          </w:p>
          <w:p w14:paraId="22E8C43B">
            <w:pPr>
              <w:ind w:firstLine="482"/>
              <w:rPr>
                <w:rFonts w:hint="default" w:ascii="Times New Roman" w:hAnsi="Times New Roman" w:cs="Times New Roman"/>
                <w:b w:val="0"/>
                <w:bCs/>
                <w:sz w:val="24"/>
                <w:szCs w:val="24"/>
              </w:rPr>
            </w:pPr>
            <w:r>
              <w:rPr>
                <w:rFonts w:hint="default" w:ascii="Times New Roman" w:hAnsi="Times New Roman" w:cs="Times New Roman"/>
                <w:b w:val="0"/>
                <w:bCs/>
                <w:sz w:val="24"/>
                <w:szCs w:val="24"/>
              </w:rPr>
              <w:t>当前非侵入式脑机接口技术主要依赖脑电信号，虽然脑电具有高时间分辨率，能够快速反映大脑状态变化，但其空间分辨率较低，难以准确定位信号来源的大脑区域，存在应用局限。因此，科研、高校及临床研究逐渐转向多模态信号采集，通过整合多种信号实现对大脑及个体状态更立体、全面的反馈，从而提升参数设定和干预方案的精准性。多模态技术的发展正是为克服单一脑电信号的局限性，成为非侵入式脑机接口的重要发展方向。</w:t>
            </w:r>
          </w:p>
          <w:p w14:paraId="102335ED">
            <w:pPr>
              <w:ind w:firstLine="482"/>
              <w:rPr>
                <w:rFonts w:hint="default" w:ascii="Times New Roman" w:hAnsi="Times New Roman" w:cs="Times New Roman"/>
                <w:b w:val="0"/>
                <w:bCs/>
                <w:sz w:val="24"/>
                <w:szCs w:val="24"/>
              </w:rPr>
            </w:pPr>
          </w:p>
          <w:p w14:paraId="14416178">
            <w:pPr>
              <w:ind w:firstLine="482"/>
              <w:rPr>
                <w:rFonts w:hint="default" w:ascii="Times New Roman" w:hAnsi="Times New Roman" w:cs="Times New Roman"/>
                <w:b/>
                <w:sz w:val="24"/>
                <w:szCs w:val="24"/>
              </w:rPr>
            </w:pPr>
            <w:r>
              <w:rPr>
                <w:rFonts w:hint="default" w:ascii="Times New Roman" w:hAnsi="Times New Roman" w:cs="Times New Roman"/>
                <w:b/>
                <w:sz w:val="24"/>
                <w:szCs w:val="24"/>
              </w:rPr>
              <w:t>Q</w:t>
            </w:r>
            <w:r>
              <w:rPr>
                <w:rFonts w:hint="eastAsia" w:cs="Times New Roman"/>
                <w:b/>
                <w:sz w:val="24"/>
                <w:szCs w:val="24"/>
                <w:lang w:val="en-US" w:eastAsia="zh-CN"/>
              </w:rPr>
              <w:t>2</w:t>
            </w:r>
            <w:r>
              <w:rPr>
                <w:rFonts w:hint="default" w:ascii="Times New Roman" w:hAnsi="Times New Roman" w:cs="Times New Roman"/>
                <w:b/>
                <w:sz w:val="24"/>
                <w:szCs w:val="24"/>
              </w:rPr>
              <w:t>：</w:t>
            </w:r>
            <w:r>
              <w:rPr>
                <w:rFonts w:ascii="宋体" w:hAnsi="宋体" w:eastAsia="宋体"/>
                <w:b/>
                <w:bCs/>
                <w:szCs w:val="21"/>
              </w:rPr>
              <w:t>市面上脑机接口产品有获得二类证和三类证的情况，这两类证的核心区别是什么？目前</w:t>
            </w:r>
            <w:r>
              <w:rPr>
                <w:rFonts w:hint="eastAsia" w:ascii="宋体" w:hAnsi="宋体"/>
                <w:b/>
                <w:bCs/>
                <w:szCs w:val="21"/>
                <w:lang w:val="en-US" w:eastAsia="zh-CN"/>
              </w:rPr>
              <w:t>公司</w:t>
            </w:r>
            <w:r>
              <w:rPr>
                <w:rFonts w:ascii="宋体" w:hAnsi="宋体" w:eastAsia="宋体"/>
                <w:b/>
                <w:bCs/>
                <w:szCs w:val="21"/>
              </w:rPr>
              <w:t>申请的是哪一类证？</w:t>
            </w:r>
          </w:p>
          <w:p w14:paraId="4661C244">
            <w:pPr>
              <w:spacing w:line="360" w:lineRule="auto"/>
              <w:ind w:firstLine="482"/>
              <w:rPr>
                <w:rFonts w:hint="default" w:ascii="Times New Roman" w:hAnsi="Times New Roman" w:cs="Times New Roman"/>
                <w:b w:val="0"/>
                <w:bCs/>
                <w:sz w:val="24"/>
                <w:szCs w:val="24"/>
              </w:rPr>
            </w:pPr>
            <w:r>
              <w:rPr>
                <w:rFonts w:hint="default" w:ascii="Times New Roman" w:hAnsi="Times New Roman" w:cs="Times New Roman"/>
                <w:b w:val="0"/>
                <w:bCs/>
                <w:sz w:val="24"/>
                <w:szCs w:val="24"/>
              </w:rPr>
              <w:t>三类证主要适用于侵入式设备或非侵入式但用于精神疾病领域且针对明确适应症的调控设备，需经国家药监局定义，其应用范围受限，通常仅限于单一临床适应症，临床验证要求更高</w:t>
            </w:r>
            <w:r>
              <w:rPr>
                <w:rFonts w:hint="eastAsia" w:cs="Times New Roman"/>
                <w:b w:val="0"/>
                <w:bCs/>
                <w:sz w:val="24"/>
                <w:szCs w:val="24"/>
                <w:lang w:eastAsia="zh-CN"/>
              </w:rPr>
              <w:t>，</w:t>
            </w:r>
            <w:r>
              <w:rPr>
                <w:rFonts w:hint="default" w:ascii="Times New Roman" w:hAnsi="Times New Roman" w:cs="Times New Roman"/>
                <w:b w:val="0"/>
                <w:bCs/>
                <w:sz w:val="24"/>
                <w:szCs w:val="24"/>
              </w:rPr>
              <w:t>二类证适用范围更广</w:t>
            </w:r>
            <w:r>
              <w:rPr>
                <w:rFonts w:hint="eastAsia" w:cs="Times New Roman"/>
                <w:b w:val="0"/>
                <w:bCs/>
                <w:sz w:val="24"/>
                <w:szCs w:val="24"/>
                <w:lang w:eastAsia="zh-CN"/>
              </w:rPr>
              <w:t>。</w:t>
            </w:r>
            <w:r>
              <w:rPr>
                <w:rFonts w:hint="eastAsia" w:cs="Times New Roman"/>
                <w:b w:val="0"/>
                <w:bCs/>
                <w:sz w:val="24"/>
                <w:szCs w:val="24"/>
                <w:lang w:val="en-US" w:eastAsia="zh-CN"/>
              </w:rPr>
              <w:t>公司</w:t>
            </w:r>
            <w:r>
              <w:rPr>
                <w:rFonts w:hint="default" w:ascii="Times New Roman" w:hAnsi="Times New Roman" w:cs="Times New Roman"/>
                <w:b w:val="0"/>
                <w:bCs/>
                <w:sz w:val="24"/>
                <w:szCs w:val="24"/>
              </w:rPr>
              <w:t>目前申请的是二类证，</w:t>
            </w:r>
            <w:r>
              <w:rPr>
                <w:rFonts w:hint="eastAsia" w:cs="Times New Roman"/>
                <w:b w:val="0"/>
                <w:bCs/>
                <w:sz w:val="24"/>
                <w:szCs w:val="24"/>
                <w:lang w:val="en-US" w:eastAsia="zh-CN"/>
              </w:rPr>
              <w:t>是</w:t>
            </w:r>
            <w:r>
              <w:rPr>
                <w:rFonts w:hint="default" w:ascii="Times New Roman" w:hAnsi="Times New Roman" w:cs="Times New Roman"/>
                <w:b w:val="0"/>
                <w:bCs/>
                <w:sz w:val="24"/>
                <w:szCs w:val="24"/>
              </w:rPr>
              <w:t>基于现有产品进行脑机接口迭代，未来若涉及三类证适应症需求，也将申请三类证。依托</w:t>
            </w:r>
            <w:r>
              <w:rPr>
                <w:rFonts w:hint="eastAsia" w:cs="Times New Roman"/>
                <w:b w:val="0"/>
                <w:bCs/>
                <w:sz w:val="24"/>
                <w:szCs w:val="24"/>
                <w:lang w:val="en-US" w:eastAsia="zh-CN"/>
              </w:rPr>
              <w:t>江苏</w:t>
            </w:r>
            <w:r>
              <w:rPr>
                <w:rFonts w:hint="default" w:ascii="Times New Roman" w:hAnsi="Times New Roman" w:cs="Times New Roman"/>
                <w:b w:val="0"/>
                <w:bCs/>
                <w:sz w:val="24"/>
                <w:szCs w:val="24"/>
              </w:rPr>
              <w:t>脑机接口研究院平台，</w:t>
            </w:r>
            <w:r>
              <w:rPr>
                <w:rFonts w:hint="eastAsia" w:cs="Times New Roman"/>
                <w:b w:val="0"/>
                <w:bCs/>
                <w:sz w:val="24"/>
                <w:szCs w:val="24"/>
                <w:lang w:val="en-US" w:eastAsia="zh-CN"/>
              </w:rPr>
              <w:t>公司</w:t>
            </w:r>
            <w:r>
              <w:rPr>
                <w:rFonts w:hint="default" w:ascii="Times New Roman" w:hAnsi="Times New Roman" w:cs="Times New Roman"/>
                <w:b w:val="0"/>
                <w:bCs/>
                <w:sz w:val="24"/>
                <w:szCs w:val="24"/>
              </w:rPr>
              <w:t>联合江苏省人民医院及省内头部医院，可针对不同适应症快速开展临床验证，推进多适应症产品的取证与应用。</w:t>
            </w:r>
          </w:p>
          <w:p w14:paraId="1B8A187D">
            <w:pPr>
              <w:spacing w:line="360" w:lineRule="auto"/>
              <w:ind w:firstLine="482"/>
              <w:rPr>
                <w:rFonts w:hint="default" w:ascii="Times New Roman" w:hAnsi="Times New Roman" w:cs="Times New Roman"/>
                <w:b w:val="0"/>
                <w:bCs/>
                <w:sz w:val="24"/>
                <w:szCs w:val="24"/>
              </w:rPr>
            </w:pPr>
          </w:p>
          <w:p w14:paraId="1DA2E9F1">
            <w:pPr>
              <w:ind w:firstLine="480"/>
            </w:pPr>
            <w:r>
              <w:rPr>
                <w:rFonts w:hint="default" w:ascii="Times New Roman" w:hAnsi="Times New Roman" w:cs="Times New Roman"/>
                <w:b/>
                <w:sz w:val="24"/>
                <w:szCs w:val="24"/>
              </w:rPr>
              <w:t>Q</w:t>
            </w:r>
            <w:r>
              <w:rPr>
                <w:rFonts w:hint="eastAsia" w:cs="Times New Roman"/>
                <w:b/>
                <w:sz w:val="24"/>
                <w:szCs w:val="24"/>
                <w:lang w:val="en-US" w:eastAsia="zh-CN"/>
              </w:rPr>
              <w:t>3</w:t>
            </w:r>
            <w:r>
              <w:rPr>
                <w:rFonts w:hint="default" w:ascii="Times New Roman" w:hAnsi="Times New Roman" w:cs="Times New Roman"/>
                <w:b/>
                <w:sz w:val="24"/>
                <w:szCs w:val="24"/>
              </w:rPr>
              <w:t>：与其他</w:t>
            </w:r>
            <w:r>
              <w:rPr>
                <w:rFonts w:hint="eastAsia" w:cs="Times New Roman"/>
                <w:b/>
                <w:sz w:val="24"/>
                <w:szCs w:val="24"/>
                <w:lang w:val="en-US" w:eastAsia="zh-CN"/>
              </w:rPr>
              <w:t>脑机接口领域的</w:t>
            </w:r>
            <w:r>
              <w:rPr>
                <w:rFonts w:hint="default" w:ascii="Times New Roman" w:hAnsi="Times New Roman" w:cs="Times New Roman"/>
                <w:b/>
                <w:sz w:val="24"/>
                <w:szCs w:val="24"/>
              </w:rPr>
              <w:t>公司相比，</w:t>
            </w:r>
            <w:r>
              <w:rPr>
                <w:rFonts w:hint="eastAsia" w:cs="Times New Roman"/>
                <w:b/>
                <w:sz w:val="24"/>
                <w:szCs w:val="24"/>
                <w:lang w:val="en-US" w:eastAsia="zh-CN"/>
              </w:rPr>
              <w:t>公司</w:t>
            </w:r>
            <w:r>
              <w:rPr>
                <w:rFonts w:hint="default" w:ascii="Times New Roman" w:hAnsi="Times New Roman" w:cs="Times New Roman"/>
                <w:b/>
                <w:sz w:val="24"/>
                <w:szCs w:val="24"/>
              </w:rPr>
              <w:t>在技术上的主要优势体现在哪些方面？</w:t>
            </w:r>
          </w:p>
          <w:p w14:paraId="1E8BD872">
            <w:pPr>
              <w:rPr>
                <w:rFonts w:hint="default" w:ascii="Times New Roman" w:hAnsi="Times New Roman" w:cs="Times New Roman"/>
                <w:sz w:val="24"/>
                <w:szCs w:val="24"/>
                <w:lang w:val="en-US" w:eastAsia="zh-CN"/>
              </w:rPr>
            </w:pPr>
            <w:r>
              <w:rPr>
                <w:rFonts w:hint="eastAsia" w:cs="Times New Roman"/>
                <w:sz w:val="24"/>
                <w:szCs w:val="24"/>
                <w:lang w:val="en-US" w:eastAsia="zh-CN"/>
              </w:rPr>
              <w:t>主要体现以下三个方面：</w:t>
            </w:r>
          </w:p>
          <w:p w14:paraId="0A5DB118">
            <w:pPr>
              <w:rPr>
                <w:rFonts w:hint="eastAsia"/>
              </w:rPr>
            </w:pPr>
            <w:r>
              <w:rPr>
                <w:rFonts w:hint="eastAsia" w:cs="Times New Roman"/>
                <w:sz w:val="24"/>
                <w:szCs w:val="24"/>
                <w:lang w:val="en-US" w:eastAsia="zh-CN"/>
              </w:rPr>
              <w:t>1、</w:t>
            </w:r>
            <w:r>
              <w:rPr>
                <w:rFonts w:hint="default" w:ascii="Times New Roman" w:hAnsi="Times New Roman" w:cs="Times New Roman"/>
                <w:sz w:val="24"/>
                <w:szCs w:val="24"/>
                <w:lang w:val="en-US" w:eastAsia="zh-CN"/>
              </w:rPr>
              <w:t>多模态</w:t>
            </w:r>
            <w:r>
              <w:rPr>
                <w:rFonts w:hint="eastAsia" w:cs="Times New Roman"/>
                <w:sz w:val="24"/>
                <w:szCs w:val="24"/>
                <w:lang w:val="en-US" w:eastAsia="zh-CN"/>
              </w:rPr>
              <w:t>脑机接口技术：</w:t>
            </w:r>
            <w:r>
              <w:rPr>
                <w:rFonts w:hint="default" w:ascii="Times New Roman" w:hAnsi="Times New Roman" w:cs="Times New Roman"/>
                <w:sz w:val="24"/>
                <w:szCs w:val="24"/>
                <w:lang w:val="en-US" w:eastAsia="zh-CN"/>
              </w:rPr>
              <w:t>能够整合脑电、近红外血氧、表情、语音等多维度数据，实现比单一模态更精准的早期筛查与个性化治疗</w:t>
            </w:r>
            <w:r>
              <w:rPr>
                <w:rFonts w:hint="eastAsia"/>
              </w:rPr>
              <w:t>。</w:t>
            </w:r>
          </w:p>
          <w:p w14:paraId="02439F8E">
            <w:pPr>
              <w:rPr>
                <w:rFonts w:hint="eastAsia"/>
              </w:rPr>
            </w:pPr>
            <w:r>
              <w:rPr>
                <w:rFonts w:hint="eastAsia"/>
                <w:lang w:val="en-US" w:eastAsia="zh-CN"/>
              </w:rPr>
              <w:t>2、</w:t>
            </w:r>
            <w:r>
              <w:rPr>
                <w:rFonts w:hint="eastAsia"/>
              </w:rPr>
              <w:t>中枢</w:t>
            </w:r>
            <w:r>
              <w:rPr>
                <w:rFonts w:hint="eastAsia"/>
                <w:lang w:val="en-US" w:eastAsia="zh-CN"/>
              </w:rPr>
              <w:t>-</w:t>
            </w:r>
            <w:r>
              <w:rPr>
                <w:rFonts w:hint="eastAsia"/>
              </w:rPr>
              <w:t>外周闭环技术：作为国内首家开展多中心临床试验的企业，我们有望率先获得完整临床数据支持，推动相关设备和产</w:t>
            </w:r>
            <w:bookmarkStart w:id="2" w:name="_GoBack"/>
            <w:bookmarkEnd w:id="2"/>
            <w:r>
              <w:rPr>
                <w:rFonts w:hint="eastAsia"/>
              </w:rPr>
              <w:t>品落地。</w:t>
            </w:r>
          </w:p>
          <w:p w14:paraId="5B0D4CAA">
            <w:pPr>
              <w:rPr>
                <w:rFonts w:hint="eastAsia"/>
              </w:rPr>
            </w:pPr>
            <w:r>
              <w:rPr>
                <w:rFonts w:hint="eastAsia"/>
                <w:lang w:val="en-US" w:eastAsia="zh-CN"/>
              </w:rPr>
              <w:t>3、</w:t>
            </w:r>
            <w:r>
              <w:rPr>
                <w:rFonts w:hint="eastAsia"/>
              </w:rPr>
              <w:t>认知障碍与情感交互结合：围绕国家重点研发计划项目立项的临床需求，我们在此方向已实现关键突破，并已于</w:t>
            </w:r>
            <w:r>
              <w:rPr>
                <w:rFonts w:hint="eastAsia"/>
                <w:lang w:val="en-US" w:eastAsia="zh-CN"/>
              </w:rPr>
              <w:t>今年</w:t>
            </w:r>
            <w:r>
              <w:rPr>
                <w:rFonts w:hint="eastAsia"/>
              </w:rPr>
              <w:t>十月取得首张注册证。</w:t>
            </w:r>
          </w:p>
          <w:p w14:paraId="043B2269">
            <w:pPr>
              <w:rPr>
                <w:rFonts w:hint="eastAsia"/>
              </w:rPr>
            </w:pPr>
          </w:p>
          <w:p w14:paraId="639A7DDB">
            <w:pPr>
              <w:ind w:firstLine="480"/>
              <w:rPr>
                <w:rFonts w:hint="eastAsia"/>
                <w:b/>
                <w:bCs w:val="0"/>
              </w:rPr>
            </w:pPr>
            <w:r>
              <w:rPr>
                <w:rFonts w:hint="default" w:ascii="Times New Roman" w:hAnsi="Times New Roman" w:cs="Times New Roman"/>
                <w:b/>
                <w:bCs w:val="0"/>
                <w:sz w:val="24"/>
                <w:szCs w:val="24"/>
              </w:rPr>
              <w:t>Q</w:t>
            </w:r>
            <w:r>
              <w:rPr>
                <w:rFonts w:hint="eastAsia" w:cs="Times New Roman"/>
                <w:b/>
                <w:bCs w:val="0"/>
                <w:sz w:val="24"/>
                <w:szCs w:val="24"/>
                <w:lang w:val="en-US" w:eastAsia="zh-CN"/>
              </w:rPr>
              <w:t>4</w:t>
            </w:r>
            <w:r>
              <w:rPr>
                <w:rFonts w:hint="default" w:ascii="Times New Roman" w:hAnsi="Times New Roman" w:cs="Times New Roman"/>
                <w:b/>
                <w:bCs w:val="0"/>
                <w:sz w:val="24"/>
                <w:szCs w:val="24"/>
              </w:rPr>
              <w:t>：</w:t>
            </w:r>
            <w:r>
              <w:rPr>
                <w:rFonts w:hint="eastAsia"/>
                <w:b/>
                <w:bCs w:val="0"/>
              </w:rPr>
              <w:t>公司在脑机接口领域的合作生态如何？</w:t>
            </w:r>
          </w:p>
          <w:p w14:paraId="07FB290E">
            <w:pPr>
              <w:rPr>
                <w:rFonts w:hint="eastAsia"/>
              </w:rPr>
            </w:pPr>
            <w:r>
              <w:rPr>
                <w:rFonts w:hint="eastAsia"/>
              </w:rPr>
              <w:t>公司构建了多元化的研发合作体系，以形成从基础研究到产业落地的完整闭环：</w:t>
            </w:r>
          </w:p>
          <w:p w14:paraId="5B34570D">
            <w:pPr>
              <w:rPr>
                <w:rFonts w:hint="eastAsia"/>
              </w:rPr>
            </w:pPr>
            <w:r>
              <w:rPr>
                <w:rFonts w:hint="eastAsia"/>
              </w:rPr>
              <w:t>高校</w:t>
            </w:r>
            <w:r>
              <w:rPr>
                <w:rFonts w:hint="eastAsia"/>
                <w:lang w:val="en-US" w:eastAsia="zh-CN"/>
              </w:rPr>
              <w:t>方面，</w:t>
            </w:r>
            <w:r>
              <w:rPr>
                <w:rFonts w:hint="eastAsia"/>
              </w:rPr>
              <w:t>与浙江大学</w:t>
            </w:r>
            <w:r>
              <w:rPr>
                <w:rFonts w:hint="eastAsia"/>
                <w:lang w:eastAsia="zh-CN"/>
              </w:rPr>
              <w:t>、</w:t>
            </w:r>
            <w:r>
              <w:rPr>
                <w:rFonts w:hint="eastAsia"/>
                <w:lang w:val="en-US" w:eastAsia="zh-CN"/>
              </w:rPr>
              <w:t>东南大学、</w:t>
            </w:r>
            <w:r>
              <w:rPr>
                <w:rFonts w:hint="eastAsia"/>
              </w:rPr>
              <w:t>华中科技大学等顶尖高校及实验室进行深度产学研合作，充分利用其在信号处理、算法模型和硬件设计方面的前沿研究成果。</w:t>
            </w:r>
          </w:p>
          <w:p w14:paraId="69DAC8CA">
            <w:pPr>
              <w:rPr>
                <w:rFonts w:hint="eastAsia"/>
              </w:rPr>
            </w:pPr>
            <w:r>
              <w:rPr>
                <w:rFonts w:hint="eastAsia"/>
              </w:rPr>
              <w:t>医院合作</w:t>
            </w:r>
            <w:r>
              <w:rPr>
                <w:rFonts w:hint="eastAsia"/>
                <w:lang w:val="en-US" w:eastAsia="zh-CN"/>
              </w:rPr>
              <w:t>方面，</w:t>
            </w:r>
            <w:r>
              <w:rPr>
                <w:rFonts w:hint="eastAsia"/>
              </w:rPr>
              <w:t>与江苏省人民医院等顶级临床机构紧密合作，确保研发方向贴合临床需求，并共同开展临床研究与试验，验证产品有效性与安全性。</w:t>
            </w:r>
          </w:p>
          <w:p w14:paraId="3E380F1A">
            <w:r>
              <w:rPr>
                <w:rFonts w:hint="eastAsia"/>
              </w:rPr>
              <w:t>企业合作</w:t>
            </w:r>
            <w:r>
              <w:rPr>
                <w:rFonts w:hint="eastAsia"/>
                <w:lang w:val="en-US" w:eastAsia="zh-CN"/>
              </w:rPr>
              <w:t>方面，</w:t>
            </w:r>
            <w:r>
              <w:rPr>
                <w:rFonts w:hint="eastAsia"/>
              </w:rPr>
              <w:t>主要与在特定领域（如脑电采集设备）拥有成熟产品和市场的企业进行合作，实现技术互补与市场资源共享，共同为客户提供整合解决方案，加速产品在临床机构的落地应用。</w:t>
            </w:r>
          </w:p>
          <w:p w14:paraId="221E34C4">
            <w:pPr>
              <w:spacing w:line="360" w:lineRule="auto"/>
              <w:rPr>
                <w:rFonts w:ascii="宋体" w:hAnsi="宋体" w:eastAsia="宋体"/>
                <w:u w:color="auto"/>
              </w:rPr>
            </w:pPr>
          </w:p>
          <w:p w14:paraId="17A58A0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Q</w:t>
            </w:r>
            <w:r>
              <w:rPr>
                <w:rFonts w:hint="eastAsia" w:cs="Times New Roman"/>
                <w:b/>
                <w:bCs w:val="0"/>
                <w:sz w:val="24"/>
                <w:szCs w:val="24"/>
                <w:lang w:val="en-US" w:eastAsia="zh-CN"/>
              </w:rPr>
              <w:t>5</w:t>
            </w:r>
            <w:r>
              <w:rPr>
                <w:rFonts w:hint="default" w:ascii="Times New Roman" w:hAnsi="Times New Roman" w:cs="Times New Roman"/>
                <w:b/>
                <w:bCs w:val="0"/>
                <w:sz w:val="24"/>
                <w:szCs w:val="24"/>
              </w:rPr>
              <w:t>：目前</w:t>
            </w:r>
            <w:r>
              <w:rPr>
                <w:rFonts w:hint="eastAsia" w:cs="Times New Roman"/>
                <w:b/>
                <w:bCs w:val="0"/>
                <w:sz w:val="24"/>
                <w:szCs w:val="24"/>
                <w:lang w:val="en-US" w:eastAsia="zh-CN"/>
              </w:rPr>
              <w:t>公司</w:t>
            </w:r>
            <w:r>
              <w:rPr>
                <w:rFonts w:hint="default" w:ascii="Times New Roman" w:hAnsi="Times New Roman" w:cs="Times New Roman"/>
                <w:b/>
                <w:bCs w:val="0"/>
                <w:sz w:val="24"/>
                <w:szCs w:val="24"/>
              </w:rPr>
              <w:t>的项目在落地推广方面是否有合作意向？</w:t>
            </w:r>
          </w:p>
          <w:p w14:paraId="3485B765">
            <w:pPr>
              <w:spacing w:line="360" w:lineRule="auto"/>
              <w:rPr>
                <w:rFonts w:ascii="宋体" w:hAnsi="宋体" w:eastAsia="宋体"/>
                <w:szCs w:val="21"/>
              </w:rPr>
            </w:pPr>
            <w:r>
              <w:rPr>
                <w:rFonts w:ascii="宋体" w:hAnsi="宋体" w:eastAsia="宋体"/>
                <w:u w:color="auto"/>
              </w:rPr>
              <w:t>目前已依托现有用户和渠道，在江苏省及西南部分区域与多家医院达成初步合作意向，采取共建探索的方式推进。项目已纳入</w:t>
            </w:r>
            <w:r>
              <w:rPr>
                <w:rFonts w:hint="eastAsia" w:ascii="宋体" w:hAnsi="宋体"/>
                <w:u w:color="auto"/>
                <w:lang w:val="en-US" w:eastAsia="zh-CN"/>
              </w:rPr>
              <w:t>江苏</w:t>
            </w:r>
            <w:r>
              <w:rPr>
                <w:rFonts w:ascii="宋体" w:hAnsi="宋体" w:eastAsia="宋体"/>
                <w:u w:color="auto"/>
              </w:rPr>
              <w:t>省内及</w:t>
            </w:r>
            <w:r>
              <w:rPr>
                <w:rFonts w:hint="eastAsia" w:ascii="宋体" w:hAnsi="宋体"/>
                <w:u w:color="auto"/>
                <w:lang w:val="en-US" w:eastAsia="zh-CN"/>
              </w:rPr>
              <w:t>个别省份</w:t>
            </w:r>
            <w:r>
              <w:rPr>
                <w:rFonts w:ascii="宋体" w:hAnsi="宋体" w:eastAsia="宋体"/>
                <w:u w:color="auto"/>
              </w:rPr>
              <w:t>的头部医院，部分设备已在医院应用。待取得注册证后，设备将正式落地医院，相关工作正在有序开展。</w:t>
            </w:r>
          </w:p>
          <w:p w14:paraId="61779FFB">
            <w:pPr>
              <w:ind w:firstLine="480"/>
              <w:rPr>
                <w:rFonts w:hint="eastAsia"/>
                <w:b/>
                <w:bCs w:val="0"/>
              </w:rPr>
            </w:pPr>
          </w:p>
          <w:p w14:paraId="7F3D2F5B">
            <w:pPr>
              <w:ind w:firstLine="480"/>
              <w:rPr>
                <w:rFonts w:hint="eastAsia" w:ascii="宋体" w:hAnsi="宋体"/>
                <w:b/>
                <w:bCs/>
                <w:szCs w:val="21"/>
                <w:lang w:eastAsia="zh-CN"/>
              </w:rPr>
            </w:pPr>
            <w:r>
              <w:rPr>
                <w:rFonts w:hint="default" w:ascii="Times New Roman" w:hAnsi="Times New Roman" w:cs="Times New Roman"/>
                <w:b/>
                <w:bCs w:val="0"/>
                <w:sz w:val="24"/>
                <w:szCs w:val="24"/>
              </w:rPr>
              <w:t>Q</w:t>
            </w:r>
            <w:r>
              <w:rPr>
                <w:rFonts w:hint="eastAsia" w:cs="Times New Roman"/>
                <w:b/>
                <w:bCs w:val="0"/>
                <w:sz w:val="24"/>
                <w:szCs w:val="24"/>
                <w:lang w:val="en-US" w:eastAsia="zh-CN"/>
              </w:rPr>
              <w:t>6</w:t>
            </w:r>
            <w:r>
              <w:rPr>
                <w:rFonts w:hint="default" w:ascii="Times New Roman" w:hAnsi="Times New Roman" w:cs="Times New Roman"/>
                <w:b/>
                <w:bCs w:val="0"/>
                <w:sz w:val="24"/>
                <w:szCs w:val="24"/>
              </w:rPr>
              <w:t>：</w:t>
            </w:r>
            <w:r>
              <w:rPr>
                <w:rFonts w:ascii="宋体" w:hAnsi="宋体" w:eastAsia="宋体"/>
                <w:b/>
                <w:bCs/>
                <w:szCs w:val="21"/>
              </w:rPr>
              <w:t>请问面向消费者的便携设备与用于入院的临床产品在技术路径或注册申请难度上是否存在差异</w:t>
            </w:r>
            <w:r>
              <w:rPr>
                <w:rFonts w:hint="eastAsia" w:ascii="宋体" w:hAnsi="宋体"/>
                <w:b/>
                <w:bCs/>
                <w:szCs w:val="21"/>
                <w:lang w:eastAsia="zh-CN"/>
              </w:rPr>
              <w:t>？</w:t>
            </w:r>
          </w:p>
          <w:p w14:paraId="22B9DF46">
            <w:pPr>
              <w:spacing w:line="360" w:lineRule="auto"/>
              <w:rPr>
                <w:rFonts w:ascii="宋体" w:hAnsi="宋体" w:eastAsia="宋体"/>
                <w:szCs w:val="21"/>
              </w:rPr>
            </w:pPr>
            <w:r>
              <w:rPr>
                <w:rFonts w:ascii="宋体" w:hAnsi="宋体" w:eastAsia="宋体"/>
                <w:u w:color="auto"/>
              </w:rPr>
              <w:t>市面上的便携式非侵入设备，如脑机接口头环等，多数属于消费类电子产品，主要应用于失眠或教育等领域，未针对个人用户取得医疗器械注册证，因此不涉及严格的审批流程。而用于临床的入院产品需通过完整的医疗器械注册审批，包括明确适应症、开展多中心临床试验，并提交有效性与安全性的数据以接受监管部门严格审查。此类产品虽也具备便携设计，但其目的是拓展床旁或移动状态下的临床应用场景，注册难度和技术要求显著高于消费级设备。</w:t>
            </w:r>
          </w:p>
          <w:p w14:paraId="001B8E36">
            <w:pPr>
              <w:ind w:firstLine="480"/>
              <w:rPr>
                <w:rFonts w:hint="eastAsia" w:ascii="宋体" w:hAnsi="宋体"/>
                <w:b/>
                <w:bCs/>
                <w:szCs w:val="21"/>
                <w:lang w:eastAsia="zh-CN"/>
              </w:rPr>
            </w:pPr>
          </w:p>
          <w:p w14:paraId="41651672">
            <w:pPr>
              <w:ind w:firstLine="480"/>
              <w:rPr>
                <w:rFonts w:hint="eastAsia" w:ascii="宋体" w:hAnsi="宋体"/>
                <w:b/>
                <w:bCs/>
                <w:szCs w:val="21"/>
                <w:lang w:eastAsia="zh-CN"/>
              </w:rPr>
            </w:pPr>
            <w:r>
              <w:rPr>
                <w:rFonts w:hint="default" w:ascii="Times New Roman" w:hAnsi="Times New Roman" w:cs="Times New Roman"/>
                <w:b/>
                <w:bCs w:val="0"/>
                <w:sz w:val="24"/>
                <w:szCs w:val="24"/>
              </w:rPr>
              <w:t>Q</w:t>
            </w:r>
            <w:r>
              <w:rPr>
                <w:rFonts w:hint="eastAsia" w:cs="Times New Roman"/>
                <w:b/>
                <w:bCs w:val="0"/>
                <w:sz w:val="24"/>
                <w:szCs w:val="24"/>
                <w:lang w:val="en-US" w:eastAsia="zh-CN"/>
              </w:rPr>
              <w:t>7</w:t>
            </w:r>
            <w:r>
              <w:rPr>
                <w:rFonts w:hint="default" w:ascii="Times New Roman" w:hAnsi="Times New Roman" w:cs="Times New Roman"/>
                <w:b/>
                <w:bCs w:val="0"/>
                <w:sz w:val="24"/>
                <w:szCs w:val="24"/>
              </w:rPr>
              <w:t>：</w:t>
            </w:r>
            <w:r>
              <w:rPr>
                <w:rFonts w:hint="eastAsia" w:ascii="宋体" w:hAnsi="宋体"/>
                <w:b/>
                <w:bCs/>
                <w:szCs w:val="21"/>
                <w:lang w:eastAsia="zh-CN"/>
              </w:rPr>
              <w:t>目前公司是否有考虑通过并购或投资的方式，对产业进行深度绑定？</w:t>
            </w:r>
          </w:p>
          <w:p w14:paraId="5E1D917D">
            <w:pPr>
              <w:ind w:firstLine="480"/>
              <w:rPr>
                <w:rFonts w:ascii="宋体" w:hAnsi="宋体" w:eastAsia="宋体"/>
                <w:u w:color="auto"/>
              </w:rPr>
            </w:pPr>
            <w:r>
              <w:rPr>
                <w:rFonts w:ascii="宋体" w:hAnsi="宋体" w:eastAsia="宋体"/>
                <w:u w:color="auto"/>
              </w:rPr>
              <w:t>公司持续关注脑机接口相关技术领域的投资机会</w:t>
            </w:r>
            <w:r>
              <w:rPr>
                <w:rFonts w:hint="eastAsia" w:ascii="宋体" w:hAnsi="宋体"/>
                <w:u w:color="auto"/>
                <w:lang w:eastAsia="zh-CN"/>
              </w:rPr>
              <w:t>，</w:t>
            </w:r>
            <w:r>
              <w:rPr>
                <w:rFonts w:hint="eastAsia" w:ascii="宋体" w:hAnsi="宋体"/>
                <w:u w:color="auto"/>
                <w:lang w:val="en-US" w:eastAsia="zh-CN"/>
              </w:rPr>
              <w:t>感谢关注</w:t>
            </w:r>
            <w:r>
              <w:rPr>
                <w:rFonts w:ascii="宋体" w:hAnsi="宋体" w:eastAsia="宋体"/>
                <w:u w:color="auto"/>
              </w:rPr>
              <w:t>。</w:t>
            </w:r>
          </w:p>
          <w:p w14:paraId="3AE981BB">
            <w:pPr>
              <w:ind w:firstLine="480"/>
              <w:rPr>
                <w:rFonts w:ascii="宋体" w:hAnsi="宋体" w:eastAsia="宋体"/>
                <w:u w:color="auto"/>
              </w:rPr>
            </w:pPr>
          </w:p>
          <w:p w14:paraId="2738EFDF">
            <w:pPr>
              <w:spacing w:line="360" w:lineRule="auto"/>
              <w:rPr>
                <w:rFonts w:ascii="宋体" w:hAnsi="宋体" w:eastAsia="宋体"/>
                <w:b/>
                <w:bCs/>
                <w:szCs w:val="21"/>
              </w:rPr>
            </w:pPr>
            <w:r>
              <w:rPr>
                <w:rFonts w:hint="eastAsia" w:ascii="宋体" w:hAnsi="宋体"/>
                <w:b/>
                <w:bCs/>
                <w:szCs w:val="21"/>
                <w:lang w:val="en-US" w:eastAsia="zh-CN"/>
              </w:rPr>
              <w:t>Q8：</w:t>
            </w:r>
            <w:r>
              <w:rPr>
                <w:rFonts w:ascii="宋体" w:hAnsi="宋体" w:eastAsia="宋体"/>
                <w:b/>
                <w:bCs/>
                <w:szCs w:val="21"/>
              </w:rPr>
              <w:t>公司如何看待</w:t>
            </w:r>
            <w:r>
              <w:rPr>
                <w:rFonts w:hint="eastAsia" w:ascii="宋体" w:hAnsi="宋体"/>
                <w:b/>
                <w:bCs/>
                <w:szCs w:val="21"/>
                <w:lang w:val="en-US" w:eastAsia="zh-CN"/>
              </w:rPr>
              <w:t>脑机接口领域当前</w:t>
            </w:r>
            <w:r>
              <w:rPr>
                <w:rFonts w:ascii="宋体" w:hAnsi="宋体" w:eastAsia="宋体"/>
                <w:b/>
                <w:bCs/>
                <w:szCs w:val="21"/>
              </w:rPr>
              <w:t>的市场竞争格局？</w:t>
            </w:r>
          </w:p>
          <w:p w14:paraId="4B77FB18">
            <w:pPr>
              <w:spacing w:line="360" w:lineRule="auto"/>
              <w:rPr>
                <w:rFonts w:ascii="宋体" w:hAnsi="宋体" w:eastAsia="宋体"/>
                <w:u w:color="auto"/>
              </w:rPr>
            </w:pPr>
            <w:r>
              <w:rPr>
                <w:rFonts w:hint="eastAsia" w:ascii="宋体" w:hAnsi="宋体" w:eastAsia="宋体"/>
                <w:u w:color="auto"/>
              </w:rPr>
              <w:t>当前市场以非侵入式企业为主导，其中头部传统康复企业正同步推进产品研发与市场推广，技术路线虽有差异，但均致力于快速落地。竞争关键在于注册证获取速度、市场预热与推广能力。</w:t>
            </w:r>
            <w:r>
              <w:rPr>
                <w:rFonts w:ascii="宋体" w:hAnsi="宋体" w:eastAsia="宋体"/>
                <w:u w:color="auto"/>
              </w:rPr>
              <w:t>未来能够在市场中实现快速落地并占据份额的，预计将是具备先发优势和强推广能力的头部品牌。</w:t>
            </w:r>
          </w:p>
          <w:p w14:paraId="7857FED5">
            <w:pPr>
              <w:ind w:firstLine="480"/>
              <w:rPr>
                <w:rFonts w:hint="eastAsia" w:ascii="宋体" w:hAnsi="宋体" w:eastAsia="宋体"/>
                <w:u w:color="auto"/>
                <w:lang w:eastAsia="zh-CN"/>
              </w:rPr>
            </w:pPr>
          </w:p>
        </w:tc>
      </w:tr>
      <w:tr w14:paraId="15A7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D85C80E">
            <w:pPr>
              <w:ind w:firstLine="0" w:firstLineChars="0"/>
              <w:rPr>
                <w:bCs/>
                <w:iCs/>
                <w:color w:val="000000"/>
              </w:rPr>
            </w:pPr>
            <w:r>
              <w:rPr>
                <w:bCs/>
                <w:iCs/>
                <w:color w:val="000000"/>
              </w:rPr>
              <w:t>风险提示</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6F6A0A07">
            <w:pPr>
              <w:spacing w:line="480" w:lineRule="atLeast"/>
              <w:ind w:firstLine="480"/>
              <w:rPr>
                <w:bCs/>
                <w:iCs/>
              </w:rPr>
            </w:pPr>
            <w:r>
              <w:rPr>
                <w:bCs/>
                <w:iCs/>
              </w:rPr>
              <w:t>以上如涉及对行业的预测、公司发展战略规划等相关内容，不能视作公司或公司管理层对行业、公司发展或业绩的承诺和保证，敬请广大投资者注意投资风险。</w:t>
            </w:r>
          </w:p>
        </w:tc>
      </w:tr>
      <w:tr w14:paraId="2C0E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770B85A">
            <w:pPr>
              <w:ind w:firstLine="0" w:firstLineChars="0"/>
              <w:rPr>
                <w:bCs/>
                <w:iCs/>
                <w:color w:val="000000"/>
              </w:rPr>
            </w:pPr>
            <w:r>
              <w:rPr>
                <w:bCs/>
                <w:iCs/>
                <w:color w:val="000000"/>
              </w:rPr>
              <w:t>是否涉及应当披露重大信息</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13710B98">
            <w:pPr>
              <w:spacing w:line="480" w:lineRule="atLeast"/>
              <w:ind w:firstLine="0" w:firstLineChars="0"/>
              <w:rPr>
                <w:bCs/>
                <w:iCs/>
              </w:rPr>
            </w:pPr>
            <w:r>
              <w:rPr>
                <w:bCs/>
                <w:iCs/>
              </w:rPr>
              <w:t>否</w:t>
            </w:r>
          </w:p>
        </w:tc>
      </w:tr>
      <w:tr w14:paraId="7077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2A53A30">
            <w:pPr>
              <w:ind w:firstLine="0" w:firstLineChars="0"/>
              <w:rPr>
                <w:bCs/>
                <w:iCs/>
                <w:color w:val="000000"/>
              </w:rPr>
            </w:pPr>
            <w:r>
              <w:rPr>
                <w:bCs/>
                <w:iCs/>
                <w:color w:val="000000"/>
              </w:rPr>
              <w:t>日期</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48B58495">
            <w:pPr>
              <w:spacing w:line="240" w:lineRule="auto"/>
              <w:ind w:firstLine="0" w:firstLineChars="0"/>
              <w:rPr>
                <w:bCs/>
                <w:iCs/>
                <w:color w:val="000000"/>
              </w:rPr>
            </w:pPr>
            <w:r>
              <w:rPr>
                <w:bCs/>
                <w:iCs/>
                <w:color w:val="000000"/>
              </w:rPr>
              <w:t>2025年</w:t>
            </w:r>
            <w:r>
              <w:rPr>
                <w:rFonts w:hint="eastAsia"/>
                <w:bCs/>
                <w:iCs/>
                <w:color w:val="000000"/>
                <w:lang w:val="en-US" w:eastAsia="zh-CN"/>
              </w:rPr>
              <w:t>11</w:t>
            </w:r>
            <w:r>
              <w:rPr>
                <w:bCs/>
                <w:iCs/>
                <w:color w:val="000000"/>
              </w:rPr>
              <w:t>月</w:t>
            </w:r>
            <w:r>
              <w:rPr>
                <w:rFonts w:hint="eastAsia"/>
                <w:bCs/>
                <w:iCs/>
                <w:color w:val="000000"/>
                <w:lang w:val="en-US" w:eastAsia="zh-CN"/>
              </w:rPr>
              <w:t>21</w:t>
            </w:r>
            <w:r>
              <w:rPr>
                <w:rFonts w:hint="eastAsia"/>
                <w:bCs/>
                <w:iCs/>
                <w:color w:val="000000"/>
              </w:rPr>
              <w:t>日</w:t>
            </w:r>
          </w:p>
        </w:tc>
      </w:tr>
    </w:tbl>
    <w:p w14:paraId="77430F3E">
      <w:pPr>
        <w:spacing w:line="240" w:lineRule="auto"/>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304" w:right="1797" w:bottom="1304"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5DEA7">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260F8">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56655">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62352">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660EB">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50C81">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0OWUyNDZmNjMwMjJiZWMyNmQyNjJjMWE5MmRjYjYifQ=="/>
  </w:docVars>
  <w:rsids>
    <w:rsidRoot w:val="421A00E8"/>
    <w:rsid w:val="0000604E"/>
    <w:rsid w:val="00051021"/>
    <w:rsid w:val="0005269E"/>
    <w:rsid w:val="00063468"/>
    <w:rsid w:val="00064FC3"/>
    <w:rsid w:val="00072EC7"/>
    <w:rsid w:val="00077E67"/>
    <w:rsid w:val="00081CA4"/>
    <w:rsid w:val="00094DDB"/>
    <w:rsid w:val="000966EF"/>
    <w:rsid w:val="000A2D4D"/>
    <w:rsid w:val="000B042C"/>
    <w:rsid w:val="000C6D5F"/>
    <w:rsid w:val="000E274E"/>
    <w:rsid w:val="000F026D"/>
    <w:rsid w:val="000F0489"/>
    <w:rsid w:val="000F72AF"/>
    <w:rsid w:val="0010505C"/>
    <w:rsid w:val="001245FA"/>
    <w:rsid w:val="00135185"/>
    <w:rsid w:val="001365C1"/>
    <w:rsid w:val="00155473"/>
    <w:rsid w:val="0015704E"/>
    <w:rsid w:val="0017012E"/>
    <w:rsid w:val="001A26A3"/>
    <w:rsid w:val="001A5D86"/>
    <w:rsid w:val="001D3B0E"/>
    <w:rsid w:val="001D5C86"/>
    <w:rsid w:val="0021391B"/>
    <w:rsid w:val="0022248F"/>
    <w:rsid w:val="002351ED"/>
    <w:rsid w:val="00236A00"/>
    <w:rsid w:val="00237E79"/>
    <w:rsid w:val="0024415A"/>
    <w:rsid w:val="00263CFE"/>
    <w:rsid w:val="00270B35"/>
    <w:rsid w:val="00271652"/>
    <w:rsid w:val="0027744C"/>
    <w:rsid w:val="00281CDF"/>
    <w:rsid w:val="00287E52"/>
    <w:rsid w:val="00287F56"/>
    <w:rsid w:val="002971E8"/>
    <w:rsid w:val="002A03E5"/>
    <w:rsid w:val="002B06D1"/>
    <w:rsid w:val="002B2A83"/>
    <w:rsid w:val="002B3468"/>
    <w:rsid w:val="002C4AB5"/>
    <w:rsid w:val="002C50F8"/>
    <w:rsid w:val="002D0B18"/>
    <w:rsid w:val="002D54CE"/>
    <w:rsid w:val="002E7B76"/>
    <w:rsid w:val="002F4068"/>
    <w:rsid w:val="003154F4"/>
    <w:rsid w:val="00325ADD"/>
    <w:rsid w:val="0033461E"/>
    <w:rsid w:val="00336D58"/>
    <w:rsid w:val="00351A36"/>
    <w:rsid w:val="00351C53"/>
    <w:rsid w:val="00366178"/>
    <w:rsid w:val="0037010F"/>
    <w:rsid w:val="00375C70"/>
    <w:rsid w:val="003863B2"/>
    <w:rsid w:val="00390192"/>
    <w:rsid w:val="003D5FBB"/>
    <w:rsid w:val="003D65A8"/>
    <w:rsid w:val="003F1A1B"/>
    <w:rsid w:val="00401FE3"/>
    <w:rsid w:val="00414CC0"/>
    <w:rsid w:val="00445005"/>
    <w:rsid w:val="00476172"/>
    <w:rsid w:val="00483660"/>
    <w:rsid w:val="00485569"/>
    <w:rsid w:val="004C6129"/>
    <w:rsid w:val="004D2A67"/>
    <w:rsid w:val="004E3520"/>
    <w:rsid w:val="004F40B9"/>
    <w:rsid w:val="00506414"/>
    <w:rsid w:val="00511867"/>
    <w:rsid w:val="005122BC"/>
    <w:rsid w:val="00514788"/>
    <w:rsid w:val="00537400"/>
    <w:rsid w:val="00537BC4"/>
    <w:rsid w:val="005462E5"/>
    <w:rsid w:val="005829F4"/>
    <w:rsid w:val="005C379B"/>
    <w:rsid w:val="005D48A0"/>
    <w:rsid w:val="005F3501"/>
    <w:rsid w:val="005F6C5B"/>
    <w:rsid w:val="00603E07"/>
    <w:rsid w:val="00604039"/>
    <w:rsid w:val="0061408E"/>
    <w:rsid w:val="00626A25"/>
    <w:rsid w:val="006337EB"/>
    <w:rsid w:val="00634A02"/>
    <w:rsid w:val="006436B2"/>
    <w:rsid w:val="00647F15"/>
    <w:rsid w:val="00663D87"/>
    <w:rsid w:val="00677030"/>
    <w:rsid w:val="00681A16"/>
    <w:rsid w:val="00681D02"/>
    <w:rsid w:val="00687DE1"/>
    <w:rsid w:val="006A01B1"/>
    <w:rsid w:val="006A2197"/>
    <w:rsid w:val="006B2597"/>
    <w:rsid w:val="006B2E62"/>
    <w:rsid w:val="006D447A"/>
    <w:rsid w:val="006E790B"/>
    <w:rsid w:val="006F5601"/>
    <w:rsid w:val="00714302"/>
    <w:rsid w:val="00723215"/>
    <w:rsid w:val="007262B1"/>
    <w:rsid w:val="007328DC"/>
    <w:rsid w:val="00732F83"/>
    <w:rsid w:val="00735407"/>
    <w:rsid w:val="00751740"/>
    <w:rsid w:val="00763270"/>
    <w:rsid w:val="00774885"/>
    <w:rsid w:val="00790DF8"/>
    <w:rsid w:val="007A16EC"/>
    <w:rsid w:val="007F1142"/>
    <w:rsid w:val="008210A1"/>
    <w:rsid w:val="00846FD9"/>
    <w:rsid w:val="008512D7"/>
    <w:rsid w:val="0088448D"/>
    <w:rsid w:val="008874F8"/>
    <w:rsid w:val="00890DBA"/>
    <w:rsid w:val="008A7CF6"/>
    <w:rsid w:val="008B3EE1"/>
    <w:rsid w:val="008C3BE3"/>
    <w:rsid w:val="008D0FBF"/>
    <w:rsid w:val="008E0EEF"/>
    <w:rsid w:val="008E122B"/>
    <w:rsid w:val="008E2A63"/>
    <w:rsid w:val="008E3C20"/>
    <w:rsid w:val="008E3FF3"/>
    <w:rsid w:val="008F77BB"/>
    <w:rsid w:val="00902042"/>
    <w:rsid w:val="00904F6C"/>
    <w:rsid w:val="0092118D"/>
    <w:rsid w:val="00921D7A"/>
    <w:rsid w:val="00926CA1"/>
    <w:rsid w:val="00954A0C"/>
    <w:rsid w:val="00954C64"/>
    <w:rsid w:val="009677F3"/>
    <w:rsid w:val="00992D38"/>
    <w:rsid w:val="009A2C82"/>
    <w:rsid w:val="009A7DD2"/>
    <w:rsid w:val="009D7198"/>
    <w:rsid w:val="009E2491"/>
    <w:rsid w:val="00A10E1E"/>
    <w:rsid w:val="00A22D29"/>
    <w:rsid w:val="00A26F73"/>
    <w:rsid w:val="00A33EBB"/>
    <w:rsid w:val="00A50F81"/>
    <w:rsid w:val="00A53596"/>
    <w:rsid w:val="00A73B84"/>
    <w:rsid w:val="00A76B98"/>
    <w:rsid w:val="00A9309A"/>
    <w:rsid w:val="00AA021C"/>
    <w:rsid w:val="00AA23FA"/>
    <w:rsid w:val="00AD317C"/>
    <w:rsid w:val="00AD67E0"/>
    <w:rsid w:val="00AE190D"/>
    <w:rsid w:val="00AF563F"/>
    <w:rsid w:val="00B15B2F"/>
    <w:rsid w:val="00B26E56"/>
    <w:rsid w:val="00B314A3"/>
    <w:rsid w:val="00B367A4"/>
    <w:rsid w:val="00B37457"/>
    <w:rsid w:val="00B424C9"/>
    <w:rsid w:val="00B63C0C"/>
    <w:rsid w:val="00B87D00"/>
    <w:rsid w:val="00BA31F1"/>
    <w:rsid w:val="00BA38E4"/>
    <w:rsid w:val="00BA4D2D"/>
    <w:rsid w:val="00BA5116"/>
    <w:rsid w:val="00BE1875"/>
    <w:rsid w:val="00BE217C"/>
    <w:rsid w:val="00BE5C88"/>
    <w:rsid w:val="00BF287C"/>
    <w:rsid w:val="00C01893"/>
    <w:rsid w:val="00C232FC"/>
    <w:rsid w:val="00C264E4"/>
    <w:rsid w:val="00C34692"/>
    <w:rsid w:val="00C40F6C"/>
    <w:rsid w:val="00C41705"/>
    <w:rsid w:val="00C62508"/>
    <w:rsid w:val="00C7027D"/>
    <w:rsid w:val="00C73805"/>
    <w:rsid w:val="00C760B0"/>
    <w:rsid w:val="00C7765A"/>
    <w:rsid w:val="00C86A27"/>
    <w:rsid w:val="00C95628"/>
    <w:rsid w:val="00C9793C"/>
    <w:rsid w:val="00CA5580"/>
    <w:rsid w:val="00CD08FE"/>
    <w:rsid w:val="00CF0BDA"/>
    <w:rsid w:val="00D010CB"/>
    <w:rsid w:val="00D0124E"/>
    <w:rsid w:val="00D023E4"/>
    <w:rsid w:val="00D03EBD"/>
    <w:rsid w:val="00D202B1"/>
    <w:rsid w:val="00D20B7D"/>
    <w:rsid w:val="00D254C4"/>
    <w:rsid w:val="00D319F9"/>
    <w:rsid w:val="00D34236"/>
    <w:rsid w:val="00D36E0D"/>
    <w:rsid w:val="00D64F2C"/>
    <w:rsid w:val="00D65BCC"/>
    <w:rsid w:val="00D663D8"/>
    <w:rsid w:val="00D73F35"/>
    <w:rsid w:val="00D867DF"/>
    <w:rsid w:val="00DB467D"/>
    <w:rsid w:val="00DC6DB7"/>
    <w:rsid w:val="00DD3FBC"/>
    <w:rsid w:val="00DE305F"/>
    <w:rsid w:val="00DE400C"/>
    <w:rsid w:val="00E06CE8"/>
    <w:rsid w:val="00E10695"/>
    <w:rsid w:val="00E33C86"/>
    <w:rsid w:val="00E655C2"/>
    <w:rsid w:val="00E66B98"/>
    <w:rsid w:val="00E932C3"/>
    <w:rsid w:val="00E9717C"/>
    <w:rsid w:val="00EB1A6C"/>
    <w:rsid w:val="00EC0126"/>
    <w:rsid w:val="00EC295E"/>
    <w:rsid w:val="00ED23F9"/>
    <w:rsid w:val="00EE0526"/>
    <w:rsid w:val="00EE24B4"/>
    <w:rsid w:val="00EE5002"/>
    <w:rsid w:val="00EF10E1"/>
    <w:rsid w:val="00F10C21"/>
    <w:rsid w:val="00F15F49"/>
    <w:rsid w:val="00FA1605"/>
    <w:rsid w:val="00FD1285"/>
    <w:rsid w:val="00FE3F80"/>
    <w:rsid w:val="01852063"/>
    <w:rsid w:val="02760E3B"/>
    <w:rsid w:val="0321400D"/>
    <w:rsid w:val="036A7762"/>
    <w:rsid w:val="03EF5EB9"/>
    <w:rsid w:val="03FA021E"/>
    <w:rsid w:val="041D3F2D"/>
    <w:rsid w:val="05260C54"/>
    <w:rsid w:val="05DD0407"/>
    <w:rsid w:val="05E337FC"/>
    <w:rsid w:val="069B135D"/>
    <w:rsid w:val="069C7C93"/>
    <w:rsid w:val="070842DC"/>
    <w:rsid w:val="070A727B"/>
    <w:rsid w:val="0726123E"/>
    <w:rsid w:val="0731192F"/>
    <w:rsid w:val="076F3599"/>
    <w:rsid w:val="07AF7E3A"/>
    <w:rsid w:val="086E30CB"/>
    <w:rsid w:val="087D7BFC"/>
    <w:rsid w:val="08C64073"/>
    <w:rsid w:val="08D24321"/>
    <w:rsid w:val="09412D13"/>
    <w:rsid w:val="099B1D4D"/>
    <w:rsid w:val="09D102B6"/>
    <w:rsid w:val="09DF6945"/>
    <w:rsid w:val="09F328D9"/>
    <w:rsid w:val="0A220E20"/>
    <w:rsid w:val="0A4B12B3"/>
    <w:rsid w:val="0AE422C6"/>
    <w:rsid w:val="0B037A92"/>
    <w:rsid w:val="0B7256FC"/>
    <w:rsid w:val="0B8401A9"/>
    <w:rsid w:val="0B875F6D"/>
    <w:rsid w:val="0C660EC7"/>
    <w:rsid w:val="0C7E7C46"/>
    <w:rsid w:val="0CD12600"/>
    <w:rsid w:val="0D2235D4"/>
    <w:rsid w:val="0D5D11BA"/>
    <w:rsid w:val="0DCA3C27"/>
    <w:rsid w:val="0DD81262"/>
    <w:rsid w:val="0E1E006A"/>
    <w:rsid w:val="0E6619A5"/>
    <w:rsid w:val="0ECE7CE8"/>
    <w:rsid w:val="0F1113DA"/>
    <w:rsid w:val="0F5117D6"/>
    <w:rsid w:val="0F7A0F1C"/>
    <w:rsid w:val="0F925474"/>
    <w:rsid w:val="103F5AD3"/>
    <w:rsid w:val="10A312B4"/>
    <w:rsid w:val="10B20618"/>
    <w:rsid w:val="119500A0"/>
    <w:rsid w:val="11A958FA"/>
    <w:rsid w:val="11B11607"/>
    <w:rsid w:val="11B6115E"/>
    <w:rsid w:val="11BA3663"/>
    <w:rsid w:val="11BB562D"/>
    <w:rsid w:val="121D3BF2"/>
    <w:rsid w:val="126C4455"/>
    <w:rsid w:val="12F30075"/>
    <w:rsid w:val="138A5F38"/>
    <w:rsid w:val="13DF6C1A"/>
    <w:rsid w:val="13EE43C3"/>
    <w:rsid w:val="15042DCB"/>
    <w:rsid w:val="15154AEF"/>
    <w:rsid w:val="15D90184"/>
    <w:rsid w:val="1635389E"/>
    <w:rsid w:val="16573B76"/>
    <w:rsid w:val="166C5E7A"/>
    <w:rsid w:val="169C5A2D"/>
    <w:rsid w:val="169F376F"/>
    <w:rsid w:val="16CA07EC"/>
    <w:rsid w:val="16D871BB"/>
    <w:rsid w:val="16FC7880"/>
    <w:rsid w:val="17EA6C51"/>
    <w:rsid w:val="18000331"/>
    <w:rsid w:val="180876B7"/>
    <w:rsid w:val="18AD1873"/>
    <w:rsid w:val="18C9566A"/>
    <w:rsid w:val="18DF304D"/>
    <w:rsid w:val="18F845CE"/>
    <w:rsid w:val="192F353E"/>
    <w:rsid w:val="1A13108F"/>
    <w:rsid w:val="1A3F504D"/>
    <w:rsid w:val="1A8769F4"/>
    <w:rsid w:val="1A8F4290"/>
    <w:rsid w:val="1AB82A70"/>
    <w:rsid w:val="1AD86198"/>
    <w:rsid w:val="1B1536CC"/>
    <w:rsid w:val="1BA21994"/>
    <w:rsid w:val="1BAE0248"/>
    <w:rsid w:val="1BE66379"/>
    <w:rsid w:val="1BF537FE"/>
    <w:rsid w:val="1C872CDB"/>
    <w:rsid w:val="1D1F1166"/>
    <w:rsid w:val="1D656D82"/>
    <w:rsid w:val="1D903E12"/>
    <w:rsid w:val="1DC94027"/>
    <w:rsid w:val="1E4F69D1"/>
    <w:rsid w:val="1F2305DA"/>
    <w:rsid w:val="1F572E39"/>
    <w:rsid w:val="1F8B2AE2"/>
    <w:rsid w:val="1FDE70B6"/>
    <w:rsid w:val="1FF23A15"/>
    <w:rsid w:val="20C55EE0"/>
    <w:rsid w:val="20D46448"/>
    <w:rsid w:val="2113029B"/>
    <w:rsid w:val="211C60E8"/>
    <w:rsid w:val="21582E98"/>
    <w:rsid w:val="21785046"/>
    <w:rsid w:val="220A2C61"/>
    <w:rsid w:val="220D5A31"/>
    <w:rsid w:val="2241392C"/>
    <w:rsid w:val="22A2261D"/>
    <w:rsid w:val="237256DF"/>
    <w:rsid w:val="23BE2857"/>
    <w:rsid w:val="23C16186"/>
    <w:rsid w:val="243248B3"/>
    <w:rsid w:val="24BA1251"/>
    <w:rsid w:val="25B032A3"/>
    <w:rsid w:val="25F53697"/>
    <w:rsid w:val="264834DB"/>
    <w:rsid w:val="271E64A6"/>
    <w:rsid w:val="273D6BFC"/>
    <w:rsid w:val="27C42DE0"/>
    <w:rsid w:val="28221B0A"/>
    <w:rsid w:val="28737D99"/>
    <w:rsid w:val="2875754E"/>
    <w:rsid w:val="28A6330A"/>
    <w:rsid w:val="28F26962"/>
    <w:rsid w:val="29464110"/>
    <w:rsid w:val="296B27BD"/>
    <w:rsid w:val="297C1854"/>
    <w:rsid w:val="29A45A46"/>
    <w:rsid w:val="29C66496"/>
    <w:rsid w:val="2A506E02"/>
    <w:rsid w:val="2A6232D9"/>
    <w:rsid w:val="2A9801E3"/>
    <w:rsid w:val="2A9C2048"/>
    <w:rsid w:val="2AF9250F"/>
    <w:rsid w:val="2B8723B0"/>
    <w:rsid w:val="2BCF1785"/>
    <w:rsid w:val="2BD20FFC"/>
    <w:rsid w:val="2BF10937"/>
    <w:rsid w:val="2C0461E6"/>
    <w:rsid w:val="2C1D0DE3"/>
    <w:rsid w:val="2CAE16B2"/>
    <w:rsid w:val="2CD967A8"/>
    <w:rsid w:val="2CF33D99"/>
    <w:rsid w:val="2D502C75"/>
    <w:rsid w:val="2D990AC0"/>
    <w:rsid w:val="2DB96A6D"/>
    <w:rsid w:val="2E0942F9"/>
    <w:rsid w:val="2E422F06"/>
    <w:rsid w:val="2E615D08"/>
    <w:rsid w:val="2EF27BE3"/>
    <w:rsid w:val="2F2D3A13"/>
    <w:rsid w:val="30332B06"/>
    <w:rsid w:val="30616556"/>
    <w:rsid w:val="30F1618A"/>
    <w:rsid w:val="313034EA"/>
    <w:rsid w:val="31422069"/>
    <w:rsid w:val="3147705B"/>
    <w:rsid w:val="31F97D80"/>
    <w:rsid w:val="321B062D"/>
    <w:rsid w:val="325319D6"/>
    <w:rsid w:val="326A6587"/>
    <w:rsid w:val="32A80181"/>
    <w:rsid w:val="32FB4313"/>
    <w:rsid w:val="332A12C2"/>
    <w:rsid w:val="33350C99"/>
    <w:rsid w:val="333F7A14"/>
    <w:rsid w:val="334D4E72"/>
    <w:rsid w:val="33756FB2"/>
    <w:rsid w:val="33E74334"/>
    <w:rsid w:val="33F21F69"/>
    <w:rsid w:val="340D366E"/>
    <w:rsid w:val="344D7F0F"/>
    <w:rsid w:val="34A262E1"/>
    <w:rsid w:val="34AB38D1"/>
    <w:rsid w:val="35054858"/>
    <w:rsid w:val="350902DA"/>
    <w:rsid w:val="3538471B"/>
    <w:rsid w:val="35467305"/>
    <w:rsid w:val="35523A2F"/>
    <w:rsid w:val="355359F9"/>
    <w:rsid w:val="360E0311"/>
    <w:rsid w:val="363751AC"/>
    <w:rsid w:val="369B31B3"/>
    <w:rsid w:val="36D641EB"/>
    <w:rsid w:val="36E40E7F"/>
    <w:rsid w:val="36FA722C"/>
    <w:rsid w:val="373C01E0"/>
    <w:rsid w:val="37C02A49"/>
    <w:rsid w:val="38D24DAB"/>
    <w:rsid w:val="393A4F06"/>
    <w:rsid w:val="3A8F302F"/>
    <w:rsid w:val="3AAD79C2"/>
    <w:rsid w:val="3AAF722D"/>
    <w:rsid w:val="3AD663DF"/>
    <w:rsid w:val="3AE74C2D"/>
    <w:rsid w:val="3B0D5063"/>
    <w:rsid w:val="3B947CD8"/>
    <w:rsid w:val="3B9C7819"/>
    <w:rsid w:val="3C0A1F3E"/>
    <w:rsid w:val="3D0929B2"/>
    <w:rsid w:val="3D732DB4"/>
    <w:rsid w:val="3D8B35C2"/>
    <w:rsid w:val="3DEA5509"/>
    <w:rsid w:val="3DFF04CC"/>
    <w:rsid w:val="3EB94B1E"/>
    <w:rsid w:val="3EBC460F"/>
    <w:rsid w:val="3EC05384"/>
    <w:rsid w:val="3EDE57C4"/>
    <w:rsid w:val="3F010273"/>
    <w:rsid w:val="3F255940"/>
    <w:rsid w:val="3F7942AE"/>
    <w:rsid w:val="3F7E511A"/>
    <w:rsid w:val="3FE21909"/>
    <w:rsid w:val="402204A1"/>
    <w:rsid w:val="404B5A35"/>
    <w:rsid w:val="40AD77A5"/>
    <w:rsid w:val="413A5BBD"/>
    <w:rsid w:val="4191768D"/>
    <w:rsid w:val="41A77371"/>
    <w:rsid w:val="421A00E8"/>
    <w:rsid w:val="428159D7"/>
    <w:rsid w:val="428E5D95"/>
    <w:rsid w:val="42F11136"/>
    <w:rsid w:val="4315253F"/>
    <w:rsid w:val="43282273"/>
    <w:rsid w:val="43963180"/>
    <w:rsid w:val="43B45FE5"/>
    <w:rsid w:val="43C662FC"/>
    <w:rsid w:val="43C95804"/>
    <w:rsid w:val="44074D8C"/>
    <w:rsid w:val="44783E70"/>
    <w:rsid w:val="44E74A1A"/>
    <w:rsid w:val="452A17CA"/>
    <w:rsid w:val="45B35CD2"/>
    <w:rsid w:val="462A56D0"/>
    <w:rsid w:val="46491165"/>
    <w:rsid w:val="46B1257F"/>
    <w:rsid w:val="470E79D1"/>
    <w:rsid w:val="480B792A"/>
    <w:rsid w:val="480C2163"/>
    <w:rsid w:val="48226E12"/>
    <w:rsid w:val="48677399"/>
    <w:rsid w:val="48AD7435"/>
    <w:rsid w:val="48E24983"/>
    <w:rsid w:val="49365ADC"/>
    <w:rsid w:val="498A77E3"/>
    <w:rsid w:val="498B6D54"/>
    <w:rsid w:val="49CB1BAA"/>
    <w:rsid w:val="49FF5D06"/>
    <w:rsid w:val="4A275032"/>
    <w:rsid w:val="4A5C671F"/>
    <w:rsid w:val="4A6A7C4E"/>
    <w:rsid w:val="4A7144FF"/>
    <w:rsid w:val="4A8A4060"/>
    <w:rsid w:val="4A985763"/>
    <w:rsid w:val="4B0435C5"/>
    <w:rsid w:val="4B5D2CD5"/>
    <w:rsid w:val="4C0E0F2C"/>
    <w:rsid w:val="4C1C3566"/>
    <w:rsid w:val="4C743C8F"/>
    <w:rsid w:val="4C973DD0"/>
    <w:rsid w:val="4CCE063F"/>
    <w:rsid w:val="4D691D3D"/>
    <w:rsid w:val="4DE34C75"/>
    <w:rsid w:val="4E0205B1"/>
    <w:rsid w:val="4E6A2668"/>
    <w:rsid w:val="4EFA2326"/>
    <w:rsid w:val="4F141C5B"/>
    <w:rsid w:val="4F29184C"/>
    <w:rsid w:val="4F2A278D"/>
    <w:rsid w:val="50937738"/>
    <w:rsid w:val="5124051D"/>
    <w:rsid w:val="5191021A"/>
    <w:rsid w:val="51AE428B"/>
    <w:rsid w:val="51C413B8"/>
    <w:rsid w:val="51D35A9F"/>
    <w:rsid w:val="51DC4954"/>
    <w:rsid w:val="51FD5486"/>
    <w:rsid w:val="52252A8C"/>
    <w:rsid w:val="525B1CAD"/>
    <w:rsid w:val="52696B6E"/>
    <w:rsid w:val="526A31DC"/>
    <w:rsid w:val="52C448DC"/>
    <w:rsid w:val="532F5254"/>
    <w:rsid w:val="533956A0"/>
    <w:rsid w:val="53566988"/>
    <w:rsid w:val="535B607A"/>
    <w:rsid w:val="536D782E"/>
    <w:rsid w:val="53DD0E57"/>
    <w:rsid w:val="53FD6E04"/>
    <w:rsid w:val="546608B4"/>
    <w:rsid w:val="546828EF"/>
    <w:rsid w:val="54893697"/>
    <w:rsid w:val="55B50378"/>
    <w:rsid w:val="5658621E"/>
    <w:rsid w:val="565C2507"/>
    <w:rsid w:val="566B7B47"/>
    <w:rsid w:val="5691220A"/>
    <w:rsid w:val="56A33C92"/>
    <w:rsid w:val="56D60E3E"/>
    <w:rsid w:val="57087F99"/>
    <w:rsid w:val="5714693E"/>
    <w:rsid w:val="577C4B7A"/>
    <w:rsid w:val="57914433"/>
    <w:rsid w:val="583E6D91"/>
    <w:rsid w:val="585202CE"/>
    <w:rsid w:val="5853404D"/>
    <w:rsid w:val="585A2A77"/>
    <w:rsid w:val="589E6E07"/>
    <w:rsid w:val="58D2085F"/>
    <w:rsid w:val="590F1AB3"/>
    <w:rsid w:val="595F0AA1"/>
    <w:rsid w:val="59802BFB"/>
    <w:rsid w:val="59A82DA4"/>
    <w:rsid w:val="59AD307A"/>
    <w:rsid w:val="5A1B369A"/>
    <w:rsid w:val="5A1F4951"/>
    <w:rsid w:val="5A646688"/>
    <w:rsid w:val="5A984EB0"/>
    <w:rsid w:val="5AC06FC6"/>
    <w:rsid w:val="5AD11B61"/>
    <w:rsid w:val="5ADC3C17"/>
    <w:rsid w:val="5B4812AC"/>
    <w:rsid w:val="5B50206A"/>
    <w:rsid w:val="5B8D3163"/>
    <w:rsid w:val="5BB35DCB"/>
    <w:rsid w:val="5BBB382C"/>
    <w:rsid w:val="5BC64C07"/>
    <w:rsid w:val="5BE45F24"/>
    <w:rsid w:val="5C0A2FF4"/>
    <w:rsid w:val="5C28646B"/>
    <w:rsid w:val="5C8A31FF"/>
    <w:rsid w:val="5C975B35"/>
    <w:rsid w:val="5CDC2A68"/>
    <w:rsid w:val="5CED69AD"/>
    <w:rsid w:val="5D610403"/>
    <w:rsid w:val="5DB00ACF"/>
    <w:rsid w:val="5DB50BEA"/>
    <w:rsid w:val="5DEF1EB3"/>
    <w:rsid w:val="5F487ACD"/>
    <w:rsid w:val="5FAB3D7E"/>
    <w:rsid w:val="5FC73AE4"/>
    <w:rsid w:val="5FFE7DD3"/>
    <w:rsid w:val="602A42E4"/>
    <w:rsid w:val="60395C5E"/>
    <w:rsid w:val="60597AB8"/>
    <w:rsid w:val="608C5797"/>
    <w:rsid w:val="60925EB2"/>
    <w:rsid w:val="60CE7B5E"/>
    <w:rsid w:val="61042B59"/>
    <w:rsid w:val="61534507"/>
    <w:rsid w:val="61937245"/>
    <w:rsid w:val="62166177"/>
    <w:rsid w:val="6230178D"/>
    <w:rsid w:val="627A2F3C"/>
    <w:rsid w:val="62954A01"/>
    <w:rsid w:val="62D3168C"/>
    <w:rsid w:val="632F4494"/>
    <w:rsid w:val="634405AB"/>
    <w:rsid w:val="63736738"/>
    <w:rsid w:val="63950E07"/>
    <w:rsid w:val="63A4729C"/>
    <w:rsid w:val="63AB4186"/>
    <w:rsid w:val="643C54C2"/>
    <w:rsid w:val="64A7791B"/>
    <w:rsid w:val="64B17EC2"/>
    <w:rsid w:val="64E72007"/>
    <w:rsid w:val="65081772"/>
    <w:rsid w:val="65130235"/>
    <w:rsid w:val="651359D4"/>
    <w:rsid w:val="656A7A0B"/>
    <w:rsid w:val="65B23EF2"/>
    <w:rsid w:val="65D85B03"/>
    <w:rsid w:val="66372649"/>
    <w:rsid w:val="6676485A"/>
    <w:rsid w:val="670071F1"/>
    <w:rsid w:val="674E7C4A"/>
    <w:rsid w:val="67672ABA"/>
    <w:rsid w:val="677D40AA"/>
    <w:rsid w:val="67854BF0"/>
    <w:rsid w:val="67965CD2"/>
    <w:rsid w:val="67A96C2F"/>
    <w:rsid w:val="67EA28E8"/>
    <w:rsid w:val="681A3274"/>
    <w:rsid w:val="68352C25"/>
    <w:rsid w:val="683706DE"/>
    <w:rsid w:val="690D65E2"/>
    <w:rsid w:val="692923AE"/>
    <w:rsid w:val="695E6FEA"/>
    <w:rsid w:val="69677B23"/>
    <w:rsid w:val="696D635C"/>
    <w:rsid w:val="69A8538D"/>
    <w:rsid w:val="69F06698"/>
    <w:rsid w:val="6A7A254F"/>
    <w:rsid w:val="6A8D3E81"/>
    <w:rsid w:val="6AD41B9F"/>
    <w:rsid w:val="6B095ECC"/>
    <w:rsid w:val="6B5B2176"/>
    <w:rsid w:val="6B8660E8"/>
    <w:rsid w:val="6B8D3B9F"/>
    <w:rsid w:val="6BD24A49"/>
    <w:rsid w:val="6BE4624A"/>
    <w:rsid w:val="6C091C4C"/>
    <w:rsid w:val="6C150AF4"/>
    <w:rsid w:val="6CA67BE1"/>
    <w:rsid w:val="6CD54F42"/>
    <w:rsid w:val="6D13480F"/>
    <w:rsid w:val="6D24268C"/>
    <w:rsid w:val="6E056B89"/>
    <w:rsid w:val="6E565636"/>
    <w:rsid w:val="6ECC4355"/>
    <w:rsid w:val="6F280D81"/>
    <w:rsid w:val="6F381049"/>
    <w:rsid w:val="6FC8230E"/>
    <w:rsid w:val="6FE8093F"/>
    <w:rsid w:val="700823C4"/>
    <w:rsid w:val="702305E1"/>
    <w:rsid w:val="702932C7"/>
    <w:rsid w:val="7104581E"/>
    <w:rsid w:val="710857EE"/>
    <w:rsid w:val="71D01737"/>
    <w:rsid w:val="71D7083C"/>
    <w:rsid w:val="72694884"/>
    <w:rsid w:val="72AF5315"/>
    <w:rsid w:val="735D2FC3"/>
    <w:rsid w:val="73C16D4D"/>
    <w:rsid w:val="746A3BCE"/>
    <w:rsid w:val="75681C87"/>
    <w:rsid w:val="75871EE4"/>
    <w:rsid w:val="7621378B"/>
    <w:rsid w:val="7626077B"/>
    <w:rsid w:val="76402E45"/>
    <w:rsid w:val="766C59F7"/>
    <w:rsid w:val="768E1E11"/>
    <w:rsid w:val="773D3837"/>
    <w:rsid w:val="776B5CAF"/>
    <w:rsid w:val="78F12E51"/>
    <w:rsid w:val="799A7812"/>
    <w:rsid w:val="79F20909"/>
    <w:rsid w:val="79FC52E4"/>
    <w:rsid w:val="7A444ABF"/>
    <w:rsid w:val="7A931D3D"/>
    <w:rsid w:val="7AE746E5"/>
    <w:rsid w:val="7AE85672"/>
    <w:rsid w:val="7B076373"/>
    <w:rsid w:val="7B986CF0"/>
    <w:rsid w:val="7B9E7A95"/>
    <w:rsid w:val="7C1A5EF5"/>
    <w:rsid w:val="7C4411C4"/>
    <w:rsid w:val="7C6B04FF"/>
    <w:rsid w:val="7D745356"/>
    <w:rsid w:val="7DAF5C99"/>
    <w:rsid w:val="7DBB1012"/>
    <w:rsid w:val="7DDA520A"/>
    <w:rsid w:val="7E9F26E2"/>
    <w:rsid w:val="7EAA1892"/>
    <w:rsid w:val="7ECC2A49"/>
    <w:rsid w:val="7F087BEA"/>
    <w:rsid w:val="7F405C73"/>
    <w:rsid w:val="7F6148CC"/>
    <w:rsid w:val="7FE505C8"/>
    <w:rsid w:val="7FE54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qFormat/>
    <w:uiPriority w:val="0"/>
    <w:pPr>
      <w:jc w:val="left"/>
    </w:pPr>
  </w:style>
  <w:style w:type="paragraph" w:styleId="3">
    <w:name w:val="Balloon Text"/>
    <w:basedOn w:val="1"/>
    <w:link w:val="14"/>
    <w:autoRedefine/>
    <w:qFormat/>
    <w:uiPriority w:val="0"/>
    <w:pPr>
      <w:spacing w:line="240" w:lineRule="auto"/>
    </w:pPr>
    <w:rPr>
      <w:sz w:val="18"/>
      <w:szCs w:val="18"/>
    </w:rPr>
  </w:style>
  <w:style w:type="paragraph" w:styleId="4">
    <w:name w:val="footer"/>
    <w:basedOn w:val="1"/>
    <w:link w:val="19"/>
    <w:autoRedefine/>
    <w:qFormat/>
    <w:uiPriority w:val="0"/>
    <w:pPr>
      <w:tabs>
        <w:tab w:val="center" w:pos="4153"/>
        <w:tab w:val="right" w:pos="8306"/>
      </w:tabs>
      <w:snapToGrid w:val="0"/>
      <w:spacing w:line="240" w:lineRule="auto"/>
      <w:jc w:val="left"/>
    </w:pPr>
    <w:rPr>
      <w:sz w:val="18"/>
      <w:szCs w:val="18"/>
    </w:rPr>
  </w:style>
  <w:style w:type="paragraph" w:styleId="5">
    <w:name w:val="header"/>
    <w:basedOn w:val="1"/>
    <w:link w:val="18"/>
    <w:autoRedefine/>
    <w:qFormat/>
    <w:uiPriority w:val="0"/>
    <w:pPr>
      <w:tabs>
        <w:tab w:val="center" w:pos="4153"/>
        <w:tab w:val="right" w:pos="8306"/>
      </w:tabs>
      <w:snapToGrid w:val="0"/>
      <w:spacing w:line="240" w:lineRule="auto"/>
      <w:jc w:val="center"/>
    </w:pPr>
    <w:rPr>
      <w:sz w:val="18"/>
      <w:szCs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rPr>
  </w:style>
  <w:style w:type="paragraph" w:styleId="7">
    <w:name w:val="Normal (Web)"/>
    <w:basedOn w:val="1"/>
    <w:qFormat/>
    <w:uiPriority w:val="0"/>
    <w:pPr>
      <w:spacing w:beforeAutospacing="1" w:afterAutospacing="1"/>
      <w:jc w:val="left"/>
    </w:pPr>
    <w:rPr>
      <w:kern w:val="0"/>
    </w:rPr>
  </w:style>
  <w:style w:type="paragraph" w:styleId="8">
    <w:name w:val="annotation subject"/>
    <w:basedOn w:val="2"/>
    <w:next w:val="2"/>
    <w:link w:val="16"/>
    <w:autoRedefine/>
    <w:qFormat/>
    <w:uiPriority w:val="0"/>
    <w:rPr>
      <w:b/>
      <w:bCs/>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autoRedefine/>
    <w:qFormat/>
    <w:uiPriority w:val="0"/>
    <w:rPr>
      <w:sz w:val="21"/>
      <w:szCs w:val="21"/>
    </w:rPr>
  </w:style>
  <w:style w:type="character" w:customStyle="1" w:styleId="14">
    <w:name w:val="批注框文本 Char"/>
    <w:basedOn w:val="10"/>
    <w:link w:val="3"/>
    <w:autoRedefine/>
    <w:qFormat/>
    <w:uiPriority w:val="0"/>
    <w:rPr>
      <w:kern w:val="2"/>
      <w:sz w:val="18"/>
      <w:szCs w:val="18"/>
    </w:rPr>
  </w:style>
  <w:style w:type="character" w:customStyle="1" w:styleId="15">
    <w:name w:val="批注文字 Char"/>
    <w:basedOn w:val="10"/>
    <w:link w:val="2"/>
    <w:autoRedefine/>
    <w:qFormat/>
    <w:uiPriority w:val="0"/>
    <w:rPr>
      <w:kern w:val="2"/>
      <w:sz w:val="24"/>
      <w:szCs w:val="24"/>
    </w:rPr>
  </w:style>
  <w:style w:type="character" w:customStyle="1" w:styleId="16">
    <w:name w:val="批注主题 Char"/>
    <w:basedOn w:val="15"/>
    <w:link w:val="8"/>
    <w:autoRedefine/>
    <w:qFormat/>
    <w:uiPriority w:val="0"/>
    <w:rPr>
      <w:b/>
      <w:bCs/>
      <w:kern w:val="2"/>
      <w:sz w:val="24"/>
      <w:szCs w:val="24"/>
    </w:rPr>
  </w:style>
  <w:style w:type="paragraph" w:customStyle="1" w:styleId="17">
    <w:name w:val="修订1"/>
    <w:autoRedefine/>
    <w:hidden/>
    <w:semiHidden/>
    <w:qFormat/>
    <w:uiPriority w:val="99"/>
    <w:rPr>
      <w:rFonts w:ascii="Times New Roman" w:hAnsi="Times New Roman" w:eastAsia="宋体" w:cs="Times New Roman"/>
      <w:kern w:val="2"/>
      <w:sz w:val="24"/>
      <w:szCs w:val="24"/>
      <w:lang w:val="en-US" w:eastAsia="zh-CN" w:bidi="ar-SA"/>
    </w:rPr>
  </w:style>
  <w:style w:type="character" w:customStyle="1" w:styleId="18">
    <w:name w:val="页眉 Char"/>
    <w:basedOn w:val="10"/>
    <w:link w:val="5"/>
    <w:autoRedefine/>
    <w:qFormat/>
    <w:uiPriority w:val="0"/>
    <w:rPr>
      <w:kern w:val="2"/>
      <w:sz w:val="18"/>
      <w:szCs w:val="18"/>
    </w:rPr>
  </w:style>
  <w:style w:type="character" w:customStyle="1" w:styleId="19">
    <w:name w:val="页脚 Char"/>
    <w:basedOn w:val="10"/>
    <w:link w:val="4"/>
    <w:autoRedefine/>
    <w:qFormat/>
    <w:uiPriority w:val="0"/>
    <w:rPr>
      <w:kern w:val="2"/>
      <w:sz w:val="18"/>
      <w:szCs w:val="18"/>
    </w:rPr>
  </w:style>
  <w:style w:type="paragraph" w:customStyle="1" w:styleId="20">
    <w:name w:val="修订2"/>
    <w:autoRedefine/>
    <w:hidden/>
    <w:unhideWhenUsed/>
    <w:qFormat/>
    <w:uiPriority w:val="99"/>
    <w:rPr>
      <w:rFonts w:ascii="Times New Roman" w:hAnsi="Times New Roman" w:eastAsia="宋体" w:cs="Times New Roman"/>
      <w:kern w:val="2"/>
      <w:sz w:val="24"/>
      <w:szCs w:val="24"/>
      <w:lang w:val="en-US" w:eastAsia="zh-CN" w:bidi="ar-SA"/>
    </w:rPr>
  </w:style>
  <w:style w:type="paragraph" w:styleId="21">
    <w:name w:val="List Paragraph"/>
    <w:basedOn w:val="1"/>
    <w:qFormat/>
    <w:uiPriority w:val="34"/>
    <w:pPr>
      <w:spacing w:line="240" w:lineRule="auto"/>
      <w:ind w:left="720" w:firstLine="0" w:firstLineChars="0"/>
      <w:contextualSpacing/>
    </w:pPr>
    <w:rPr>
      <w:rFonts w:asciiTheme="minorHAnsi" w:hAnsiTheme="minorHAnsi" w:eastAsiaTheme="minorEastAsia" w:cstheme="minorBidi"/>
      <w:sz w:val="22"/>
      <w:szCs w:val="22"/>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3001</Words>
  <Characters>3052</Characters>
  <Lines>16</Lines>
  <Paragraphs>4</Paragraphs>
  <TotalTime>4</TotalTime>
  <ScaleCrop>false</ScaleCrop>
  <LinksUpToDate>false</LinksUpToDate>
  <CharactersWithSpaces>3189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2024-01-02T06:49:00Z</dcterms:created>
  <dc:creator>倪清清</dc:creator>
  <cp:lastModifiedBy>微明</cp:lastModifiedBy>
  <cp:lastPrinted>2024-01-02T06:55:00Z</cp:lastPrinted>
  <dcterms:modified xsi:type="dcterms:W3CDTF">2025-11-24T07:23:33Z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F514B4D6229B403DB5A174E12533586C_13</vt:lpwstr>
  </property>
  <property fmtid="{D5CDD505-2E9C-101B-9397-08002B2CF9AE}" pid="4" name="KSOTemplateDocerSaveRecord">
    <vt:lpwstr>eyJoZGlkIjoiMmRkZjAyNGEyMzdiZTVmNjQ5NDFiZTdlNGI2ZmFlOWYiLCJ1c2VySWQiOiIzMTI5NDEyOTUifQ==</vt:lpwstr>
  </property>
</Properties>
</file>