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A50C">
      <w:pPr>
        <w:adjustRightInd w:val="0"/>
        <w:snapToGrid w:val="0"/>
        <w:spacing w:before="156" w:beforeLines="50" w:after="156" w:afterLines="50" w:line="360" w:lineRule="auto"/>
        <w:rPr>
          <w:rFonts w:hint="eastAsia" w:ascii="宋体" w:hAnsi="宋体" w:cs="宋体"/>
          <w:b/>
          <w:bCs/>
          <w:iCs/>
          <w:sz w:val="24"/>
          <w:szCs w:val="24"/>
        </w:rPr>
      </w:pPr>
      <w:r>
        <w:rPr>
          <w:rFonts w:hint="eastAsia" w:ascii="宋体" w:hAnsi="宋体" w:cs="宋体"/>
          <w:b/>
          <w:bCs/>
          <w:iCs/>
          <w:sz w:val="24"/>
          <w:szCs w:val="24"/>
        </w:rPr>
        <w:t>证券代码：688755                                   证券简称：汉邦科技</w:t>
      </w:r>
    </w:p>
    <w:p w14:paraId="660842B5">
      <w:pPr>
        <w:autoSpaceDE w:val="0"/>
        <w:autoSpaceDN w:val="0"/>
        <w:adjustRightInd w:val="0"/>
        <w:snapToGrid w:val="0"/>
        <w:spacing w:before="156" w:beforeLines="50" w:after="156" w:afterLines="50"/>
        <w:ind w:left="141" w:hanging="141" w:hangingChars="50"/>
        <w:jc w:val="center"/>
        <w:rPr>
          <w:rFonts w:hint="eastAsia" w:ascii="黑体" w:hAnsi="黑体" w:eastAsia="黑体" w:cs="黑体"/>
          <w:b/>
          <w:sz w:val="28"/>
          <w:szCs w:val="28"/>
        </w:rPr>
      </w:pPr>
      <w:r>
        <w:rPr>
          <w:rFonts w:hint="eastAsia" w:ascii="黑体" w:hAnsi="黑体" w:eastAsia="黑体" w:cs="黑体"/>
          <w:b/>
          <w:sz w:val="28"/>
          <w:szCs w:val="28"/>
        </w:rPr>
        <w:t>江苏汉邦科技股份有限公司</w:t>
      </w:r>
    </w:p>
    <w:p w14:paraId="4A8777F4">
      <w:pPr>
        <w:autoSpaceDE w:val="0"/>
        <w:autoSpaceDN w:val="0"/>
        <w:adjustRightInd w:val="0"/>
        <w:snapToGrid w:val="0"/>
        <w:spacing w:before="156" w:beforeLines="50" w:after="156" w:afterLines="50"/>
        <w:ind w:left="141" w:hanging="141" w:hangingChars="50"/>
        <w:jc w:val="center"/>
        <w:rPr>
          <w:rFonts w:hint="eastAsia" w:ascii="黑体" w:hAnsi="黑体" w:eastAsia="黑体" w:cs="黑体"/>
          <w:b/>
          <w:sz w:val="28"/>
          <w:szCs w:val="28"/>
        </w:rPr>
      </w:pPr>
      <w:r>
        <w:rPr>
          <w:rFonts w:hint="eastAsia" w:ascii="黑体" w:hAnsi="黑体" w:eastAsia="黑体" w:cs="黑体"/>
          <w:b/>
          <w:sz w:val="28"/>
          <w:szCs w:val="28"/>
        </w:rPr>
        <w:t>投资者关系活动记录表</w:t>
      </w:r>
    </w:p>
    <w:p w14:paraId="4A11A721">
      <w:pPr>
        <w:spacing w:line="400" w:lineRule="exact"/>
        <w:jc w:val="both"/>
        <w:rPr>
          <w:rFonts w:hint="eastAsia" w:ascii="宋体" w:hAnsi="宋体" w:eastAsia="宋体" w:cs="宋体"/>
          <w:bCs/>
          <w:iCs/>
          <w:sz w:val="24"/>
          <w:szCs w:val="24"/>
          <w:lang w:val="en-US" w:eastAsia="zh-CN"/>
        </w:rPr>
      </w:pPr>
      <w:r>
        <w:rPr>
          <w:rFonts w:hint="eastAsia" w:ascii="宋体" w:hAnsi="宋体" w:cs="宋体"/>
          <w:bCs/>
          <w:iCs/>
          <w:sz w:val="24"/>
          <w:szCs w:val="24"/>
        </w:rPr>
        <w:t xml:space="preserve">                                                    </w:t>
      </w:r>
      <w:r>
        <w:rPr>
          <w:rFonts w:hint="eastAsia" w:ascii="宋体" w:hAnsi="宋体" w:cs="宋体"/>
          <w:b/>
          <w:iCs/>
          <w:sz w:val="24"/>
          <w:szCs w:val="24"/>
        </w:rPr>
        <w:t xml:space="preserve">   编号</w:t>
      </w:r>
      <w:r>
        <w:rPr>
          <w:rFonts w:hint="eastAsia" w:ascii="宋体" w:hAnsi="宋体" w:cs="宋体"/>
          <w:bCs/>
          <w:iCs/>
          <w:sz w:val="24"/>
          <w:szCs w:val="24"/>
        </w:rPr>
        <w:t>：2025-00</w:t>
      </w:r>
      <w:r>
        <w:rPr>
          <w:rFonts w:hint="eastAsia" w:ascii="宋体" w:hAnsi="宋体" w:cs="宋体"/>
          <w:bCs/>
          <w:iCs/>
          <w:sz w:val="24"/>
          <w:szCs w:val="24"/>
          <w:lang w:val="en-US" w:eastAsia="zh-CN"/>
        </w:rPr>
        <w:t>3</w:t>
      </w:r>
    </w:p>
    <w:tbl>
      <w:tblPr>
        <w:tblStyle w:val="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543"/>
      </w:tblGrid>
      <w:tr w14:paraId="77ED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989" w:type="dxa"/>
            <w:shd w:val="clear" w:color="auto" w:fill="auto"/>
            <w:vAlign w:val="center"/>
          </w:tcPr>
          <w:p w14:paraId="22456E83">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投资者关系</w:t>
            </w:r>
          </w:p>
          <w:p w14:paraId="5CAD630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活动类别</w:t>
            </w:r>
          </w:p>
          <w:p w14:paraId="02BD7378">
            <w:pPr>
              <w:adjustRightInd w:val="0"/>
              <w:snapToGrid w:val="0"/>
              <w:rPr>
                <w:rFonts w:hint="eastAsia" w:ascii="宋体" w:hAnsi="宋体" w:cs="宋体"/>
                <w:b/>
                <w:bCs/>
                <w:iCs/>
                <w:sz w:val="24"/>
                <w:szCs w:val="24"/>
              </w:rPr>
            </w:pPr>
          </w:p>
        </w:tc>
        <w:tc>
          <w:tcPr>
            <w:tcW w:w="7543" w:type="dxa"/>
            <w:shd w:val="clear" w:color="auto" w:fill="auto"/>
            <w:vAlign w:val="center"/>
          </w:tcPr>
          <w:p w14:paraId="3903673C">
            <w:pPr>
              <w:adjustRightInd w:val="0"/>
              <w:snapToGrid w:val="0"/>
              <w:rPr>
                <w:rFonts w:hint="eastAsia" w:ascii="宋体" w:hAnsi="宋体" w:cs="宋体"/>
                <w:bCs/>
                <w:iCs/>
                <w:sz w:val="24"/>
                <w:szCs w:val="24"/>
              </w:rPr>
            </w:pPr>
            <w:r>
              <w:rPr>
                <w:rFonts w:hint="eastAsia" w:ascii="宋体" w:hAnsi="宋体" w:cs="宋体"/>
                <w:bCs/>
                <w:iCs/>
                <w:sz w:val="24"/>
                <w:szCs w:val="24"/>
              </w:rPr>
              <w:t>□</w:t>
            </w:r>
            <w:r>
              <w:rPr>
                <w:rFonts w:hint="eastAsia" w:ascii="宋体" w:hAnsi="宋体" w:cs="宋体"/>
                <w:sz w:val="24"/>
                <w:szCs w:val="24"/>
              </w:rPr>
              <w:t xml:space="preserve">特定对象调研        </w:t>
            </w:r>
            <w:r>
              <w:rPr>
                <w:rFonts w:hint="eastAsia" w:ascii="宋体" w:hAnsi="宋体" w:cs="宋体"/>
                <w:bCs/>
                <w:iCs/>
                <w:sz w:val="24"/>
                <w:szCs w:val="24"/>
                <w:lang w:eastAsia="zh-CN"/>
              </w:rPr>
              <w:t>□</w:t>
            </w:r>
            <w:r>
              <w:rPr>
                <w:rFonts w:hint="eastAsia" w:ascii="宋体" w:hAnsi="宋体" w:cs="宋体"/>
                <w:sz w:val="24"/>
                <w:szCs w:val="24"/>
              </w:rPr>
              <w:t>分析师会议</w:t>
            </w:r>
            <w:bookmarkStart w:id="0" w:name="_GoBack"/>
            <w:bookmarkEnd w:id="0"/>
          </w:p>
          <w:p w14:paraId="529C3BD2">
            <w:pPr>
              <w:adjustRightInd w:val="0"/>
              <w:snapToGrid w:val="0"/>
              <w:rPr>
                <w:rFonts w:hint="eastAsia" w:ascii="宋体" w:hAnsi="宋体" w:cs="宋体"/>
                <w:bCs/>
                <w:iCs/>
                <w:sz w:val="24"/>
                <w:szCs w:val="24"/>
              </w:rPr>
            </w:pPr>
            <w:r>
              <w:rPr>
                <w:rFonts w:hint="eastAsia" w:ascii="宋体" w:hAnsi="宋体" w:cs="宋体"/>
                <w:bCs/>
                <w:iCs/>
                <w:sz w:val="24"/>
                <w:szCs w:val="24"/>
              </w:rPr>
              <w:t>□</w:t>
            </w:r>
            <w:r>
              <w:rPr>
                <w:rFonts w:hint="eastAsia" w:ascii="宋体" w:hAnsi="宋体" w:cs="宋体"/>
                <w:sz w:val="24"/>
                <w:szCs w:val="24"/>
              </w:rPr>
              <w:t xml:space="preserve">媒体采访            </w:t>
            </w:r>
            <w:r>
              <w:rPr>
                <w:rFonts w:hint="eastAsia" w:ascii="宋体" w:hAnsi="宋体" w:cs="宋体"/>
                <w:bCs/>
                <w:iCs/>
                <w:sz w:val="24"/>
                <w:szCs w:val="24"/>
                <w:lang w:eastAsia="zh-CN"/>
              </w:rPr>
              <w:t>☑</w:t>
            </w:r>
            <w:r>
              <w:rPr>
                <w:rFonts w:hint="eastAsia" w:ascii="宋体" w:hAnsi="宋体" w:cs="宋体"/>
                <w:sz w:val="24"/>
                <w:szCs w:val="24"/>
              </w:rPr>
              <w:t>业绩说明会</w:t>
            </w:r>
          </w:p>
          <w:p w14:paraId="4EAFBBA8">
            <w:pPr>
              <w:adjustRightInd w:val="0"/>
              <w:snapToGrid w:val="0"/>
              <w:rPr>
                <w:rFonts w:hint="eastAsia" w:ascii="宋体" w:hAnsi="宋体" w:cs="宋体"/>
                <w:bCs/>
                <w:iCs/>
                <w:sz w:val="24"/>
                <w:szCs w:val="24"/>
              </w:rPr>
            </w:pPr>
            <w:r>
              <w:rPr>
                <w:rFonts w:hint="eastAsia" w:ascii="宋体" w:hAnsi="宋体" w:cs="宋体"/>
                <w:bCs/>
                <w:iCs/>
                <w:sz w:val="24"/>
                <w:szCs w:val="24"/>
              </w:rPr>
              <w:t>□</w:t>
            </w:r>
            <w:r>
              <w:rPr>
                <w:rFonts w:hint="eastAsia" w:ascii="宋体" w:hAnsi="宋体" w:cs="宋体"/>
                <w:sz w:val="24"/>
                <w:szCs w:val="24"/>
              </w:rPr>
              <w:t xml:space="preserve">新闻发布会          </w:t>
            </w:r>
            <w:r>
              <w:rPr>
                <w:rFonts w:hint="eastAsia" w:ascii="宋体" w:hAnsi="宋体" w:cs="宋体"/>
                <w:bCs/>
                <w:iCs/>
                <w:sz w:val="24"/>
                <w:szCs w:val="24"/>
                <w:lang w:eastAsia="zh-CN"/>
              </w:rPr>
              <w:t>□</w:t>
            </w:r>
            <w:r>
              <w:rPr>
                <w:rFonts w:hint="eastAsia" w:ascii="宋体" w:hAnsi="宋体" w:cs="宋体"/>
                <w:sz w:val="24"/>
                <w:szCs w:val="24"/>
              </w:rPr>
              <w:t>路演活动</w:t>
            </w:r>
          </w:p>
          <w:p w14:paraId="46BF0A1A">
            <w:pPr>
              <w:tabs>
                <w:tab w:val="left" w:pos="3045"/>
                <w:tab w:val="center" w:pos="3199"/>
              </w:tabs>
              <w:adjustRightInd w:val="0"/>
              <w:snapToGrid w:val="0"/>
              <w:rPr>
                <w:rFonts w:hint="eastAsia" w:ascii="宋体" w:hAnsi="宋体" w:cs="宋体"/>
                <w:bCs/>
                <w:iCs/>
                <w:sz w:val="24"/>
                <w:szCs w:val="24"/>
              </w:rPr>
            </w:pPr>
            <w:r>
              <w:rPr>
                <w:rFonts w:hint="eastAsia" w:ascii="宋体" w:hAnsi="宋体" w:cs="宋体"/>
                <w:bCs/>
                <w:iCs/>
                <w:sz w:val="24"/>
                <w:szCs w:val="24"/>
                <w:lang w:eastAsia="zh-CN"/>
              </w:rPr>
              <w:t>□</w:t>
            </w:r>
            <w:r>
              <w:rPr>
                <w:rFonts w:hint="eastAsia" w:ascii="宋体" w:hAnsi="宋体" w:cs="宋体"/>
                <w:sz w:val="24"/>
                <w:szCs w:val="24"/>
              </w:rPr>
              <w:t>现场参观</w:t>
            </w:r>
            <w:r>
              <w:rPr>
                <w:rFonts w:hint="eastAsia" w:ascii="宋体" w:hAnsi="宋体" w:cs="宋体"/>
                <w:sz w:val="24"/>
                <w:szCs w:val="24"/>
                <w:lang w:val="en-US" w:eastAsia="zh-CN"/>
              </w:rPr>
              <w:t xml:space="preserve">            </w:t>
            </w:r>
          </w:p>
          <w:p w14:paraId="29F35AC4">
            <w:pPr>
              <w:tabs>
                <w:tab w:val="center" w:pos="3199"/>
              </w:tabs>
              <w:adjustRightInd w:val="0"/>
              <w:snapToGrid w:val="0"/>
              <w:rPr>
                <w:rFonts w:hint="eastAsia" w:ascii="宋体" w:hAnsi="宋体" w:cs="宋体"/>
                <w:bCs/>
                <w:iCs/>
                <w:sz w:val="24"/>
                <w:szCs w:val="24"/>
              </w:rPr>
            </w:pPr>
            <w:r>
              <w:rPr>
                <w:rFonts w:hint="eastAsia" w:ascii="宋体" w:hAnsi="宋体" w:cs="宋体"/>
                <w:bCs/>
                <w:iCs/>
                <w:sz w:val="24"/>
                <w:szCs w:val="24"/>
                <w:lang w:eastAsia="zh-CN"/>
              </w:rPr>
              <w:t>□</w:t>
            </w:r>
            <w:r>
              <w:rPr>
                <w:rFonts w:hint="eastAsia" w:ascii="宋体" w:hAnsi="宋体" w:cs="宋体"/>
                <w:sz w:val="24"/>
                <w:szCs w:val="24"/>
              </w:rPr>
              <w:t>其他</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tc>
      </w:tr>
      <w:tr w14:paraId="598B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89" w:type="dxa"/>
            <w:shd w:val="clear" w:color="auto" w:fill="auto"/>
            <w:vAlign w:val="center"/>
          </w:tcPr>
          <w:p w14:paraId="482AE889">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参与单位名称</w:t>
            </w:r>
          </w:p>
        </w:tc>
        <w:tc>
          <w:tcPr>
            <w:tcW w:w="7543" w:type="dxa"/>
            <w:shd w:val="clear" w:color="auto" w:fill="auto"/>
            <w:vAlign w:val="center"/>
          </w:tcPr>
          <w:p w14:paraId="3127A903">
            <w:pPr>
              <w:adjustRightInd w:val="0"/>
              <w:snapToGrid w:val="0"/>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线上参与汉邦科技2025年第三季度业绩说明会的投资者</w:t>
            </w:r>
          </w:p>
        </w:tc>
      </w:tr>
      <w:tr w14:paraId="236C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89" w:type="dxa"/>
            <w:shd w:val="clear" w:color="auto" w:fill="auto"/>
            <w:vAlign w:val="center"/>
          </w:tcPr>
          <w:p w14:paraId="5B61953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时间</w:t>
            </w:r>
          </w:p>
        </w:tc>
        <w:tc>
          <w:tcPr>
            <w:tcW w:w="7543" w:type="dxa"/>
            <w:shd w:val="clear" w:color="auto" w:fill="auto"/>
            <w:vAlign w:val="center"/>
          </w:tcPr>
          <w:p w14:paraId="49A6EA06">
            <w:pPr>
              <w:adjustRightInd w:val="0"/>
              <w:snapToGrid w:val="0"/>
              <w:rPr>
                <w:rFonts w:hint="eastAsia" w:ascii="宋体" w:hAnsi="宋体" w:cs="宋体"/>
                <w:bCs/>
                <w:iCs/>
                <w:sz w:val="24"/>
                <w:szCs w:val="24"/>
              </w:rPr>
            </w:pPr>
            <w:r>
              <w:rPr>
                <w:rFonts w:hint="eastAsia" w:ascii="宋体" w:hAnsi="宋体" w:cs="宋体"/>
                <w:bCs/>
                <w:iCs/>
                <w:sz w:val="24"/>
                <w:szCs w:val="24"/>
              </w:rPr>
              <w:t>2025年</w:t>
            </w:r>
            <w:r>
              <w:rPr>
                <w:rFonts w:hint="eastAsia" w:ascii="宋体" w:hAnsi="宋体" w:cs="宋体"/>
                <w:bCs/>
                <w:iCs/>
                <w:sz w:val="24"/>
                <w:szCs w:val="24"/>
                <w:lang w:val="en-US" w:eastAsia="zh-CN"/>
              </w:rPr>
              <w:t>11</w:t>
            </w:r>
            <w:r>
              <w:rPr>
                <w:rFonts w:hint="eastAsia" w:ascii="宋体" w:hAnsi="宋体" w:cs="宋体"/>
                <w:bCs/>
                <w:iCs/>
                <w:sz w:val="24"/>
                <w:szCs w:val="24"/>
              </w:rPr>
              <w:t>月</w:t>
            </w:r>
            <w:r>
              <w:rPr>
                <w:rFonts w:hint="eastAsia" w:ascii="宋体" w:hAnsi="宋体" w:cs="宋体"/>
                <w:bCs/>
                <w:iCs/>
                <w:sz w:val="24"/>
                <w:szCs w:val="24"/>
                <w:lang w:val="en-US" w:eastAsia="zh-CN"/>
              </w:rPr>
              <w:t>25</w:t>
            </w:r>
            <w:r>
              <w:rPr>
                <w:rFonts w:hint="eastAsia" w:ascii="宋体" w:hAnsi="宋体" w:cs="宋体"/>
                <w:bCs/>
                <w:iCs/>
                <w:sz w:val="24"/>
                <w:szCs w:val="24"/>
              </w:rPr>
              <w:t>日14:00-15:00</w:t>
            </w:r>
          </w:p>
        </w:tc>
      </w:tr>
      <w:tr w14:paraId="110A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989" w:type="dxa"/>
            <w:shd w:val="clear" w:color="auto" w:fill="auto"/>
            <w:vAlign w:val="center"/>
          </w:tcPr>
          <w:p w14:paraId="2078732D">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地点</w:t>
            </w:r>
          </w:p>
        </w:tc>
        <w:tc>
          <w:tcPr>
            <w:tcW w:w="7543" w:type="dxa"/>
            <w:shd w:val="clear" w:color="auto" w:fill="auto"/>
            <w:vAlign w:val="center"/>
          </w:tcPr>
          <w:p w14:paraId="47E7573E">
            <w:pPr>
              <w:adjustRightInd w:val="0"/>
              <w:snapToGrid w:val="0"/>
              <w:rPr>
                <w:rFonts w:hint="default" w:ascii="宋体" w:hAnsi="宋体" w:eastAsia="宋体" w:cs="宋体"/>
                <w:bCs/>
                <w:iCs/>
                <w:sz w:val="24"/>
                <w:szCs w:val="24"/>
                <w:lang w:val="en-US" w:eastAsia="zh-CN"/>
              </w:rPr>
            </w:pPr>
            <w:r>
              <w:rPr>
                <w:rFonts w:hint="eastAsia" w:ascii="宋体" w:hAnsi="宋体" w:cs="宋体"/>
                <w:bCs/>
                <w:iCs/>
                <w:sz w:val="24"/>
                <w:szCs w:val="24"/>
              </w:rPr>
              <w:t>上海证券交易所上证路演中心（网址：http://roadshow.sseinfo.com/）</w:t>
            </w:r>
          </w:p>
        </w:tc>
      </w:tr>
      <w:tr w14:paraId="40BE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989" w:type="dxa"/>
            <w:shd w:val="clear" w:color="auto" w:fill="auto"/>
            <w:vAlign w:val="center"/>
          </w:tcPr>
          <w:p w14:paraId="676CE126">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上市公司接待</w:t>
            </w:r>
          </w:p>
          <w:p w14:paraId="5706620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人员姓名</w:t>
            </w:r>
          </w:p>
        </w:tc>
        <w:tc>
          <w:tcPr>
            <w:tcW w:w="7543" w:type="dxa"/>
            <w:shd w:val="clear" w:color="auto" w:fill="auto"/>
            <w:vAlign w:val="center"/>
          </w:tcPr>
          <w:p w14:paraId="28F6F8FC">
            <w:pPr>
              <w:adjustRightInd w:val="0"/>
              <w:snapToGrid w:val="0"/>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董事长、总经理：张大兵</w:t>
            </w:r>
          </w:p>
          <w:p w14:paraId="795134F3">
            <w:pPr>
              <w:adjustRightInd w:val="0"/>
              <w:snapToGrid w:val="0"/>
              <w:rPr>
                <w:rFonts w:hint="eastAsia" w:ascii="宋体" w:hAnsi="宋体" w:cs="宋体"/>
                <w:bCs/>
                <w:iCs/>
                <w:sz w:val="24"/>
                <w:szCs w:val="24"/>
              </w:rPr>
            </w:pPr>
            <w:r>
              <w:rPr>
                <w:rFonts w:hint="eastAsia" w:ascii="宋体" w:hAnsi="宋体" w:cs="宋体"/>
                <w:bCs/>
                <w:iCs/>
                <w:sz w:val="24"/>
                <w:szCs w:val="24"/>
              </w:rPr>
              <w:t>董事、副总经理、董事会秘书：汤业峰</w:t>
            </w:r>
          </w:p>
          <w:p w14:paraId="2A47D600">
            <w:pPr>
              <w:adjustRightInd w:val="0"/>
              <w:snapToGrid w:val="0"/>
              <w:rPr>
                <w:rFonts w:hint="eastAsia" w:ascii="宋体" w:hAnsi="宋体" w:cs="宋体"/>
                <w:bCs/>
                <w:iCs/>
                <w:sz w:val="24"/>
                <w:szCs w:val="24"/>
                <w:lang w:val="en-US" w:eastAsia="zh-CN"/>
              </w:rPr>
            </w:pPr>
            <w:r>
              <w:rPr>
                <w:rFonts w:hint="eastAsia" w:ascii="宋体" w:hAnsi="宋体" w:cs="宋体"/>
                <w:bCs/>
                <w:iCs/>
                <w:sz w:val="24"/>
                <w:szCs w:val="24"/>
                <w:lang w:val="en-US" w:eastAsia="zh-CN"/>
              </w:rPr>
              <w:t>财务总监：顾彬</w:t>
            </w:r>
          </w:p>
          <w:p w14:paraId="17E1ED58">
            <w:pPr>
              <w:adjustRightInd w:val="0"/>
              <w:snapToGrid w:val="0"/>
              <w:rPr>
                <w:rFonts w:hint="eastAsia" w:ascii="宋体" w:hAnsi="宋体" w:cs="宋体"/>
                <w:bCs/>
                <w:iCs/>
                <w:sz w:val="24"/>
                <w:szCs w:val="24"/>
              </w:rPr>
            </w:pPr>
            <w:r>
              <w:rPr>
                <w:rFonts w:hint="eastAsia" w:ascii="宋体" w:hAnsi="宋体" w:cs="宋体"/>
                <w:bCs/>
                <w:iCs/>
                <w:sz w:val="24"/>
                <w:szCs w:val="24"/>
                <w:lang w:val="en-US" w:eastAsia="zh-CN"/>
              </w:rPr>
              <w:t>独立董事：钱运华、熊守春、陈晨</w:t>
            </w:r>
          </w:p>
        </w:tc>
      </w:tr>
      <w:tr w14:paraId="481D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shd w:val="clear" w:color="auto" w:fill="auto"/>
            <w:vAlign w:val="center"/>
          </w:tcPr>
          <w:p w14:paraId="59CD327E">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投资者关系活动主要内容介绍</w:t>
            </w:r>
          </w:p>
        </w:tc>
        <w:tc>
          <w:tcPr>
            <w:tcW w:w="7543" w:type="dxa"/>
            <w:shd w:val="clear" w:color="auto" w:fill="auto"/>
            <w:vAlign w:val="center"/>
          </w:tcPr>
          <w:p w14:paraId="17241748">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问题一</w:t>
            </w:r>
            <w:r>
              <w:rPr>
                <w:rFonts w:hint="eastAsia" w:ascii="宋体" w:hAnsi="宋体" w:cs="宋体"/>
                <w:b/>
                <w:iCs/>
                <w:sz w:val="24"/>
                <w:szCs w:val="24"/>
                <w:lang w:eastAsia="zh-CN"/>
              </w:rPr>
              <w:t>：</w:t>
            </w:r>
            <w:r>
              <w:rPr>
                <w:rFonts w:hint="eastAsia" w:ascii="宋体" w:hAnsi="宋体" w:eastAsia="宋体" w:cs="宋体"/>
                <w:b/>
                <w:bCs w:val="0"/>
                <w:iCs/>
                <w:sz w:val="24"/>
                <w:szCs w:val="24"/>
                <w:lang w:val="en-US" w:eastAsia="zh-CN"/>
              </w:rPr>
              <w:t>行业内色谱分离设备的国产化率不断提升，公司作为龙头企业，是否受益于进口替代趋势，市场份额是否有所增加？</w:t>
            </w:r>
          </w:p>
          <w:p w14:paraId="56ABF2C4">
            <w:pPr>
              <w:adjustRightInd w:val="0"/>
              <w:snapToGrid w:val="0"/>
              <w:spacing w:line="360" w:lineRule="auto"/>
              <w:ind w:firstLine="480" w:firstLineChars="200"/>
              <w:rPr>
                <w:rFonts w:hint="eastAsia" w:ascii="宋体" w:hAnsi="宋体" w:cs="宋体"/>
                <w:bCs/>
                <w:iCs/>
                <w:sz w:val="24"/>
                <w:szCs w:val="24"/>
                <w:lang w:eastAsia="zh-CN"/>
              </w:rPr>
            </w:pPr>
            <w:r>
              <w:rPr>
                <w:rFonts w:hint="eastAsia" w:ascii="宋体" w:hAnsi="宋体" w:cs="宋体"/>
                <w:bCs/>
                <w:iCs/>
                <w:sz w:val="24"/>
                <w:szCs w:val="24"/>
              </w:rPr>
              <w:t>答：公司作为国内色谱纯化装备领域的领先企业，充分受益于制药装备国产化率提升的趋势，公司主要产品性能已达到国际先进水平，打破了国外相关技术和产品的长期垄断。市场份额方面，根据沙利文数据，2023年生产级小分子液相色谱系统市占率达39.2%，稳居第一；生产级大分子层析系统市占率8.8%，位列行业前三；液相色谱设备（含生产级、实验室级）整体市占率12.7%，国产品牌第一。未来公司将持续深耕核心技术研发与产业链延伸，通过技术创新进一步巩固和扩大市场优势，稳步提升市场份额。</w:t>
            </w:r>
          </w:p>
          <w:p w14:paraId="4E0C8FBE">
            <w:pPr>
              <w:adjustRightInd w:val="0"/>
              <w:snapToGrid w:val="0"/>
              <w:spacing w:line="360" w:lineRule="auto"/>
              <w:ind w:firstLine="482" w:firstLineChars="200"/>
              <w:rPr>
                <w:rFonts w:hint="default" w:ascii="宋体" w:hAnsi="宋体" w:cs="宋体"/>
                <w:b/>
                <w:iCs/>
                <w:sz w:val="24"/>
                <w:szCs w:val="24"/>
                <w:lang w:val="en-US" w:eastAsia="zh-CN"/>
              </w:rPr>
            </w:pPr>
            <w:r>
              <w:rPr>
                <w:rFonts w:hint="eastAsia" w:ascii="宋体" w:hAnsi="宋体" w:cs="宋体"/>
                <w:b/>
                <w:iCs/>
                <w:sz w:val="24"/>
                <w:szCs w:val="24"/>
                <w:lang w:val="en-US" w:eastAsia="zh-CN"/>
              </w:rPr>
              <w:t>问题二：公司推出的药物分离纯化整体化解决方案，是否受到客户青睐，有哪些大型项目签约，预计带来多少收入？</w:t>
            </w:r>
          </w:p>
          <w:p w14:paraId="5453903E">
            <w:pPr>
              <w:adjustRightInd w:val="0"/>
              <w:snapToGrid w:val="0"/>
              <w:spacing w:line="360" w:lineRule="auto"/>
              <w:ind w:firstLine="480" w:firstLineChars="200"/>
              <w:rPr>
                <w:rFonts w:hint="eastAsia" w:ascii="宋体" w:hAnsi="宋体" w:cs="宋体"/>
                <w:b w:val="0"/>
                <w:bCs/>
                <w:iCs/>
                <w:sz w:val="24"/>
                <w:szCs w:val="24"/>
                <w:lang w:val="en-US" w:eastAsia="zh-CN"/>
              </w:rPr>
            </w:pPr>
            <w:r>
              <w:rPr>
                <w:rFonts w:hint="eastAsia" w:ascii="宋体" w:hAnsi="宋体" w:cs="宋体"/>
                <w:b w:val="0"/>
                <w:bCs/>
                <w:iCs/>
                <w:sz w:val="24"/>
                <w:szCs w:val="24"/>
                <w:lang w:val="en-US" w:eastAsia="zh-CN"/>
              </w:rPr>
              <w:t>答：公司推出的药物分离纯化整体化解决方案贯穿“实验室研发-中试放大-工业量产”全周期，可根据客户需求定制化提供色谱装备、专用填料、工艺开发服务及数字化控制系统，适配单抗、核酸药物、多肽、疫苗等多类产品的纯化需求，帮助客户缩短产线建设周期、降低工艺验证成本，具体订单及客户情况请持续关注公司的定期报告。</w:t>
            </w:r>
          </w:p>
          <w:p w14:paraId="350255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iCs/>
                <w:sz w:val="24"/>
                <w:szCs w:val="24"/>
              </w:rPr>
            </w:pPr>
            <w:r>
              <w:rPr>
                <w:rFonts w:hint="eastAsia" w:ascii="宋体" w:hAnsi="宋体" w:cs="宋体"/>
                <w:b/>
                <w:iCs/>
                <w:sz w:val="24"/>
                <w:szCs w:val="24"/>
              </w:rPr>
              <w:t>问题</w:t>
            </w:r>
            <w:r>
              <w:rPr>
                <w:rFonts w:hint="eastAsia" w:ascii="宋体" w:hAnsi="宋体" w:cs="宋体"/>
                <w:b/>
                <w:iCs/>
                <w:sz w:val="24"/>
                <w:szCs w:val="24"/>
                <w:lang w:val="en-US" w:eastAsia="zh-CN"/>
              </w:rPr>
              <w:t>三：</w:t>
            </w:r>
            <w:r>
              <w:rPr>
                <w:rFonts w:hint="eastAsia" w:ascii="宋体" w:hAnsi="宋体" w:eastAsia="宋体" w:cs="宋体"/>
                <w:b/>
                <w:bCs/>
                <w:sz w:val="24"/>
                <w:szCs w:val="32"/>
                <w:lang w:val="en-US" w:eastAsia="zh-CN"/>
              </w:rPr>
              <w:t>近期公司授权的专利或知识产权，是否涉及色谱分离领域的关键技术，能否进一步巩固公司的技术壁垒？</w:t>
            </w:r>
          </w:p>
          <w:p w14:paraId="03922B86">
            <w:pPr>
              <w:adjustRightInd w:val="0"/>
              <w:snapToGrid w:val="0"/>
              <w:spacing w:line="360" w:lineRule="auto"/>
              <w:ind w:firstLine="480" w:firstLineChars="200"/>
              <w:rPr>
                <w:rFonts w:hint="eastAsia" w:ascii="宋体" w:hAnsi="宋体" w:cs="宋体"/>
                <w:bCs/>
                <w:iCs/>
                <w:sz w:val="24"/>
                <w:szCs w:val="24"/>
                <w:lang w:val="en-US" w:eastAsia="zh-CN"/>
              </w:rPr>
            </w:pPr>
            <w:r>
              <w:rPr>
                <w:rFonts w:hint="eastAsia" w:ascii="宋体" w:hAnsi="宋体" w:cs="宋体"/>
                <w:bCs/>
                <w:iCs/>
                <w:sz w:val="24"/>
                <w:szCs w:val="24"/>
              </w:rPr>
              <w:t>答：</w:t>
            </w:r>
            <w:r>
              <w:rPr>
                <w:rFonts w:hint="eastAsia" w:ascii="宋体" w:hAnsi="宋体" w:cs="宋体"/>
                <w:bCs/>
                <w:iCs/>
                <w:sz w:val="24"/>
                <w:szCs w:val="24"/>
                <w:lang w:val="en-US" w:eastAsia="zh-CN"/>
              </w:rPr>
              <w:t>公司前三季度新增授权6项发明专利，涉及色谱设备、分离开发方法等关键技术。例如“一种核酸合成仪”发明专利（解决试剂递送不够精准，反应试剂浪费，气密性差等问题）、“一种填料均匀混合设备及其方法”发明专利（实现填料混合物流动式的均匀混合，同时减少混合时的操作步骤）。未来，公司将持续聚焦色谱分离纯化领域前沿技术研发，加大专利布局力度，不断巩固技术壁垒，为公司长期高质量发展注入核心动力。</w:t>
            </w:r>
          </w:p>
          <w:p w14:paraId="1729FCF8">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问题四：超临界流体色谱系统（SFC）产品的应用前景和市场竞争格局如何？</w:t>
            </w:r>
          </w:p>
          <w:p w14:paraId="10CEB321">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答：超临界流体色谱（SFC）是一种高效的色谱技术，使用CO2作为流动相，兼具液相色谱的分离能力和气相色谱的传质速率，具有分离效率高、分析速度快、有机溶剂用量少（绿色环保）的显著优势，符合全球可持续发展的趋势。全球范围内从事SFC仪器生产的企业数量相对较少，由于SFC应用前景广阔，且技术门槛较高，2013年该仪器被列入“十二五”国家重大科学仪器设备开发专项。作为当时我国色谱设备行业的技术领军企业，公司牵头承担了该项目，并成为首家实现SFC设备商业化生产的国产厂商。</w:t>
            </w:r>
          </w:p>
          <w:p w14:paraId="5DD3264C">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iCs/>
                <w:sz w:val="24"/>
                <w:szCs w:val="24"/>
              </w:rPr>
              <w:t>问题五</w:t>
            </w:r>
            <w:r>
              <w:rPr>
                <w:rFonts w:hint="eastAsia" w:ascii="宋体" w:hAnsi="宋体" w:cs="宋体"/>
                <w:b/>
                <w:iCs/>
                <w:sz w:val="24"/>
                <w:szCs w:val="24"/>
                <w:lang w:eastAsia="zh-CN"/>
              </w:rPr>
              <w:t>：</w:t>
            </w:r>
            <w:r>
              <w:rPr>
                <w:rFonts w:hint="eastAsia" w:ascii="宋体" w:hAnsi="宋体" w:cs="宋体"/>
                <w:b/>
                <w:sz w:val="24"/>
                <w:szCs w:val="24"/>
              </w:rPr>
              <w:t>请公司展望未来中国小分子液相色谱设备、生产级大分子层析系统的市场规模</w:t>
            </w:r>
          </w:p>
          <w:p w14:paraId="10C87A98">
            <w:pPr>
              <w:adjustRightInd w:val="0"/>
              <w:snapToGrid w:val="0"/>
              <w:spacing w:line="360" w:lineRule="auto"/>
              <w:ind w:firstLine="480" w:firstLineChars="200"/>
              <w:rPr>
                <w:rFonts w:hint="eastAsia" w:ascii="宋体" w:hAnsi="宋体" w:cs="宋体"/>
                <w:b/>
                <w:bCs/>
                <w:iCs/>
                <w:sz w:val="24"/>
                <w:szCs w:val="24"/>
              </w:rPr>
            </w:pPr>
            <w:r>
              <w:rPr>
                <w:rFonts w:hint="eastAsia" w:ascii="宋体" w:hAnsi="宋体" w:cs="宋体"/>
                <w:bCs/>
                <w:iCs/>
                <w:sz w:val="24"/>
                <w:szCs w:val="24"/>
              </w:rPr>
              <w:t>答：根据沙利文数据，预计未来中国小分子液相色谱设备（含生产级、实验室级）市场将持续增长，到2027年达到52亿元，期间复合年增长率为17.2%；随着生物药市场的放量和医药生产外包服务需求的快速增加，未来生产级大分子层析系统市场将持续增长，预计2027年将达到41.9亿元人民币，2023-2027年的复合年增长率为13.7%。未来，公司将持续聚焦核心技术迭代与产品矩阵完善，深度受益于两大市场的增长机遇，同时依托国产化替代趋势，进一步提升市场份额，为公司长期业绩增长奠定坚实基础。</w:t>
            </w:r>
          </w:p>
          <w:p w14:paraId="7575375D">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问题六</w:t>
            </w:r>
            <w:r>
              <w:rPr>
                <w:rFonts w:hint="eastAsia" w:ascii="宋体" w:hAnsi="宋体" w:cs="宋体"/>
                <w:b/>
                <w:iCs/>
                <w:sz w:val="24"/>
                <w:szCs w:val="24"/>
                <w:lang w:eastAsia="zh-CN"/>
              </w:rPr>
              <w:t>：</w:t>
            </w:r>
            <w:r>
              <w:rPr>
                <w:rFonts w:hint="eastAsia" w:ascii="宋体" w:hAnsi="宋体" w:cs="宋体"/>
                <w:b/>
                <w:iCs/>
                <w:sz w:val="24"/>
                <w:szCs w:val="24"/>
              </w:rPr>
              <w:t>公司在小核酸药物有哪些布局？</w:t>
            </w:r>
          </w:p>
          <w:p w14:paraId="5D1190B2">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b w:val="0"/>
                <w:bCs w:val="0"/>
                <w:iCs/>
                <w:sz w:val="24"/>
                <w:szCs w:val="32"/>
                <w:lang w:val="en-US" w:eastAsia="zh-CN"/>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公司及全资子公司汉凰科技可为客户提供涵盖核酸合成系统、离子交换层析系统、反相制备液相色谱系统及切向流过滤系统在内的完整产品组合，全面支持从基础研究、工艺开发到规模化生产的各个环节。公司产品线可满足从实验室级别探索、中试工艺放大到工业级生产的全方位需求，凭借稳定可靠的系统性能和灵活可扩展的配置方案，为小核酸药物从早期研发到商业化生产全流程提供坚实的技术支撑与解决方案。</w:t>
            </w:r>
          </w:p>
          <w:p w14:paraId="25EEEA53">
            <w:pPr>
              <w:adjustRightInd w:val="0"/>
              <w:snapToGrid w:val="0"/>
              <w:spacing w:line="360" w:lineRule="auto"/>
              <w:ind w:firstLine="482" w:firstLineChars="200"/>
              <w:rPr>
                <w:rFonts w:hint="eastAsia" w:ascii="宋体" w:hAnsi="宋体" w:eastAsia="宋体" w:cs="宋体"/>
                <w:b/>
                <w:iCs/>
                <w:sz w:val="24"/>
                <w:szCs w:val="24"/>
                <w:lang w:val="en-US" w:eastAsia="zh-CN"/>
              </w:rPr>
            </w:pPr>
            <w:r>
              <w:rPr>
                <w:rFonts w:hint="eastAsia" w:ascii="宋体" w:hAnsi="宋体" w:cs="宋体"/>
                <w:b/>
                <w:iCs/>
                <w:sz w:val="24"/>
                <w:szCs w:val="24"/>
              </w:rPr>
              <w:t>问题</w:t>
            </w:r>
            <w:r>
              <w:rPr>
                <w:rFonts w:hint="eastAsia" w:ascii="宋体" w:hAnsi="宋体" w:cs="宋体"/>
                <w:b/>
                <w:iCs/>
                <w:sz w:val="24"/>
                <w:szCs w:val="24"/>
                <w:lang w:val="en-US" w:eastAsia="zh-CN"/>
              </w:rPr>
              <w:t>七：</w:t>
            </w:r>
            <w:r>
              <w:rPr>
                <w:rFonts w:hint="eastAsia" w:ascii="宋体" w:hAnsi="宋体" w:cs="宋体"/>
                <w:b/>
                <w:iCs/>
                <w:sz w:val="24"/>
                <w:szCs w:val="24"/>
              </w:rPr>
              <w:t>2023年生产级小分子液相色谱系统市占率达39.2%，稳居第一；生产级大分子层析系统市占率8.8%，位列行业前三；液相色谱设备（含生产级、实验室级）整体市占率12.7%，请问董事长有没有2024年度及2025年上半年的市场占有统计</w:t>
            </w:r>
            <w:r>
              <w:rPr>
                <w:rFonts w:hint="eastAsia" w:ascii="宋体" w:hAnsi="宋体" w:cs="宋体"/>
                <w:b/>
                <w:iCs/>
                <w:sz w:val="24"/>
                <w:szCs w:val="24"/>
                <w:lang w:eastAsia="zh-CN"/>
              </w:rPr>
              <w:t>？</w:t>
            </w:r>
          </w:p>
          <w:p w14:paraId="7450FFD7">
            <w:pPr>
              <w:adjustRightInd w:val="0"/>
              <w:snapToGrid w:val="0"/>
              <w:spacing w:line="360" w:lineRule="auto"/>
              <w:ind w:firstLine="480" w:firstLineChars="200"/>
              <w:rPr>
                <w:rFonts w:hint="eastAsia" w:ascii="宋体" w:hAnsi="宋体" w:eastAsia="宋体" w:cs="宋体"/>
                <w:b w:val="0"/>
                <w:bCs w:val="0"/>
                <w:iCs/>
                <w:sz w:val="24"/>
                <w:szCs w:val="32"/>
                <w:lang w:val="en-US" w:eastAsia="zh-CN"/>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目前尚无第三方权威机构对公司产品的市占率进行统计或公布，但</w:t>
            </w:r>
            <w:r>
              <w:rPr>
                <w:rFonts w:hint="eastAsia" w:ascii="宋体" w:hAnsi="宋体" w:cs="宋体"/>
                <w:b w:val="0"/>
                <w:bCs w:val="0"/>
                <w:sz w:val="24"/>
                <w:szCs w:val="32"/>
                <w:lang w:val="en-US" w:eastAsia="zh-CN"/>
              </w:rPr>
              <w:t>公司</w:t>
            </w:r>
            <w:r>
              <w:rPr>
                <w:rFonts w:hint="eastAsia" w:ascii="宋体" w:hAnsi="宋体" w:eastAsia="宋体" w:cs="宋体"/>
                <w:b w:val="0"/>
                <w:bCs w:val="0"/>
                <w:sz w:val="24"/>
                <w:szCs w:val="32"/>
                <w:lang w:val="en-US" w:eastAsia="zh-CN"/>
              </w:rPr>
              <w:t>作为国内色谱分离纯化装备领域的领军企业，营收和订单均</w:t>
            </w:r>
            <w:r>
              <w:rPr>
                <w:rFonts w:hint="eastAsia" w:ascii="宋体" w:hAnsi="宋体" w:cs="宋体"/>
                <w:b w:val="0"/>
                <w:bCs w:val="0"/>
                <w:sz w:val="24"/>
                <w:szCs w:val="32"/>
                <w:lang w:val="en-US" w:eastAsia="zh-CN"/>
              </w:rPr>
              <w:t>保持</w:t>
            </w:r>
            <w:r>
              <w:rPr>
                <w:rFonts w:hint="eastAsia" w:ascii="宋体" w:hAnsi="宋体" w:eastAsia="宋体" w:cs="宋体"/>
                <w:b w:val="0"/>
                <w:bCs w:val="0"/>
                <w:sz w:val="24"/>
                <w:szCs w:val="32"/>
                <w:lang w:val="en-US" w:eastAsia="zh-CN"/>
              </w:rPr>
              <w:t>稳健增长。</w:t>
            </w:r>
          </w:p>
          <w:p w14:paraId="57685E63">
            <w:pPr>
              <w:adjustRightInd w:val="0"/>
              <w:snapToGrid w:val="0"/>
              <w:spacing w:line="360" w:lineRule="auto"/>
              <w:ind w:firstLine="482" w:firstLineChars="200"/>
              <w:rPr>
                <w:rFonts w:hint="eastAsia" w:ascii="宋体" w:hAnsi="宋体" w:eastAsia="宋体" w:cs="宋体"/>
                <w:b/>
                <w:iCs/>
                <w:sz w:val="24"/>
                <w:szCs w:val="24"/>
                <w:lang w:val="en-US" w:eastAsia="zh-CN"/>
              </w:rPr>
            </w:pPr>
            <w:r>
              <w:rPr>
                <w:rFonts w:hint="eastAsia" w:ascii="宋体" w:hAnsi="宋体" w:cs="宋体"/>
                <w:b/>
                <w:iCs/>
                <w:sz w:val="24"/>
                <w:szCs w:val="24"/>
              </w:rPr>
              <w:t>问题八</w:t>
            </w:r>
            <w:r>
              <w:rPr>
                <w:rFonts w:hint="eastAsia" w:ascii="宋体" w:hAnsi="宋体" w:cs="宋体"/>
                <w:b/>
                <w:iCs/>
                <w:sz w:val="24"/>
                <w:szCs w:val="24"/>
                <w:lang w:eastAsia="zh-CN"/>
              </w:rPr>
              <w:t>：请问贵公司在稀土方面有什么发展规划吗？最近有没有大的突破？</w:t>
            </w:r>
          </w:p>
          <w:p w14:paraId="3C0684B5">
            <w:pPr>
              <w:adjustRightInd w:val="0"/>
              <w:snapToGrid w:val="0"/>
              <w:spacing w:line="360" w:lineRule="auto"/>
              <w:ind w:firstLine="480" w:firstLineChars="200"/>
              <w:rPr>
                <w:rFonts w:hint="eastAsia" w:ascii="宋体" w:hAnsi="宋体" w:cs="宋体"/>
                <w:bCs/>
                <w:iCs/>
                <w:sz w:val="24"/>
                <w:szCs w:val="24"/>
                <w:highlight w:val="yellow"/>
              </w:rPr>
            </w:pPr>
            <w:r>
              <w:rPr>
                <w:rFonts w:hint="eastAsia" w:ascii="宋体" w:hAnsi="宋体" w:cs="宋体"/>
                <w:bCs/>
                <w:iCs/>
                <w:sz w:val="24"/>
                <w:szCs w:val="24"/>
              </w:rPr>
              <w:t>答：公司始终关注不同应用领域的发展趋势，积极探索与主营业务协同的创新机遇。未来，公司将持续聚焦主业，深化技术创新与市场拓展，为市场和客户持续提供优质的产品与技术服务，努力提升经营业绩。</w:t>
            </w:r>
          </w:p>
          <w:p w14:paraId="0E771870">
            <w:pPr>
              <w:adjustRightInd w:val="0"/>
              <w:snapToGrid w:val="0"/>
              <w:spacing w:line="360" w:lineRule="auto"/>
              <w:ind w:firstLine="482" w:firstLineChars="200"/>
              <w:rPr>
                <w:rFonts w:hint="eastAsia" w:ascii="宋体" w:hAnsi="宋体" w:cs="宋体"/>
                <w:b/>
                <w:iCs/>
                <w:sz w:val="24"/>
                <w:szCs w:val="24"/>
              </w:rPr>
            </w:pPr>
            <w:r>
              <w:rPr>
                <w:rFonts w:hint="eastAsia" w:ascii="宋体" w:hAnsi="宋体" w:cs="宋体"/>
                <w:b/>
                <w:iCs/>
                <w:sz w:val="24"/>
                <w:szCs w:val="24"/>
              </w:rPr>
              <w:t>问题九：公司在成本控制方面采取了哪些措施？</w:t>
            </w:r>
          </w:p>
          <w:p w14:paraId="232361C9">
            <w:pPr>
              <w:adjustRightInd w:val="0"/>
              <w:snapToGrid w:val="0"/>
              <w:spacing w:line="360" w:lineRule="auto"/>
              <w:ind w:firstLine="480" w:firstLineChars="200"/>
              <w:rPr>
                <w:rFonts w:hint="eastAsia" w:ascii="宋体" w:hAnsi="宋体" w:eastAsia="宋体" w:cs="宋体"/>
                <w:b w:val="0"/>
                <w:bCs w:val="0"/>
                <w:iCs/>
                <w:sz w:val="24"/>
                <w:szCs w:val="32"/>
                <w:lang w:val="en-US" w:eastAsia="zh-CN"/>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公司主要采取以下措施进行成本管控：在供应链端，公司与主要供应商签订年度供货协议，锁定关键物料采购价格，有效对冲原材料价格波动风险。同时，通过集中采购、招标竞价模式，进一步提升议价能力；在生产端，推行“精益生产”管理模式，优化生产流程、精简冗余环节，减少物料损耗与生产等待时间，持续提升生产效率。未来，公司将持续深化成本管控，将其转化为持续的盈利能力。</w:t>
            </w:r>
          </w:p>
          <w:p w14:paraId="5CD30E0D">
            <w:pPr>
              <w:adjustRightInd w:val="0"/>
              <w:snapToGrid w:val="0"/>
              <w:spacing w:line="360" w:lineRule="auto"/>
              <w:ind w:firstLine="482" w:firstLineChars="200"/>
              <w:rPr>
                <w:rFonts w:hint="eastAsia" w:ascii="宋体" w:hAnsi="宋体" w:eastAsia="宋体" w:cs="宋体"/>
                <w:b/>
                <w:iCs/>
                <w:sz w:val="24"/>
                <w:szCs w:val="24"/>
                <w:lang w:eastAsia="zh-CN"/>
              </w:rPr>
            </w:pPr>
            <w:r>
              <w:rPr>
                <w:rFonts w:hint="eastAsia" w:ascii="宋体" w:hAnsi="宋体" w:cs="宋体"/>
                <w:b/>
                <w:iCs/>
                <w:sz w:val="24"/>
                <w:szCs w:val="24"/>
              </w:rPr>
              <w:t>问题</w:t>
            </w:r>
            <w:r>
              <w:rPr>
                <w:rFonts w:hint="eastAsia" w:ascii="宋体" w:hAnsi="宋体" w:cs="宋体"/>
                <w:b/>
                <w:iCs/>
                <w:sz w:val="24"/>
                <w:szCs w:val="24"/>
                <w:lang w:val="en-US" w:eastAsia="zh-CN"/>
              </w:rPr>
              <w:t>十</w:t>
            </w:r>
            <w:r>
              <w:rPr>
                <w:rFonts w:hint="eastAsia" w:ascii="宋体" w:hAnsi="宋体" w:cs="宋体"/>
                <w:b/>
                <w:iCs/>
                <w:sz w:val="24"/>
                <w:szCs w:val="24"/>
                <w:lang w:eastAsia="zh-CN"/>
              </w:rPr>
              <w:t>：公司的产能利用率是否饱满？相应的扩产计划能否满足未来的增长需求？</w:t>
            </w:r>
          </w:p>
          <w:p w14:paraId="7B77B2BA">
            <w:pPr>
              <w:adjustRightInd w:val="0"/>
              <w:snapToGrid w:val="0"/>
              <w:spacing w:line="360" w:lineRule="auto"/>
              <w:ind w:firstLine="480" w:firstLineChars="200"/>
              <w:rPr>
                <w:rFonts w:hint="eastAsia" w:ascii="宋体" w:hAnsi="宋体" w:eastAsia="宋体" w:cs="宋体"/>
                <w:b w:val="0"/>
                <w:bCs w:val="0"/>
                <w:iCs/>
                <w:sz w:val="24"/>
                <w:szCs w:val="32"/>
                <w:lang w:val="en-US" w:eastAsia="zh-CN"/>
              </w:rPr>
            </w:pPr>
            <w:r>
              <w:rPr>
                <w:rFonts w:hint="eastAsia" w:ascii="宋体" w:hAnsi="宋体" w:cs="宋体"/>
                <w:bCs/>
                <w:iCs/>
                <w:sz w:val="24"/>
                <w:szCs w:val="24"/>
              </w:rPr>
              <w:t>答：</w:t>
            </w:r>
            <w:r>
              <w:rPr>
                <w:rFonts w:hint="eastAsia" w:ascii="宋体" w:hAnsi="宋体" w:eastAsia="宋体" w:cs="宋体"/>
                <w:b w:val="0"/>
                <w:bCs w:val="0"/>
                <w:sz w:val="24"/>
                <w:szCs w:val="32"/>
                <w:lang w:val="en-US" w:eastAsia="zh-CN"/>
              </w:rPr>
              <w:t>公司目前的产能利用率处于高位。公司已启动新的产线建设，将通过精益生产和智能制造进一步提升交付能力，以满足未来的订单需求。</w:t>
            </w:r>
          </w:p>
          <w:p w14:paraId="179EA757">
            <w:pPr>
              <w:adjustRightInd w:val="0"/>
              <w:snapToGrid w:val="0"/>
              <w:spacing w:line="360" w:lineRule="auto"/>
              <w:ind w:firstLine="482" w:firstLineChars="200"/>
              <w:rPr>
                <w:rFonts w:hint="eastAsia" w:ascii="宋体" w:hAnsi="宋体" w:cs="宋体"/>
                <w:b/>
                <w:iCs/>
                <w:sz w:val="24"/>
                <w:szCs w:val="24"/>
                <w:highlight w:val="none"/>
                <w:lang w:eastAsia="zh-CN"/>
              </w:rPr>
            </w:pPr>
            <w:r>
              <w:rPr>
                <w:rFonts w:hint="eastAsia" w:ascii="宋体" w:hAnsi="宋体" w:cs="宋体"/>
                <w:b/>
                <w:iCs/>
                <w:sz w:val="24"/>
                <w:szCs w:val="24"/>
                <w:highlight w:val="none"/>
              </w:rPr>
              <w:t>问题</w:t>
            </w:r>
            <w:r>
              <w:rPr>
                <w:rFonts w:hint="eastAsia" w:ascii="宋体" w:hAnsi="宋体" w:cs="宋体"/>
                <w:b/>
                <w:iCs/>
                <w:sz w:val="24"/>
                <w:szCs w:val="24"/>
                <w:highlight w:val="none"/>
                <w:lang w:val="en-US" w:eastAsia="zh-CN"/>
              </w:rPr>
              <w:t>十一：</w:t>
            </w:r>
            <w:r>
              <w:rPr>
                <w:rFonts w:hint="eastAsia" w:ascii="宋体" w:hAnsi="宋体" w:cs="宋体"/>
                <w:b/>
                <w:iCs/>
                <w:sz w:val="24"/>
                <w:szCs w:val="24"/>
                <w:highlight w:val="none"/>
                <w:lang w:eastAsia="zh-CN"/>
              </w:rPr>
              <w:t>请问董事长个人有股份回购计划吗？</w:t>
            </w:r>
          </w:p>
          <w:p w14:paraId="2F66E85C">
            <w:pPr>
              <w:adjustRightInd w:val="0"/>
              <w:snapToGrid w:val="0"/>
              <w:spacing w:line="36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答：公司管理层坚定看好公司未来发展，会始终秉持稳健经营的理念，聚焦主营业务发展，不断提升公司核心竞争力和内在价值。若未来涉及相关计划，公司将严格按照有关法律法规的要求及时履行信息披露义务。</w:t>
            </w:r>
          </w:p>
          <w:p w14:paraId="4F10419E">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highlight w:val="none"/>
                <w:lang w:val="en-US" w:eastAsia="zh-CN"/>
              </w:rPr>
              <w:t>问题十二：</w:t>
            </w:r>
            <w:r>
              <w:rPr>
                <w:rFonts w:hint="eastAsia" w:ascii="宋体" w:hAnsi="宋体" w:cs="宋体"/>
                <w:b/>
                <w:iCs/>
                <w:sz w:val="24"/>
                <w:szCs w:val="24"/>
                <w:lang w:val="en-US" w:eastAsia="zh-CN"/>
              </w:rPr>
              <w:t>针对目前公司的市值，有什么提升和管理计划？</w:t>
            </w:r>
          </w:p>
          <w:p w14:paraId="1D1F55CB">
            <w:pPr>
              <w:adjustRightInd w:val="0"/>
              <w:snapToGrid w:val="0"/>
              <w:spacing w:line="360" w:lineRule="auto"/>
              <w:ind w:firstLine="480" w:firstLineChars="200"/>
              <w:rPr>
                <w:rFonts w:hint="eastAsia" w:ascii="宋体" w:hAnsi="宋体" w:eastAsia="宋体" w:cs="宋体"/>
                <w:b w:val="0"/>
                <w:bCs w:val="0"/>
                <w:iCs/>
                <w:sz w:val="24"/>
                <w:szCs w:val="32"/>
                <w:lang w:val="en-US" w:eastAsia="zh-CN"/>
              </w:rPr>
            </w:pPr>
            <w:r>
              <w:rPr>
                <w:rFonts w:hint="eastAsia" w:ascii="宋体" w:hAnsi="宋体" w:eastAsia="宋体" w:cs="宋体"/>
                <w:b w:val="0"/>
                <w:bCs w:val="0"/>
                <w:sz w:val="24"/>
                <w:szCs w:val="32"/>
                <w:lang w:val="en-US" w:eastAsia="zh-CN"/>
              </w:rPr>
              <w:t>答：市值管理是一项长期工作，公司按照监管规则制定了《市值管理制度》并严格执行。未来公司将坚持高质量发展，围绕战略目标不断提升核心竞争力，培育新的业务增长点，实现业绩稳定、可持续增长；坚持高质量信息披露，多渠道、多方式加强与投资者的互动交流，提升公司透明度和市场认可度，使投资者充分理解公司的发展战略和投资价值；坚持合规运营，对股东负责、对广大投资者负责，保障投资者的权益。</w:t>
            </w:r>
          </w:p>
          <w:p w14:paraId="4264AD40">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highlight w:val="none"/>
                <w:lang w:val="en-US" w:eastAsia="zh-CN"/>
              </w:rPr>
              <w:t>问题十三：</w:t>
            </w:r>
            <w:r>
              <w:rPr>
                <w:rFonts w:hint="eastAsia" w:ascii="宋体" w:hAnsi="宋体" w:cs="宋体"/>
                <w:b/>
                <w:iCs/>
                <w:sz w:val="24"/>
                <w:szCs w:val="24"/>
                <w:lang w:val="en-US" w:eastAsia="zh-CN"/>
              </w:rPr>
              <w:t>公司是否有回购计划？</w:t>
            </w:r>
          </w:p>
          <w:p w14:paraId="10396F86">
            <w:pPr>
              <w:adjustRightInd w:val="0"/>
              <w:snapToGrid w:val="0"/>
              <w:spacing w:line="360" w:lineRule="auto"/>
              <w:ind w:firstLine="480" w:firstLineChars="200"/>
              <w:rPr>
                <w:rFonts w:hint="eastAsia" w:ascii="宋体" w:hAnsi="宋体" w:cs="宋体"/>
                <w:b w:val="0"/>
                <w:bCs/>
                <w:iCs/>
                <w:sz w:val="24"/>
                <w:szCs w:val="24"/>
                <w:lang w:val="en-US" w:eastAsia="zh-CN"/>
              </w:rPr>
            </w:pPr>
            <w:r>
              <w:rPr>
                <w:rFonts w:hint="eastAsia" w:ascii="宋体" w:hAnsi="宋体" w:cs="宋体"/>
                <w:bCs/>
                <w:iCs/>
                <w:sz w:val="24"/>
                <w:szCs w:val="24"/>
              </w:rPr>
              <w:t>答：</w:t>
            </w:r>
            <w:r>
              <w:rPr>
                <w:rFonts w:hint="eastAsia" w:ascii="宋体" w:hAnsi="宋体" w:cs="宋体"/>
                <w:b w:val="0"/>
                <w:bCs/>
                <w:iCs/>
                <w:sz w:val="24"/>
                <w:szCs w:val="24"/>
                <w:lang w:val="en-US" w:eastAsia="zh-CN"/>
              </w:rPr>
              <w:t>公司会根据市场形势、经营情况及资金安排等多方面因素进行综合评估和判断，如有相关计划，公司将严格按照监管要求，履行审议程序并及时披露。</w:t>
            </w:r>
          </w:p>
          <w:p w14:paraId="40C817EB">
            <w:pPr>
              <w:adjustRightInd w:val="0"/>
              <w:snapToGrid w:val="0"/>
              <w:spacing w:line="360" w:lineRule="auto"/>
              <w:ind w:firstLine="482" w:firstLineChars="200"/>
              <w:rPr>
                <w:rFonts w:hint="eastAsia" w:ascii="宋体" w:hAnsi="宋体" w:cs="宋体"/>
                <w:b/>
                <w:iCs/>
                <w:sz w:val="24"/>
                <w:szCs w:val="24"/>
                <w:lang w:val="en-US" w:eastAsia="zh-CN"/>
              </w:rPr>
            </w:pPr>
            <w:r>
              <w:rPr>
                <w:rFonts w:hint="eastAsia" w:ascii="宋体" w:hAnsi="宋体" w:cs="宋体"/>
                <w:b/>
                <w:iCs/>
                <w:sz w:val="24"/>
                <w:szCs w:val="24"/>
                <w:highlight w:val="none"/>
                <w:lang w:val="en-US" w:eastAsia="zh-CN"/>
              </w:rPr>
              <w:t>问题十四：</w:t>
            </w:r>
            <w:r>
              <w:rPr>
                <w:rFonts w:hint="eastAsia" w:ascii="宋体" w:hAnsi="宋体" w:cs="宋体"/>
                <w:b/>
                <w:iCs/>
                <w:sz w:val="24"/>
                <w:szCs w:val="24"/>
                <w:lang w:val="en-US" w:eastAsia="zh-CN"/>
              </w:rPr>
              <w:t>公司是否考虑进行员工激励计划？</w:t>
            </w:r>
          </w:p>
          <w:p w14:paraId="204432FC">
            <w:pPr>
              <w:adjustRightInd w:val="0"/>
              <w:snapToGrid w:val="0"/>
              <w:spacing w:line="360" w:lineRule="auto"/>
              <w:ind w:firstLine="480" w:firstLineChars="200"/>
              <w:rPr>
                <w:rFonts w:hint="eastAsia" w:ascii="宋体" w:hAnsi="宋体" w:cs="宋体"/>
                <w:b/>
                <w:bCs/>
                <w:iCs/>
                <w:sz w:val="24"/>
                <w:szCs w:val="24"/>
                <w:lang w:val="en-US" w:eastAsia="zh-CN"/>
              </w:rPr>
            </w:pPr>
            <w:r>
              <w:rPr>
                <w:rFonts w:hint="eastAsia" w:ascii="宋体" w:hAnsi="宋体" w:cs="宋体"/>
                <w:bCs/>
                <w:iCs/>
                <w:sz w:val="24"/>
                <w:szCs w:val="24"/>
              </w:rPr>
              <w:t>答：公司将根据经营状况、财务状况，结合公司未来发展战略规划综合考虑并审慎决策，若有相关计划，公司将及时履行信息披露义务。</w:t>
            </w:r>
          </w:p>
          <w:p w14:paraId="0B624207">
            <w:pPr>
              <w:adjustRightInd w:val="0"/>
              <w:snapToGrid w:val="0"/>
              <w:spacing w:line="360" w:lineRule="auto"/>
              <w:ind w:firstLine="482" w:firstLineChars="200"/>
              <w:rPr>
                <w:rFonts w:hint="eastAsia" w:ascii="宋体" w:hAnsi="宋体" w:cs="宋体"/>
                <w:b/>
                <w:bCs w:val="0"/>
                <w:iCs/>
                <w:sz w:val="24"/>
                <w:szCs w:val="24"/>
                <w:lang w:val="en-US" w:eastAsia="zh-CN"/>
              </w:rPr>
            </w:pPr>
            <w:r>
              <w:rPr>
                <w:rFonts w:hint="eastAsia" w:ascii="宋体" w:hAnsi="宋体" w:cs="宋体"/>
                <w:b/>
                <w:bCs w:val="0"/>
                <w:iCs/>
                <w:sz w:val="24"/>
                <w:szCs w:val="24"/>
                <w:highlight w:val="none"/>
                <w:lang w:val="en-US" w:eastAsia="zh-CN"/>
              </w:rPr>
              <w:t>问题十五：</w:t>
            </w:r>
            <w:r>
              <w:rPr>
                <w:rFonts w:hint="eastAsia" w:ascii="宋体" w:hAnsi="宋体" w:cs="宋体"/>
                <w:b/>
                <w:bCs w:val="0"/>
                <w:iCs/>
                <w:sz w:val="24"/>
                <w:szCs w:val="24"/>
                <w:lang w:val="en-US" w:eastAsia="zh-CN"/>
              </w:rPr>
              <w:t>公司未来是否会有投资收并购的计划？</w:t>
            </w:r>
          </w:p>
          <w:p w14:paraId="06BDFAA3">
            <w:pPr>
              <w:adjustRightInd w:val="0"/>
              <w:snapToGrid w:val="0"/>
              <w:spacing w:line="360" w:lineRule="auto"/>
              <w:ind w:firstLine="480" w:firstLineChars="200"/>
              <w:rPr>
                <w:rFonts w:hint="eastAsia" w:ascii="宋体" w:hAnsi="宋体" w:cs="宋体"/>
                <w:bCs/>
                <w:iCs/>
                <w:sz w:val="24"/>
                <w:szCs w:val="24"/>
                <w:lang w:val="en-US" w:eastAsia="zh-CN"/>
              </w:rPr>
            </w:pPr>
            <w:r>
              <w:rPr>
                <w:rFonts w:hint="eastAsia" w:ascii="宋体" w:hAnsi="宋体" w:cs="宋体"/>
                <w:b w:val="0"/>
                <w:bCs/>
                <w:iCs/>
                <w:sz w:val="24"/>
                <w:szCs w:val="24"/>
                <w:lang w:val="en-US" w:eastAsia="zh-CN"/>
              </w:rPr>
              <w:t>答：公司将聚焦主业深耕，同时持续关注产业链内优质合作机会，若有相关计划将严格按照信息披露规则及时履行信披义务。</w:t>
            </w:r>
          </w:p>
        </w:tc>
      </w:tr>
      <w:tr w14:paraId="04CD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89" w:type="dxa"/>
            <w:shd w:val="clear" w:color="auto" w:fill="auto"/>
            <w:vAlign w:val="center"/>
          </w:tcPr>
          <w:p w14:paraId="5E7E9B30">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风险提示及说明</w:t>
            </w:r>
          </w:p>
        </w:tc>
        <w:tc>
          <w:tcPr>
            <w:tcW w:w="7543" w:type="dxa"/>
            <w:shd w:val="clear" w:color="auto" w:fill="auto"/>
            <w:vAlign w:val="center"/>
          </w:tcPr>
          <w:p w14:paraId="5F9382E5">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以上如涉及对行业的预测、公司发展规划等相关内容，不代表公司或公司管理层对行业、公司发展或业绩的盈利预测和承诺，不构成公司对投资者的实质性承诺，敬请广大投资者注意投资风险。</w:t>
            </w:r>
          </w:p>
          <w:p w14:paraId="6E673CE7">
            <w:pPr>
              <w:adjustRightInd w:val="0"/>
              <w:snapToGrid w:val="0"/>
              <w:spacing w:line="360" w:lineRule="auto"/>
              <w:ind w:firstLine="480" w:firstLineChars="200"/>
              <w:rPr>
                <w:rFonts w:hint="eastAsia" w:ascii="宋体" w:hAnsi="宋体" w:cs="宋体"/>
                <w:bCs/>
                <w:iCs/>
                <w:sz w:val="24"/>
                <w:szCs w:val="24"/>
              </w:rPr>
            </w:pPr>
            <w:r>
              <w:rPr>
                <w:rFonts w:hint="eastAsia" w:ascii="宋体" w:hAnsi="宋体" w:cs="宋体"/>
                <w:bCs/>
                <w:iCs/>
                <w:sz w:val="24"/>
                <w:szCs w:val="24"/>
              </w:rPr>
              <w:t>投资者接待活动过程中，公司接待人员积极回复投资者提出的问题，回复的内容符合公司《信息披露事务管理制度》等制度的规定，回复的信息真实、准确，本次活动不存在应当披露的重大信息。</w:t>
            </w:r>
          </w:p>
        </w:tc>
      </w:tr>
      <w:tr w14:paraId="6EF5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89" w:type="dxa"/>
            <w:shd w:val="clear" w:color="auto" w:fill="auto"/>
            <w:vAlign w:val="center"/>
          </w:tcPr>
          <w:p w14:paraId="3A02919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附件清单</w:t>
            </w:r>
          </w:p>
        </w:tc>
        <w:tc>
          <w:tcPr>
            <w:tcW w:w="7543" w:type="dxa"/>
            <w:shd w:val="clear" w:color="auto" w:fill="auto"/>
            <w:vAlign w:val="center"/>
          </w:tcPr>
          <w:p w14:paraId="0F98AB6C">
            <w:pPr>
              <w:adjustRightInd w:val="0"/>
              <w:snapToGrid w:val="0"/>
              <w:rPr>
                <w:rFonts w:hint="eastAsia" w:ascii="宋体" w:hAnsi="宋体" w:cs="宋体"/>
                <w:bCs/>
                <w:iCs/>
                <w:sz w:val="24"/>
                <w:szCs w:val="24"/>
              </w:rPr>
            </w:pPr>
            <w:r>
              <w:rPr>
                <w:rFonts w:hint="eastAsia" w:ascii="宋体" w:hAnsi="宋体" w:cs="宋体"/>
                <w:bCs/>
                <w:iCs/>
                <w:sz w:val="24"/>
                <w:szCs w:val="24"/>
              </w:rPr>
              <w:t>无</w:t>
            </w:r>
          </w:p>
        </w:tc>
      </w:tr>
      <w:tr w14:paraId="174F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89" w:type="dxa"/>
            <w:shd w:val="clear" w:color="auto" w:fill="auto"/>
            <w:vAlign w:val="center"/>
          </w:tcPr>
          <w:p w14:paraId="48F34D6B">
            <w:pPr>
              <w:adjustRightInd w:val="0"/>
              <w:snapToGrid w:val="0"/>
              <w:jc w:val="center"/>
              <w:rPr>
                <w:rFonts w:hint="eastAsia" w:ascii="宋体" w:hAnsi="宋体" w:cs="宋体"/>
                <w:b/>
                <w:bCs/>
                <w:iCs/>
                <w:sz w:val="24"/>
                <w:szCs w:val="24"/>
              </w:rPr>
            </w:pPr>
            <w:r>
              <w:rPr>
                <w:rFonts w:hint="eastAsia" w:ascii="宋体" w:hAnsi="宋体" w:cs="宋体"/>
                <w:b/>
                <w:bCs/>
                <w:iCs/>
                <w:sz w:val="24"/>
                <w:szCs w:val="24"/>
              </w:rPr>
              <w:t>日期</w:t>
            </w:r>
          </w:p>
        </w:tc>
        <w:tc>
          <w:tcPr>
            <w:tcW w:w="7543" w:type="dxa"/>
            <w:shd w:val="clear" w:color="auto" w:fill="auto"/>
            <w:vAlign w:val="center"/>
          </w:tcPr>
          <w:p w14:paraId="38EDD69E">
            <w:pPr>
              <w:adjustRightInd w:val="0"/>
              <w:snapToGrid w:val="0"/>
              <w:rPr>
                <w:rFonts w:hint="eastAsia" w:ascii="宋体" w:hAnsi="宋体" w:cs="宋体"/>
                <w:bCs/>
                <w:iCs/>
                <w:sz w:val="24"/>
                <w:szCs w:val="24"/>
              </w:rPr>
            </w:pPr>
            <w:r>
              <w:rPr>
                <w:rFonts w:hint="eastAsia" w:ascii="宋体" w:hAnsi="宋体" w:cs="宋体"/>
                <w:bCs/>
                <w:iCs/>
                <w:sz w:val="24"/>
                <w:szCs w:val="24"/>
              </w:rPr>
              <w:t>2025年</w:t>
            </w:r>
            <w:r>
              <w:rPr>
                <w:rFonts w:hint="eastAsia" w:ascii="宋体" w:hAnsi="宋体" w:cs="宋体"/>
                <w:bCs/>
                <w:iCs/>
                <w:sz w:val="24"/>
                <w:szCs w:val="24"/>
                <w:lang w:val="en-US" w:eastAsia="zh-CN"/>
              </w:rPr>
              <w:t>11</w:t>
            </w:r>
            <w:r>
              <w:rPr>
                <w:rFonts w:hint="eastAsia" w:ascii="宋体" w:hAnsi="宋体" w:cs="宋体"/>
                <w:bCs/>
                <w:iCs/>
                <w:sz w:val="24"/>
                <w:szCs w:val="24"/>
              </w:rPr>
              <w:t>月</w:t>
            </w:r>
            <w:r>
              <w:rPr>
                <w:rFonts w:hint="eastAsia" w:ascii="宋体" w:hAnsi="宋体" w:cs="宋体"/>
                <w:bCs/>
                <w:iCs/>
                <w:sz w:val="24"/>
                <w:szCs w:val="24"/>
                <w:lang w:val="en-US" w:eastAsia="zh-CN"/>
              </w:rPr>
              <w:t>26</w:t>
            </w:r>
            <w:r>
              <w:rPr>
                <w:rFonts w:hint="eastAsia" w:ascii="宋体" w:hAnsi="宋体" w:cs="宋体"/>
                <w:bCs/>
                <w:iCs/>
                <w:sz w:val="24"/>
                <w:szCs w:val="24"/>
              </w:rPr>
              <w:t>日</w:t>
            </w:r>
          </w:p>
        </w:tc>
      </w:tr>
    </w:tbl>
    <w:p w14:paraId="0535685F">
      <w:pPr>
        <w:rPr>
          <w:rFonts w:eastAsia="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6C"/>
    <w:rsid w:val="00135B91"/>
    <w:rsid w:val="00154F49"/>
    <w:rsid w:val="001D4ADB"/>
    <w:rsid w:val="002671AA"/>
    <w:rsid w:val="002760B1"/>
    <w:rsid w:val="002834E3"/>
    <w:rsid w:val="002C04D3"/>
    <w:rsid w:val="0031219B"/>
    <w:rsid w:val="00402F61"/>
    <w:rsid w:val="004B03CA"/>
    <w:rsid w:val="004E2DD3"/>
    <w:rsid w:val="005077FE"/>
    <w:rsid w:val="005B2678"/>
    <w:rsid w:val="006366B3"/>
    <w:rsid w:val="006B0E6C"/>
    <w:rsid w:val="00775ABC"/>
    <w:rsid w:val="00784682"/>
    <w:rsid w:val="00821195"/>
    <w:rsid w:val="008920C5"/>
    <w:rsid w:val="00964CFE"/>
    <w:rsid w:val="00A11D06"/>
    <w:rsid w:val="00A226D7"/>
    <w:rsid w:val="00AD3ED7"/>
    <w:rsid w:val="00B540CC"/>
    <w:rsid w:val="00B56411"/>
    <w:rsid w:val="00BB001F"/>
    <w:rsid w:val="00C23194"/>
    <w:rsid w:val="00C42A9B"/>
    <w:rsid w:val="00D05463"/>
    <w:rsid w:val="00E2678F"/>
    <w:rsid w:val="00E30EDD"/>
    <w:rsid w:val="00E60C15"/>
    <w:rsid w:val="00EB0E84"/>
    <w:rsid w:val="00F14FD6"/>
    <w:rsid w:val="00FC3A9D"/>
    <w:rsid w:val="00FF0C19"/>
    <w:rsid w:val="01866730"/>
    <w:rsid w:val="040A4AA1"/>
    <w:rsid w:val="09FA4720"/>
    <w:rsid w:val="0A1F3950"/>
    <w:rsid w:val="0A9D62B8"/>
    <w:rsid w:val="0AD24810"/>
    <w:rsid w:val="0BC84BF1"/>
    <w:rsid w:val="0E042496"/>
    <w:rsid w:val="10710B95"/>
    <w:rsid w:val="11A933AE"/>
    <w:rsid w:val="11E94524"/>
    <w:rsid w:val="14E559E3"/>
    <w:rsid w:val="15FB6E11"/>
    <w:rsid w:val="167A2D87"/>
    <w:rsid w:val="16D626D4"/>
    <w:rsid w:val="17E51656"/>
    <w:rsid w:val="18616F2E"/>
    <w:rsid w:val="18764630"/>
    <w:rsid w:val="1D220C11"/>
    <w:rsid w:val="1D510BB8"/>
    <w:rsid w:val="1FF0486C"/>
    <w:rsid w:val="1FFE6DBB"/>
    <w:rsid w:val="22926A2A"/>
    <w:rsid w:val="22F3177B"/>
    <w:rsid w:val="23111551"/>
    <w:rsid w:val="23132EE4"/>
    <w:rsid w:val="236F03AA"/>
    <w:rsid w:val="23DE3A3B"/>
    <w:rsid w:val="24A41B3F"/>
    <w:rsid w:val="24E44142"/>
    <w:rsid w:val="257612AA"/>
    <w:rsid w:val="268F1E69"/>
    <w:rsid w:val="26FD77BD"/>
    <w:rsid w:val="29A16615"/>
    <w:rsid w:val="29AB4DDF"/>
    <w:rsid w:val="2C7E555C"/>
    <w:rsid w:val="2D5F77AF"/>
    <w:rsid w:val="2F7C3525"/>
    <w:rsid w:val="2F954E96"/>
    <w:rsid w:val="2FEB200B"/>
    <w:rsid w:val="31707E0F"/>
    <w:rsid w:val="31F6203D"/>
    <w:rsid w:val="33BC1355"/>
    <w:rsid w:val="35E90DEE"/>
    <w:rsid w:val="362C74C4"/>
    <w:rsid w:val="38331E91"/>
    <w:rsid w:val="39282324"/>
    <w:rsid w:val="3B5D05E1"/>
    <w:rsid w:val="3CA61A67"/>
    <w:rsid w:val="3F3302F4"/>
    <w:rsid w:val="40C96B6F"/>
    <w:rsid w:val="41C5543F"/>
    <w:rsid w:val="43C55D14"/>
    <w:rsid w:val="455016D6"/>
    <w:rsid w:val="45DE0D66"/>
    <w:rsid w:val="466F5577"/>
    <w:rsid w:val="47D227AD"/>
    <w:rsid w:val="4BA12011"/>
    <w:rsid w:val="4BDC3BFA"/>
    <w:rsid w:val="4C5F3E9D"/>
    <w:rsid w:val="4C670088"/>
    <w:rsid w:val="4D0D79B2"/>
    <w:rsid w:val="4DFA61AA"/>
    <w:rsid w:val="510E0CFA"/>
    <w:rsid w:val="52297EF2"/>
    <w:rsid w:val="52DC6E15"/>
    <w:rsid w:val="52F05F79"/>
    <w:rsid w:val="550F3292"/>
    <w:rsid w:val="5568182A"/>
    <w:rsid w:val="56215E4F"/>
    <w:rsid w:val="57183488"/>
    <w:rsid w:val="57C31664"/>
    <w:rsid w:val="57D268FD"/>
    <w:rsid w:val="5954043B"/>
    <w:rsid w:val="5C3D69EF"/>
    <w:rsid w:val="5DB47C4D"/>
    <w:rsid w:val="5DDF6040"/>
    <w:rsid w:val="5F3B6E50"/>
    <w:rsid w:val="5F780201"/>
    <w:rsid w:val="60126868"/>
    <w:rsid w:val="6119480C"/>
    <w:rsid w:val="62032538"/>
    <w:rsid w:val="630930CF"/>
    <w:rsid w:val="642509F0"/>
    <w:rsid w:val="64C51278"/>
    <w:rsid w:val="65133287"/>
    <w:rsid w:val="66F145A6"/>
    <w:rsid w:val="684419F9"/>
    <w:rsid w:val="68AB69D7"/>
    <w:rsid w:val="68CA079F"/>
    <w:rsid w:val="698711F2"/>
    <w:rsid w:val="6ACF6001"/>
    <w:rsid w:val="6B383D1A"/>
    <w:rsid w:val="6C792876"/>
    <w:rsid w:val="6CC85FB5"/>
    <w:rsid w:val="6CD105BD"/>
    <w:rsid w:val="6EDA5EEB"/>
    <w:rsid w:val="6F7D5105"/>
    <w:rsid w:val="701666EE"/>
    <w:rsid w:val="702B30AF"/>
    <w:rsid w:val="722200EE"/>
    <w:rsid w:val="73EA0B49"/>
    <w:rsid w:val="75975B9D"/>
    <w:rsid w:val="761B345F"/>
    <w:rsid w:val="76206667"/>
    <w:rsid w:val="7A587133"/>
    <w:rsid w:val="7BA46CD9"/>
    <w:rsid w:val="7CAD3082"/>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字符"/>
    <w:basedOn w:val="8"/>
    <w:link w:val="2"/>
    <w:qFormat/>
    <w:uiPriority w:val="9"/>
    <w:rPr>
      <w:rFonts w:asciiTheme="majorHAnsi" w:hAnsiTheme="majorHAnsi" w:eastAsiaTheme="majorEastAsia" w:cstheme="majorBidi"/>
      <w:b/>
      <w:bCs/>
      <w:sz w:val="32"/>
      <w:szCs w:val="32"/>
    </w:rPr>
  </w:style>
  <w:style w:type="character" w:customStyle="1" w:styleId="10">
    <w:name w:val="批注框文本 字符"/>
    <w:basedOn w:val="8"/>
    <w:link w:val="4"/>
    <w:semiHidden/>
    <w:qFormat/>
    <w:uiPriority w:val="99"/>
    <w:rPr>
      <w:rFonts w:ascii="Times New Roman" w:hAnsi="Times New Roman" w:eastAsia="宋体" w:cs="Times New Roman"/>
      <w:sz w:val="18"/>
      <w:szCs w:val="18"/>
    </w:rPr>
  </w:style>
  <w:style w:type="character" w:customStyle="1" w:styleId="11">
    <w:name w:val="页眉 字符"/>
    <w:basedOn w:val="8"/>
    <w:link w:val="6"/>
    <w:qFormat/>
    <w:uiPriority w:val="99"/>
    <w:rPr>
      <w:rFonts w:ascii="Times New Roman" w:hAnsi="Times New Roman" w:eastAsia="宋体" w:cs="Times New Roman"/>
      <w:sz w:val="18"/>
      <w:szCs w:val="18"/>
    </w:rPr>
  </w:style>
  <w:style w:type="character" w:customStyle="1" w:styleId="12">
    <w:name w:val="页脚 字符"/>
    <w:basedOn w:val="8"/>
    <w:link w:val="5"/>
    <w:qFormat/>
    <w:uiPriority w:val="99"/>
    <w:rPr>
      <w:rFonts w:ascii="Times New Roman" w:hAnsi="Times New Roman" w:eastAsia="宋体" w:cs="Times New Roman"/>
      <w:sz w:val="18"/>
      <w:szCs w:val="18"/>
    </w:rPr>
  </w:style>
  <w:style w:type="paragraph" w:customStyle="1" w:styleId="1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fce7453f-b459-4fd9-af3e-bbab376c52bf</errorID>
      <errorWord>/）</errorWord>
      <group>L1_Punc</group>
      <groupName>标点问题</groupName>
      <ability>L2_Punc</ability>
      <abilityName>标点符号检查</abilityName>
      <candidateList>
        <item>）</item>
      </candidateList>
      <explain/>
      <paraID>47E7573E</paraID>
      <start>44</start>
      <end>46</end>
      <status>unmodified</status>
      <modifiedWord/>
      <trackRevisions>false</trackRevisions>
    </reviewItem>
    <reviewItem>
      <errorID>75ec2d8f-7736-4e98-a079-2e3e975718c3</errorID>
      <errorWord>-</errorWord>
      <group>L1_Format</group>
      <groupName>格式问题</groupName>
      <ability>L2_HalfPunc</ability>
      <abilityName>全半角检查</abilityName>
      <candidateList>
        <item>－</item>
      </candidateList>
      <explain>文本全半角错误。</explain>
      <paraID>5453903E</paraID>
      <start>33</start>
      <end>34</end>
      <status>unmodified</status>
      <modifiedWord/>
      <trackRevisions>false</trackRevisions>
    </reviewItem>
    <reviewItem>
      <errorID>462299eb-c529-450c-8fff-13fe0ccdfed2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10C87A98</paraID>
      <start>57</start>
      <end>59</end>
      <status>unmodified</status>
      <modifiedWord/>
      <trackRevisions>false</trackRevisions>
    </reviewItem>
    <reviewItem>
      <errorID>a8cbb570-f203-456b-bd3e-e8093cb3e5ab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10C87A98</paraID>
      <start>143</start>
      <end>144</end>
      <status>unmodified</status>
      <modifiedWord/>
      <trackRevisions>false</trackRevisions>
    </reviewItem>
    <reviewItem>
      <errorID>28551a9e-67aa-4836-b3d5-d9d96f86b821</errorID>
      <errorWord>?</errorWord>
      <group>L1_Format</group>
      <groupName>格式问题</groupName>
      <ability>L2_HalfPunc</ability>
      <abilityName>全半角检查</abilityName>
      <candidateList>
        <item>？</item>
      </candidateList>
      <explain>文本全半角错误。</explain>
      <paraID>25EEEA53</paraID>
      <start>119</start>
      <end>120</end>
      <status>modified</status>
      <modifiedWord>？</modifiedWord>
      <trackRevisions>false</trackRevisions>
    </reviewItem>
    <reviewItem>
      <errorID>232e0aca-7e12-426f-b667-27102ce3d2d0</errorID>
      <errorWord>保</errorWord>
      <group>L1_Word</group>
      <groupName>字词问题</groupName>
      <ability>L2_Typo</ability>
      <abilityName>字词错误</abilityName>
      <candidateList>
        <item>保持</item>
      </candidateList>
      <explain/>
      <paraID>7450FFD7</paraID>
      <start>59</start>
      <end>61</end>
      <status>modified</status>
      <modifiedWord>保持</modifiedWord>
      <trackRevisions>false</trackRevisions>
    </reviewItem>
  </reviewItems>
  <config/>
</contractReview>
</file>

<file path=customXml/itemProps1.xml><?xml version="1.0" encoding="utf-8"?>
<ds:datastoreItem xmlns:ds="http://schemas.openxmlformats.org/officeDocument/2006/customXml" ds:itemID="{637a7b43-5b4b-476d-9989-07012866757c}">
  <ds:schemaRefs/>
</ds:datastoreItem>
</file>

<file path=docProps/app.xml><?xml version="1.0" encoding="utf-8"?>
<Properties xmlns="http://schemas.openxmlformats.org/officeDocument/2006/extended-properties" xmlns:vt="http://schemas.openxmlformats.org/officeDocument/2006/docPropsVTypes">
  <Template>Normal</Template>
  <Pages>5</Pages>
  <Words>2996</Words>
  <Characters>3133</Characters>
  <Lines>23</Lines>
  <Paragraphs>6</Paragraphs>
  <TotalTime>37</TotalTime>
  <ScaleCrop>false</ScaleCrop>
  <LinksUpToDate>false</LinksUpToDate>
  <CharactersWithSpaces>3272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2025-06-18T08:59:00Z</dcterms:created>
  <dc:creator>张园园</dc:creator>
  <cp:lastModifiedBy>xyx</cp:lastModifiedBy>
  <dcterms:modified xsi:type="dcterms:W3CDTF">2025-11-25T07:56:47Z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9C5EAE9B68BE49EDB840F7714D2F10F3_13</vt:lpwstr>
  </property>
  <property fmtid="{D5CDD505-2E9C-101B-9397-08002B2CF9AE}" pid="4" name="KSOTemplateDocerSaveRecord">
    <vt:lpwstr>eyJoZGlkIjoiOTc5NWJmZjJlNzIxY2JiZTEyNTA1ZWJkNWJhMjM2YzEiLCJ1c2VySWQiOiI2MzA4OTU5NTEifQ==</vt:lpwstr>
  </property>
</Properties>
</file>