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FAB9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证券代码：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688063</w:t>
      </w:r>
      <w:r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证券简称：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派能科技</w:t>
      </w:r>
    </w:p>
    <w:p w14:paraId="64F358C2">
      <w:pPr>
        <w:spacing w:before="156" w:beforeLines="50" w:after="156" w:afterLines="50" w:line="400" w:lineRule="exact"/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上海派能能源科技股份有限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 w14:paraId="66A0E43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投资者关系活动记录表</w:t>
      </w:r>
    </w:p>
    <w:p w14:paraId="4560E93A">
      <w:pPr>
        <w:spacing w:line="400" w:lineRule="exact"/>
        <w:rPr>
          <w:rFonts w:hint="eastAsia" w:ascii="宋体" w:hAnsi="宋体" w:eastAsia="宋体"/>
          <w:bCs/>
          <w:i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Cs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编号：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588"/>
      </w:tblGrid>
      <w:tr w14:paraId="38C2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395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A8FC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特定对象调研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698A7475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媒体采访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7FA28D16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新闻发布会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1A0B6F7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现场参观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电话通讯</w:t>
            </w:r>
          </w:p>
          <w:p w14:paraId="43C0066A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C9C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74AB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81B6">
            <w:pPr>
              <w:spacing w:line="276" w:lineRule="auto"/>
              <w:rPr>
                <w:rFonts w:hint="default" w:ascii="宋体" w:hAnsi="宋体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Clearbridge Investment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（Colin Dishington）</w:t>
            </w:r>
          </w:p>
        </w:tc>
      </w:tr>
      <w:tr w14:paraId="0427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4050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44D6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2025年11月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0F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A238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78F">
            <w:pPr>
              <w:spacing w:line="276" w:lineRule="auto"/>
              <w:rPr>
                <w:rFonts w:hint="default" w:ascii="宋体" w:hAnsi="宋体" w:eastAsia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现场调研</w:t>
            </w:r>
          </w:p>
        </w:tc>
      </w:tr>
      <w:tr w14:paraId="1ACC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7D60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上市公司接待人员姓名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4D9F">
            <w:pPr>
              <w:spacing w:line="276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证券事务代表：沈玲玉</w:t>
            </w:r>
          </w:p>
          <w:p w14:paraId="417C3148">
            <w:pPr>
              <w:spacing w:line="276" w:lineRule="auto"/>
              <w:rPr>
                <w:rFonts w:hint="default" w:ascii="宋体" w:hAnsi="宋体" w:eastAsia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证券事务主管：蒋菲桐</w:t>
            </w:r>
          </w:p>
        </w:tc>
      </w:tr>
      <w:tr w14:paraId="3ED3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8671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投资者关系活动主要内容介绍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139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派能在供应链中处于何种定位？是采取集成整合模式还是专注于细分业务服务？上下游如何协同，主要客户群体是哪些？</w:t>
            </w:r>
          </w:p>
          <w:p w14:paraId="71313FC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公司是行业领先的储能系统提供商，专注于磷酸铁锂电芯、模组、电池管理系统、储能系统集成的研发生产和销售。公司产品可广泛应用于电力系统的发、输、配、用等环节以及通信基站、车载储能、移动储能、轻型动力等场景。</w:t>
            </w:r>
          </w:p>
          <w:p w14:paraId="2CE3C22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  公司专注锂电池储能应用超过十年，公司产品具有安全可靠性高、循环寿命长以及模块化、智能化等技术优势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公司垂直整合产业链，是国内少数同时具备电芯、模组、电池管理系统、能量管理系统等储能核心部件自主研发和制造能力的企业之一。同时，公司还具备储能系统集成解决方案的设计能力，支持为家庭、工商业、电网、通信基站和数据中心等各类场景打造一站式储能解决方案，使储能系统的整体性能达到最优。</w:t>
            </w:r>
          </w:p>
          <w:p w14:paraId="27A8180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家用储能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产品是直接提供给终端客户，还是销售给中间商进行贴牌处理？</w:t>
            </w:r>
          </w:p>
          <w:p w14:paraId="65F71F6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公司业务模式主要为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To B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。我们的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家用储能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产品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主要匹配集成给下游的集成商和安装商，他们在安装施工后最终交付终端客户。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终端客户能够直接感知并识别我们的品牌。</w:t>
            </w:r>
          </w:p>
          <w:p w14:paraId="4C2C787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目前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海外市场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的库存状况是否已恢复正常化，还是说仓库中仍存在一些未消化的库存？</w:t>
            </w:r>
          </w:p>
          <w:p w14:paraId="7EAE0EE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渠道库存目前已基本消化。除少数产品外，整体库存情况已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趋向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正常化。</w:t>
            </w:r>
          </w:p>
          <w:p w14:paraId="77E75EC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未来几年对渠道库存有何预期？鉴于之前库存积压是多方特殊因素导致，未来公司是否会更密切地跟踪渠道库存水平，以便及时向终端客户提供市场预警？</w:t>
            </w:r>
          </w:p>
          <w:p w14:paraId="6FBEECD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历史库存积压主要源于行业阶段性供需波动、外部环境变化等非常规因素，该类特殊影响已逐步消退。在此背景下，公司与下游客户形成共识，未来将基于市场化需求研判、终端出货节奏及行业竞争格局，推动渠道库存维持在健康、可控的合理区间，保障供应链整体周转效率。</w:t>
            </w:r>
          </w:p>
          <w:p w14:paraId="3027193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如何支持众多海外国家的业务拓展？以及如何应对地缘政治风险？</w:t>
            </w:r>
          </w:p>
          <w:p w14:paraId="58DA470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公司海外业务已从欧洲户用储能单一市场，逐步向全球多区域、工商业储能与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用储能并行的战略布局升级，针对业务拓展需求构建了“人才、本地化、服务、产品”四大支持体系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全球化人才团队搭建：为匹配多区域、多场景业务拓展需求，公司销售及技术支持团队已快速扩充，并在欧洲、拉美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澳洲、南非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等核心市场，重点招聘具备行业经验、熟悉本地市场规则与客户需求的本土人才，组建区域专属销售与技术团队，提升市场响应效率与客户服务精准度。本地化运营网络布局：目前已在全球约9个国家和地区设立分支机构，形成覆盖核心市场的本地化运营节点，实现“市场调研、客户对接、订单执行、售后服务”的近距离支持，大幅缩短业务响应周期，增强客户合作粘性。售前售后全流程服务升级：针对工商业储能项目技术复杂度高、定制化需求强的特点，组建专业售前技术支持团队，提供项目方案设计、可行性分析、合规适配等一体化服务；同时完善全球售后服务网络，保障设备安装、调试、运维的及时响应，提升客户体验。</w:t>
            </w:r>
          </w:p>
          <w:p w14:paraId="16229605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面对全球地缘政治格局的复杂性，公司秉持“风险分散、主动对冲、合规经营”的原则，构建多维度风险应对体系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市场布局多元化，降低区域依赖：一方面持续深耕海外多区域市场，通过分支机构建设进一步拓展东南亚、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非洲、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中东等新兴市场，避免单一区域业务占比过高；另一方面战略加大国内市场开拓力度——尽管当前国内市场受规模效应等因素影响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盈利能力有待提升，但作为公司“第二增长曲线”，其核心价值在于形成“海外+国内”的市场对冲格局，有效缓解单一区域遭遇地缘政治冲击时的业绩波动风险，保障整体业务稳定性。运营本地化深化，强化区域适配：通过在海外核心市场设立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分支机构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、供应链节点等方式，深度融入当地经济生态，减少跨境贸易壁垒与政策变动带来的影响；同时遵守当地劳动法规与税务政策，树立合规经营的企业形象，增强在当地市场的抗风险能力。加强政企沟通与行业协作：积极对接目标市场的政府相关部门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</w:rPr>
              <w:t>行业协会，参与行业标准制定与交流活动，及时掌握政策导向；同时与当地优质合作伙伴（如渠道商、能源企业）建立深度合作关系，借助其本地资源与经验，提升应对地缘政治风险的灵活性。</w:t>
            </w:r>
          </w:p>
          <w:p w14:paraId="06CA13C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在市场扩张时，公司是如何进行考量的？如何确保进入的市场对我们的产品和服务有高度需求且匹配度高？我们所覆盖的整体市场是如何界定的？</w:t>
            </w:r>
          </w:p>
          <w:p w14:paraId="1E5ED29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我们在选择市场时，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首先会关注当地的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能源结构与需求潜力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还有当地的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市场竞争与产业链配套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情况，如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评估目标市场的竞争格局（头部企业占比、本土企业竞争力）、渠道成熟度、供应链配套能力（如物流、安装、运维资源），优先选择竞争格局清晰、具备差异化竞争空间、产业链协同性强的市场。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然后进行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本地化深度调研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精准挖掘客户核心需求（如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用储能关注产品安全性、便携性、智能化水平，工商业储能关注功率等级、续航能力、成本控制）及隐性需求（如政策合规适配、本地化服务响应速度）。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再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定制化研发与产品适配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基于调研结果，由研发团队联合本地化技术人员，进行产品定制化设 ——包括硬件参数调整（如电压等级、储能容量）、软件功能适配（如并网协议、监控系统）、合规认证适配（如欧洲 CE、美国 UL、东南亚 TISI 认证），确保产品完全符合目标市场的政策要求与客户使用场景。</w:t>
            </w:r>
          </w:p>
          <w:p w14:paraId="42D93E4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刚才谈到了产能扩增，请您详细介绍一下未来的产能扩增计划。</w:t>
            </w:r>
          </w:p>
          <w:p w14:paraId="63C175F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我们目前正在建设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派能科技10GWh锂电池研发制造基地项目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1F1F1F"/>
                <w:sz w:val="21"/>
                <w:szCs w:val="21"/>
                <w:lang w:val="en-US" w:eastAsia="zh-CN"/>
              </w:rPr>
              <w:t>二期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，预计将在2026年年底建成投产。</w:t>
            </w:r>
          </w:p>
          <w:p w14:paraId="3968C7C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原材料价格波动对利润水平影响较大，请问原材料波动是如何传导的？是传导给我们还是传导给终端客户？公司是否有对冲原材料价格波动的方法？</w:t>
            </w:r>
          </w:p>
          <w:p w14:paraId="3573C4B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公司储能产品的核心原材料占生产成本比重较高，其价格波动会直接影响产品综合成本。但由于行业竞争格局、客户合作模式及定价机制的特殊性，原材料价格波动并非单向、即时传导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。</w:t>
            </w:r>
          </w:p>
          <w:p w14:paraId="34C5D0F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 w:firstLine="420" w:firstLineChars="200"/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F1F1F"/>
                <w:kern w:val="0"/>
                <w:sz w:val="21"/>
                <w:szCs w:val="21"/>
                <w:lang w:val="en-US" w:eastAsia="zh-CN" w:bidi="ar"/>
              </w:rPr>
              <w:t>为进一步降低原材料价格波动对利润的影响，公司通过以下方式强化成本管控与风险对冲：供应链管理优化：与核心原材料供应商签订长期框架协议，锁定部分原材料采购量与价格区间，降低短期价格波动冲击；同时拓展多元化采购渠道，避免单一供应商依赖；产品成本优化：通过技术研发提升电池能量密度、降低单位材料消耗，通过规模化生产摊薄固定成本，增强成本转嫁能力与抗波动韧性；库存动态管理：基于原材料价格走势、市场需求预测，合理控制原材料库存水平，在价格低位适度备货，在价格高位优化库存结构，减少库存减值风险；客户结构优化：针对不同区域、不同类型客户，灵活调整定价模式，对部分新兴市场或短期合作客户，采用更具弹性的定价机制，提升成本传导效率。</w:t>
            </w:r>
          </w:p>
          <w:p w14:paraId="35825F4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问题：</w:t>
            </w:r>
            <w:r>
              <w:rPr>
                <w:rFonts w:hint="eastAsia" w:ascii="宋体" w:hAnsi="宋体" w:eastAsia="宋体" w:cs="宋体"/>
                <w:color w:val="1F1F1F"/>
                <w:sz w:val="21"/>
                <w:szCs w:val="21"/>
              </w:rPr>
              <w:t>正常年份，研发投入占收入的比例是多少？</w:t>
            </w:r>
          </w:p>
          <w:p w14:paraId="191495A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240" w:afterAutospacing="0" w:line="17" w:lineRule="atLeast"/>
              <w:ind w:left="0" w:right="0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1F1F"/>
                <w:sz w:val="21"/>
                <w:szCs w:val="21"/>
              </w:rPr>
              <w:t>回答：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公司始终将技术创新作为核心竞争力，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基于行业技术迭代速度、核心产品研发规划及长期发展战略制定</w:t>
            </w:r>
            <w:r>
              <w:rPr>
                <w:rFonts w:hint="eastAsia" w:ascii="宋体" w:hAnsi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相应的研发投入计划。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1F1F"/>
                <w:sz w:val="21"/>
                <w:szCs w:val="21"/>
                <w:lang w:val="en-US" w:eastAsia="zh-CN"/>
              </w:rPr>
              <w:t>持续稳定的研发投入是公司保持产品差异化竞争优势、响应市场需求变化的重要保障。未来，公司将根据行业技术发展趋势与业务拓展需要，合理优化研发资源配置，确保研发投入与战略目标相匹配，进一步巩固在储能领域的技术领先地位，为公司长期可持续发展提供核心动力。</w:t>
            </w:r>
          </w:p>
        </w:tc>
      </w:tr>
      <w:tr w14:paraId="3A25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0CDF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关于本次活动是否涉及应当披露重大信息的说明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B680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本次活动不涉及应当披露的重大信息。</w:t>
            </w:r>
          </w:p>
        </w:tc>
      </w:tr>
      <w:tr w14:paraId="28E9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5484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  <w:p w14:paraId="4CA91A54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E235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1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A18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1EF8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2025年11月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E1CD183">
      <w:pPr>
        <w:ind w:firstLine="42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9E72B1"/>
    <w:sectPr>
      <w:footerReference r:id="rId3" w:type="default"/>
      <w:pgSz w:w="11906" w:h="16838"/>
      <w:pgMar w:top="1440" w:right="1800" w:bottom="1440" w:left="180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1489976"/>
    </w:sdtPr>
    <w:sdtContent>
      <w:sdt>
        <w:sdtPr>
          <w:id w:val="1728636285"/>
        </w:sdtPr>
        <w:sdtContent>
          <w:p w14:paraId="35F4E261">
            <w:pPr>
              <w:pStyle w:val="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A7"/>
    <w:rsid w:val="000568A7"/>
    <w:rsid w:val="000A3E54"/>
    <w:rsid w:val="000C49EE"/>
    <w:rsid w:val="00137980"/>
    <w:rsid w:val="001528ED"/>
    <w:rsid w:val="00164B01"/>
    <w:rsid w:val="001B4173"/>
    <w:rsid w:val="001B66C7"/>
    <w:rsid w:val="001D1CAD"/>
    <w:rsid w:val="001D4B0F"/>
    <w:rsid w:val="00213E26"/>
    <w:rsid w:val="00226F52"/>
    <w:rsid w:val="0022726F"/>
    <w:rsid w:val="00227ED0"/>
    <w:rsid w:val="0027275A"/>
    <w:rsid w:val="002C5E9D"/>
    <w:rsid w:val="00343894"/>
    <w:rsid w:val="00390757"/>
    <w:rsid w:val="00397543"/>
    <w:rsid w:val="003A1E29"/>
    <w:rsid w:val="003A392C"/>
    <w:rsid w:val="00402186"/>
    <w:rsid w:val="0040324C"/>
    <w:rsid w:val="00412BC1"/>
    <w:rsid w:val="004136BF"/>
    <w:rsid w:val="00443F62"/>
    <w:rsid w:val="004B6072"/>
    <w:rsid w:val="004D76B6"/>
    <w:rsid w:val="004E4756"/>
    <w:rsid w:val="005504E7"/>
    <w:rsid w:val="00551D0B"/>
    <w:rsid w:val="005F4DD6"/>
    <w:rsid w:val="006C5597"/>
    <w:rsid w:val="006D6F3B"/>
    <w:rsid w:val="00711656"/>
    <w:rsid w:val="007210AF"/>
    <w:rsid w:val="00850086"/>
    <w:rsid w:val="00882D86"/>
    <w:rsid w:val="008A3F81"/>
    <w:rsid w:val="008B1A33"/>
    <w:rsid w:val="008C15C8"/>
    <w:rsid w:val="008C6FD8"/>
    <w:rsid w:val="00923DDD"/>
    <w:rsid w:val="009375D1"/>
    <w:rsid w:val="0094240A"/>
    <w:rsid w:val="00955D10"/>
    <w:rsid w:val="00971C57"/>
    <w:rsid w:val="009A1553"/>
    <w:rsid w:val="00A073C6"/>
    <w:rsid w:val="00A65261"/>
    <w:rsid w:val="00A67168"/>
    <w:rsid w:val="00A778DE"/>
    <w:rsid w:val="00A86480"/>
    <w:rsid w:val="00A978D7"/>
    <w:rsid w:val="00AA7F76"/>
    <w:rsid w:val="00AC10EB"/>
    <w:rsid w:val="00AF03F1"/>
    <w:rsid w:val="00B219DF"/>
    <w:rsid w:val="00B370F3"/>
    <w:rsid w:val="00BB0B6E"/>
    <w:rsid w:val="00BD44C2"/>
    <w:rsid w:val="00BE79BC"/>
    <w:rsid w:val="00C10E01"/>
    <w:rsid w:val="00C34C77"/>
    <w:rsid w:val="00D27A93"/>
    <w:rsid w:val="00D32DFC"/>
    <w:rsid w:val="00DE07FC"/>
    <w:rsid w:val="00E0120E"/>
    <w:rsid w:val="00EC506B"/>
    <w:rsid w:val="00EE29C8"/>
    <w:rsid w:val="00EF77C4"/>
    <w:rsid w:val="00F370DB"/>
    <w:rsid w:val="00F72275"/>
    <w:rsid w:val="00FC3361"/>
    <w:rsid w:val="03F4702C"/>
    <w:rsid w:val="04861B0C"/>
    <w:rsid w:val="07126147"/>
    <w:rsid w:val="0EB144BA"/>
    <w:rsid w:val="0F357BC8"/>
    <w:rsid w:val="12086AC4"/>
    <w:rsid w:val="14233CA2"/>
    <w:rsid w:val="17C4348D"/>
    <w:rsid w:val="19461284"/>
    <w:rsid w:val="1E6144DD"/>
    <w:rsid w:val="1F6F0182"/>
    <w:rsid w:val="201C5054"/>
    <w:rsid w:val="243674C1"/>
    <w:rsid w:val="24720EA1"/>
    <w:rsid w:val="24AB407B"/>
    <w:rsid w:val="2BA74800"/>
    <w:rsid w:val="326E7E26"/>
    <w:rsid w:val="340824FC"/>
    <w:rsid w:val="37D921E5"/>
    <w:rsid w:val="3D475E43"/>
    <w:rsid w:val="3EC7548D"/>
    <w:rsid w:val="517D49C4"/>
    <w:rsid w:val="53D53260"/>
    <w:rsid w:val="53E915AA"/>
    <w:rsid w:val="56592316"/>
    <w:rsid w:val="5B1F079D"/>
    <w:rsid w:val="64925346"/>
    <w:rsid w:val="6CF02B83"/>
    <w:rsid w:val="6E573888"/>
    <w:rsid w:val="6E7521DB"/>
    <w:rsid w:val="755F74C6"/>
    <w:rsid w:val="78533453"/>
    <w:rsid w:val="7C063151"/>
    <w:rsid w:val="7D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7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Emphasis"/>
    <w:basedOn w:val="19"/>
    <w:qFormat/>
    <w:uiPriority w:val="20"/>
    <w:rPr>
      <w:i/>
    </w:rPr>
  </w:style>
  <w:style w:type="character" w:styleId="22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5">
    <w:name w:val="引用 字符"/>
    <w:basedOn w:val="19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7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9">
    <w:name w:val="明显引用 字符"/>
    <w:basedOn w:val="19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脚 字符"/>
    <w:basedOn w:val="19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2">
    <w:name w:val="页眉 字符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43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44">
    <w:name w:val="批注主题 字符"/>
    <w:basedOn w:val="43"/>
    <w:link w:val="17"/>
    <w:semiHidden/>
    <w:qFormat/>
    <w:uiPriority w:val="99"/>
    <w:rPr>
      <w:rFonts w:ascii="Times New Roman" w:hAnsi="Times New Roman" w:eastAsia="宋体" w:cs="Times New Roman"/>
      <w:b/>
      <w:bCs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3064</Words>
  <Characters>3142</Characters>
  <Lines>54</Lines>
  <Paragraphs>40</Paragraphs>
  <TotalTime>0</TotalTime>
  <ScaleCrop>false</ScaleCrop>
  <LinksUpToDate>false</LinksUpToDate>
  <CharactersWithSpaces>3282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2025-08-22T02:27:00Z</dcterms:created>
  <dc:creator>Yingying LIU</dc:creator>
  <cp:lastModifiedBy>沈玲玉</cp:lastModifiedBy>
  <cp:lastPrinted>2025-11-25T08:55:00Z</cp:lastPrinted>
  <dcterms:modified xsi:type="dcterms:W3CDTF">2025-11-25T09:31:13Z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eyJoZGlkIjoiMDY5NmFjMmM4ZTljMGJiZDAxN2JmYTc0NGI0NmFiNDgiLCJ1c2VySWQiOiIyNzQwNjQ4NjUifQ==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FB45E259F00740A5BB7B84CE27883442_13</vt:lpwstr>
  </property>
</Properties>
</file>