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0CAE8">
      <w:pPr>
        <w:jc w:val="center"/>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证券代码：</w:t>
      </w:r>
      <w:r>
        <w:rPr>
          <w:rFonts w:hint="default" w:ascii="Times New Roman" w:hAnsi="Times New Roman" w:cs="Times New Roman" w:eastAsiaTheme="majorEastAsia"/>
          <w:sz w:val="28"/>
          <w:szCs w:val="28"/>
        </w:rPr>
        <w:t>60</w:t>
      </w:r>
      <w:r>
        <w:rPr>
          <w:rFonts w:hint="default" w:ascii="Times New Roman" w:hAnsi="Times New Roman" w:cs="Times New Roman" w:eastAsiaTheme="majorEastAsia"/>
          <w:sz w:val="28"/>
          <w:szCs w:val="28"/>
          <w:lang w:val="en-US" w:eastAsia="zh-CN"/>
        </w:rPr>
        <w:t>1007</w:t>
      </w:r>
      <w:r>
        <w:rPr>
          <w:rFonts w:hint="eastAsia" w:asciiTheme="majorEastAsia" w:hAnsiTheme="majorEastAsia" w:eastAsiaTheme="majorEastAsia"/>
          <w:sz w:val="28"/>
          <w:szCs w:val="28"/>
        </w:rPr>
        <w:t xml:space="preserve">                      证券简称：</w:t>
      </w:r>
      <w:r>
        <w:rPr>
          <w:rFonts w:hint="eastAsia" w:asciiTheme="majorEastAsia" w:hAnsiTheme="majorEastAsia" w:eastAsiaTheme="majorEastAsia"/>
          <w:sz w:val="28"/>
          <w:szCs w:val="28"/>
          <w:lang w:val="en-US" w:eastAsia="zh-CN"/>
        </w:rPr>
        <w:t>金陵饭店</w:t>
      </w:r>
    </w:p>
    <w:p w14:paraId="3F4C058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金陵饭店</w:t>
      </w:r>
      <w:r>
        <w:rPr>
          <w:rFonts w:hint="eastAsia" w:asciiTheme="majorEastAsia" w:hAnsiTheme="majorEastAsia" w:eastAsiaTheme="majorEastAsia"/>
          <w:b/>
          <w:sz w:val="30"/>
          <w:szCs w:val="30"/>
        </w:rPr>
        <w:t>股份有限公司</w:t>
      </w:r>
    </w:p>
    <w:p w14:paraId="7BA5AD5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p>
    <w:tbl>
      <w:tblPr>
        <w:tblStyle w:val="7"/>
        <w:tblW w:w="8989" w:type="dxa"/>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69"/>
        <w:gridCol w:w="6520"/>
      </w:tblGrid>
      <w:tr w14:paraId="10579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469" w:type="dxa"/>
            <w:vAlign w:val="center"/>
          </w:tcPr>
          <w:p w14:paraId="46564C92">
            <w:pPr>
              <w:ind w:right="315"/>
              <w:jc w:val="center"/>
              <w:rPr>
                <w:rFonts w:asciiTheme="minorEastAsia" w:hAnsiTheme="minorEastAsia"/>
                <w:b/>
                <w:sz w:val="24"/>
                <w:szCs w:val="21"/>
              </w:rPr>
            </w:pPr>
            <w:r>
              <w:rPr>
                <w:rFonts w:hint="eastAsia" w:asciiTheme="minorEastAsia" w:hAnsiTheme="minorEastAsia"/>
                <w:b/>
                <w:sz w:val="24"/>
                <w:szCs w:val="21"/>
              </w:rPr>
              <w:t>投资者活动</w:t>
            </w:r>
          </w:p>
          <w:p w14:paraId="7C27D5BF">
            <w:pPr>
              <w:ind w:right="315"/>
              <w:jc w:val="center"/>
              <w:rPr>
                <w:rFonts w:asciiTheme="minorEastAsia" w:hAnsiTheme="minorEastAsia"/>
                <w:b/>
                <w:sz w:val="24"/>
                <w:szCs w:val="21"/>
              </w:rPr>
            </w:pPr>
            <w:r>
              <w:rPr>
                <w:rFonts w:hint="eastAsia" w:asciiTheme="minorEastAsia" w:hAnsiTheme="minorEastAsia"/>
                <w:b/>
                <w:sz w:val="24"/>
                <w:szCs w:val="21"/>
              </w:rPr>
              <w:t>类型</w:t>
            </w:r>
          </w:p>
        </w:tc>
        <w:tc>
          <w:tcPr>
            <w:tcW w:w="6520" w:type="dxa"/>
          </w:tcPr>
          <w:p w14:paraId="2E0AB282">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特定对象调研        □分析师会议</w:t>
            </w:r>
          </w:p>
          <w:p w14:paraId="2FDEE66C">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√业绩说明会</w:t>
            </w:r>
          </w:p>
          <w:p w14:paraId="3C505A5B">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A3"/>
            </w:r>
            <w:r>
              <w:rPr>
                <w:rFonts w:hint="eastAsia" w:asciiTheme="minorEastAsia" w:hAnsiTheme="minorEastAsia"/>
                <w:szCs w:val="21"/>
              </w:rPr>
              <w:t>现场参观</w:t>
            </w:r>
          </w:p>
          <w:p w14:paraId="434DBFBD">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新闻发布会          □ 其他_______</w:t>
            </w:r>
          </w:p>
        </w:tc>
      </w:tr>
      <w:tr w14:paraId="07290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atLeast"/>
        </w:trPr>
        <w:tc>
          <w:tcPr>
            <w:tcW w:w="2469" w:type="dxa"/>
            <w:vAlign w:val="center"/>
          </w:tcPr>
          <w:p w14:paraId="446116C7">
            <w:pPr>
              <w:ind w:right="315"/>
              <w:jc w:val="center"/>
              <w:rPr>
                <w:rFonts w:asciiTheme="minorEastAsia" w:hAnsiTheme="minorEastAsia"/>
                <w:b/>
                <w:sz w:val="24"/>
                <w:szCs w:val="21"/>
              </w:rPr>
            </w:pPr>
            <w:r>
              <w:rPr>
                <w:rFonts w:hint="eastAsia" w:asciiTheme="minorEastAsia" w:hAnsiTheme="minorEastAsia"/>
                <w:b/>
                <w:sz w:val="24"/>
                <w:szCs w:val="21"/>
              </w:rPr>
              <w:t>来访单位及</w:t>
            </w:r>
          </w:p>
          <w:p w14:paraId="6EB76372">
            <w:pPr>
              <w:ind w:right="315"/>
              <w:jc w:val="center"/>
              <w:rPr>
                <w:rFonts w:asciiTheme="minorEastAsia" w:hAnsiTheme="minorEastAsia"/>
                <w:b/>
                <w:sz w:val="24"/>
                <w:szCs w:val="21"/>
              </w:rPr>
            </w:pPr>
            <w:r>
              <w:rPr>
                <w:rFonts w:hint="eastAsia" w:asciiTheme="minorEastAsia" w:hAnsiTheme="minorEastAsia"/>
                <w:b/>
                <w:sz w:val="24"/>
                <w:szCs w:val="21"/>
              </w:rPr>
              <w:t>人员基本信息</w:t>
            </w:r>
          </w:p>
        </w:tc>
        <w:tc>
          <w:tcPr>
            <w:tcW w:w="6520" w:type="dxa"/>
            <w:vAlign w:val="center"/>
          </w:tcPr>
          <w:p w14:paraId="789108EA">
            <w:pPr>
              <w:tabs>
                <w:tab w:val="center" w:pos="2798"/>
              </w:tabs>
              <w:spacing w:line="276" w:lineRule="auto"/>
              <w:jc w:val="center"/>
              <w:rPr>
                <w:rFonts w:hint="default" w:ascii="Times New Roman" w:hAnsi="Times New Roman" w:cs="Times New Roman"/>
                <w:bCs/>
                <w:iCs/>
                <w:szCs w:val="21"/>
              </w:rPr>
            </w:pPr>
            <w:r>
              <w:rPr>
                <w:rFonts w:hint="default" w:ascii="Times New Roman" w:hAnsi="Times New Roman" w:cs="Times New Roman"/>
                <w:bCs/>
                <w:iCs/>
                <w:szCs w:val="21"/>
              </w:rPr>
              <w:t>投资者与公司通过网络进行文字互动交流</w:t>
            </w:r>
          </w:p>
        </w:tc>
      </w:tr>
      <w:tr w14:paraId="7FE7F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2469" w:type="dxa"/>
            <w:vAlign w:val="center"/>
          </w:tcPr>
          <w:p w14:paraId="7CC13E27">
            <w:pPr>
              <w:ind w:right="315"/>
              <w:jc w:val="center"/>
              <w:rPr>
                <w:rFonts w:asciiTheme="minorEastAsia" w:hAnsiTheme="minorEastAsia"/>
                <w:b/>
                <w:sz w:val="24"/>
                <w:szCs w:val="21"/>
              </w:rPr>
            </w:pPr>
            <w:r>
              <w:rPr>
                <w:rFonts w:hint="eastAsia" w:asciiTheme="minorEastAsia" w:hAnsiTheme="minorEastAsia"/>
                <w:b/>
                <w:sz w:val="24"/>
                <w:szCs w:val="21"/>
              </w:rPr>
              <w:t>时间</w:t>
            </w:r>
          </w:p>
        </w:tc>
        <w:tc>
          <w:tcPr>
            <w:tcW w:w="6520" w:type="dxa"/>
            <w:vAlign w:val="center"/>
          </w:tcPr>
          <w:p w14:paraId="02587DC3">
            <w:pPr>
              <w:tabs>
                <w:tab w:val="center" w:pos="2798"/>
              </w:tabs>
              <w:spacing w:line="276" w:lineRule="auto"/>
              <w:jc w:val="center"/>
              <w:rPr>
                <w:rFonts w:hint="default" w:ascii="Times New Roman" w:hAnsi="Times New Roman" w:cs="Times New Roman"/>
                <w:szCs w:val="21"/>
              </w:rPr>
            </w:pPr>
            <w:r>
              <w:rPr>
                <w:rFonts w:hint="default" w:ascii="Times New Roman" w:hAnsi="Times New Roman" w:cs="Times New Roman"/>
                <w:bCs/>
                <w:iCs/>
                <w:szCs w:val="21"/>
              </w:rPr>
              <w:t>202</w:t>
            </w:r>
            <w:r>
              <w:rPr>
                <w:rFonts w:hint="eastAsia" w:ascii="Times New Roman" w:hAnsi="Times New Roman" w:cs="Times New Roman"/>
                <w:bCs/>
                <w:iCs/>
                <w:szCs w:val="21"/>
                <w:lang w:val="en-US" w:eastAsia="zh-CN"/>
              </w:rPr>
              <w:t>5</w:t>
            </w:r>
            <w:r>
              <w:rPr>
                <w:rFonts w:hint="default" w:ascii="Times New Roman" w:hAnsi="Times New Roman" w:cs="Times New Roman"/>
                <w:bCs/>
                <w:iCs/>
                <w:szCs w:val="21"/>
              </w:rPr>
              <w:t>年</w:t>
            </w:r>
            <w:r>
              <w:rPr>
                <w:rFonts w:hint="eastAsia" w:ascii="Times New Roman" w:hAnsi="Times New Roman" w:cs="Times New Roman"/>
                <w:bCs/>
                <w:iCs/>
                <w:szCs w:val="21"/>
                <w:lang w:val="en-US" w:eastAsia="zh-CN"/>
              </w:rPr>
              <w:t>11</w:t>
            </w:r>
            <w:r>
              <w:rPr>
                <w:rFonts w:hint="default" w:ascii="Times New Roman" w:hAnsi="Times New Roman" w:cs="Times New Roman"/>
                <w:bCs/>
                <w:iCs/>
                <w:szCs w:val="21"/>
              </w:rPr>
              <w:t>月</w:t>
            </w:r>
            <w:r>
              <w:rPr>
                <w:rFonts w:hint="default" w:ascii="Times New Roman" w:hAnsi="Times New Roman" w:cs="Times New Roman"/>
                <w:bCs/>
                <w:iCs/>
                <w:szCs w:val="21"/>
                <w:lang w:val="en-US" w:eastAsia="zh-CN"/>
              </w:rPr>
              <w:t>2</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 xml:space="preserve">日 </w:t>
            </w:r>
            <w:r>
              <w:rPr>
                <w:rFonts w:hint="default" w:ascii="Times New Roman" w:hAnsi="Times New Roman" w:cs="Times New Roman"/>
                <w:bCs/>
                <w:iCs/>
                <w:szCs w:val="21"/>
                <w:lang w:val="en-US" w:eastAsia="zh-CN"/>
              </w:rPr>
              <w:t>10</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0-1</w:t>
            </w:r>
            <w:r>
              <w:rPr>
                <w:rFonts w:hint="default" w:ascii="Times New Roman" w:hAnsi="Times New Roman" w:cs="Times New Roman"/>
                <w:bCs/>
                <w:iCs/>
                <w:szCs w:val="21"/>
                <w:lang w:val="en-US" w:eastAsia="zh-CN"/>
              </w:rPr>
              <w:t>1</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w:t>
            </w:r>
          </w:p>
        </w:tc>
      </w:tr>
      <w:tr w14:paraId="6A7EC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2469" w:type="dxa"/>
            <w:vAlign w:val="center"/>
          </w:tcPr>
          <w:p w14:paraId="78E6A049">
            <w:pPr>
              <w:ind w:right="315"/>
              <w:jc w:val="center"/>
              <w:rPr>
                <w:rFonts w:asciiTheme="minorEastAsia" w:hAnsiTheme="minorEastAsia"/>
                <w:b/>
                <w:sz w:val="24"/>
                <w:szCs w:val="21"/>
              </w:rPr>
            </w:pPr>
            <w:r>
              <w:rPr>
                <w:rFonts w:hint="eastAsia" w:asciiTheme="minorEastAsia" w:hAnsiTheme="minorEastAsia"/>
                <w:b/>
                <w:sz w:val="24"/>
                <w:szCs w:val="21"/>
              </w:rPr>
              <w:t>地点</w:t>
            </w:r>
          </w:p>
        </w:tc>
        <w:tc>
          <w:tcPr>
            <w:tcW w:w="6520" w:type="dxa"/>
            <w:tcBorders>
              <w:top w:val="nil"/>
            </w:tcBorders>
            <w:vAlign w:val="center"/>
          </w:tcPr>
          <w:p w14:paraId="7A7536EF">
            <w:pPr>
              <w:spacing w:line="276" w:lineRule="auto"/>
              <w:ind w:right="315"/>
              <w:jc w:val="center"/>
              <w:rPr>
                <w:rFonts w:hint="default" w:ascii="Times New Roman" w:hAnsi="Times New Roman" w:cs="Times New Roman"/>
                <w:szCs w:val="21"/>
              </w:rPr>
            </w:pPr>
            <w:r>
              <w:rPr>
                <w:rFonts w:hint="default" w:ascii="Times New Roman" w:hAnsi="Times New Roman" w:cs="Times New Roman"/>
                <w:szCs w:val="21"/>
              </w:rPr>
              <w:t>上海证券交易所上证路演中心（http://roadshow.sseinfo.com/）</w:t>
            </w:r>
          </w:p>
        </w:tc>
      </w:tr>
      <w:tr w14:paraId="7BDE2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9" w:hRule="atLeast"/>
        </w:trPr>
        <w:tc>
          <w:tcPr>
            <w:tcW w:w="2469" w:type="dxa"/>
            <w:vAlign w:val="center"/>
          </w:tcPr>
          <w:p w14:paraId="62B37057">
            <w:pPr>
              <w:ind w:right="315"/>
              <w:jc w:val="center"/>
              <w:rPr>
                <w:rFonts w:asciiTheme="minorEastAsia" w:hAnsiTheme="minorEastAsia"/>
                <w:b/>
                <w:sz w:val="24"/>
                <w:szCs w:val="21"/>
              </w:rPr>
            </w:pPr>
            <w:r>
              <w:rPr>
                <w:rFonts w:hint="eastAsia" w:asciiTheme="minorEastAsia" w:hAnsiTheme="minorEastAsia"/>
                <w:b/>
                <w:sz w:val="24"/>
                <w:szCs w:val="21"/>
              </w:rPr>
              <w:t>上市公司参加人员</w:t>
            </w:r>
          </w:p>
        </w:tc>
        <w:tc>
          <w:tcPr>
            <w:tcW w:w="6520" w:type="dxa"/>
            <w:vAlign w:val="center"/>
          </w:tcPr>
          <w:p w14:paraId="6DD9A2FE">
            <w:pPr>
              <w:spacing w:line="276" w:lineRule="auto"/>
              <w:ind w:firstLine="1470" w:firstLineChars="700"/>
              <w:jc w:val="both"/>
              <w:rPr>
                <w:rFonts w:hint="default" w:ascii="Times New Roman" w:hAnsi="Times New Roman" w:cs="Times New Roman"/>
                <w:bCs/>
                <w:iCs/>
                <w:szCs w:val="21"/>
                <w:lang w:val="en-US" w:eastAsia="zh-CN"/>
              </w:rPr>
            </w:pPr>
            <w:r>
              <w:rPr>
                <w:rFonts w:hint="default" w:ascii="Times New Roman" w:hAnsi="Times New Roman" w:cs="Times New Roman"/>
                <w:bCs/>
                <w:iCs/>
                <w:szCs w:val="21"/>
                <w:lang w:val="en-US" w:eastAsia="zh-CN"/>
              </w:rPr>
              <w:t>董事、</w:t>
            </w:r>
            <w:r>
              <w:rPr>
                <w:rFonts w:hint="default" w:ascii="Times New Roman" w:hAnsi="Times New Roman" w:cs="Times New Roman"/>
                <w:bCs/>
                <w:iCs/>
                <w:szCs w:val="21"/>
              </w:rPr>
              <w:t>总经理：</w:t>
            </w:r>
            <w:r>
              <w:rPr>
                <w:rFonts w:hint="default" w:ascii="Times New Roman" w:hAnsi="Times New Roman" w:cs="Times New Roman"/>
                <w:bCs/>
                <w:iCs/>
                <w:szCs w:val="21"/>
                <w:lang w:val="en-US" w:eastAsia="zh-CN"/>
              </w:rPr>
              <w:t>张胜新先生</w:t>
            </w:r>
          </w:p>
          <w:p w14:paraId="5857B93D">
            <w:pPr>
              <w:spacing w:line="276" w:lineRule="auto"/>
              <w:ind w:firstLine="1470" w:firstLineChars="700"/>
              <w:jc w:val="both"/>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lang w:val="en-US" w:eastAsia="zh-CN"/>
              </w:rPr>
              <w:t>独立董事：</w:t>
            </w:r>
            <w:r>
              <w:rPr>
                <w:rFonts w:hint="eastAsia" w:ascii="Times New Roman" w:hAnsi="Times New Roman" w:cs="Times New Roman"/>
                <w:bCs/>
                <w:iCs/>
                <w:szCs w:val="21"/>
                <w:lang w:val="en-US" w:eastAsia="zh-CN"/>
              </w:rPr>
              <w:t>沈坤荣先生</w:t>
            </w:r>
          </w:p>
          <w:p w14:paraId="633F3D1F">
            <w:pPr>
              <w:spacing w:line="276" w:lineRule="auto"/>
              <w:jc w:val="center"/>
              <w:rPr>
                <w:rFonts w:hint="default" w:ascii="Times New Roman" w:hAnsi="Times New Roman" w:cs="Times New Roman"/>
                <w:bCs/>
                <w:iCs/>
                <w:szCs w:val="21"/>
              </w:rPr>
            </w:pPr>
            <w:r>
              <w:rPr>
                <w:rFonts w:hint="default" w:ascii="Times New Roman" w:hAnsi="Times New Roman" w:cs="Times New Roman"/>
                <w:bCs/>
                <w:iCs/>
                <w:szCs w:val="21"/>
                <w:lang w:val="en-US" w:eastAsia="zh-CN"/>
              </w:rPr>
              <w:t>副总经理</w:t>
            </w:r>
            <w:r>
              <w:rPr>
                <w:rFonts w:hint="default" w:ascii="Times New Roman" w:hAnsi="Times New Roman" w:cs="Times New Roman"/>
                <w:bCs/>
                <w:iCs/>
                <w:szCs w:val="21"/>
                <w:lang w:eastAsia="zh-CN"/>
              </w:rPr>
              <w:t>、</w:t>
            </w:r>
            <w:r>
              <w:rPr>
                <w:rFonts w:hint="default" w:ascii="Times New Roman" w:hAnsi="Times New Roman" w:cs="Times New Roman"/>
                <w:bCs/>
                <w:iCs/>
                <w:szCs w:val="21"/>
              </w:rPr>
              <w:t>董事会秘书</w:t>
            </w:r>
            <w:r>
              <w:rPr>
                <w:rFonts w:hint="eastAsia" w:ascii="Times New Roman" w:hAnsi="Times New Roman" w:cs="Times New Roman"/>
                <w:bCs/>
                <w:iCs/>
                <w:szCs w:val="21"/>
                <w:lang w:eastAsia="zh-CN"/>
              </w:rPr>
              <w:t>、</w:t>
            </w:r>
            <w:r>
              <w:rPr>
                <w:rFonts w:hint="eastAsia" w:ascii="Times New Roman" w:hAnsi="Times New Roman" w:cs="Times New Roman"/>
                <w:bCs/>
                <w:iCs/>
                <w:szCs w:val="21"/>
                <w:lang w:val="en-US" w:eastAsia="zh-CN"/>
              </w:rPr>
              <w:t>总法律顾问</w:t>
            </w:r>
            <w:r>
              <w:rPr>
                <w:rFonts w:hint="default" w:ascii="Times New Roman" w:hAnsi="Times New Roman" w:cs="Times New Roman"/>
                <w:bCs/>
                <w:iCs/>
                <w:szCs w:val="21"/>
              </w:rPr>
              <w:t>：</w:t>
            </w:r>
            <w:r>
              <w:rPr>
                <w:rFonts w:hint="default" w:ascii="Times New Roman" w:hAnsi="Times New Roman" w:cs="Times New Roman"/>
                <w:bCs/>
                <w:iCs/>
                <w:szCs w:val="21"/>
                <w:lang w:val="en-US" w:eastAsia="zh-CN"/>
              </w:rPr>
              <w:t>刘羽欣</w:t>
            </w:r>
            <w:r>
              <w:rPr>
                <w:rFonts w:hint="default" w:ascii="Times New Roman" w:hAnsi="Times New Roman" w:cs="Times New Roman"/>
                <w:bCs/>
                <w:iCs/>
                <w:szCs w:val="21"/>
              </w:rPr>
              <w:t>先生</w:t>
            </w:r>
          </w:p>
          <w:p w14:paraId="24291838">
            <w:pPr>
              <w:spacing w:line="276" w:lineRule="auto"/>
              <w:ind w:firstLine="1470" w:firstLineChars="700"/>
              <w:jc w:val="both"/>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lang w:val="en-US" w:eastAsia="zh-CN"/>
              </w:rPr>
              <w:t>财务负责人：史红伟</w:t>
            </w:r>
            <w:r>
              <w:rPr>
                <w:rFonts w:hint="default" w:ascii="Times New Roman" w:hAnsi="Times New Roman" w:cs="Times New Roman"/>
                <w:bCs/>
                <w:iCs/>
                <w:szCs w:val="21"/>
              </w:rPr>
              <w:t>先生</w:t>
            </w:r>
          </w:p>
        </w:tc>
      </w:tr>
      <w:tr w14:paraId="79365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8" w:hRule="atLeast"/>
        </w:trPr>
        <w:tc>
          <w:tcPr>
            <w:tcW w:w="2469" w:type="dxa"/>
            <w:vAlign w:val="center"/>
          </w:tcPr>
          <w:p w14:paraId="0D448B7A">
            <w:pPr>
              <w:ind w:right="315"/>
              <w:jc w:val="center"/>
              <w:rPr>
                <w:rFonts w:asciiTheme="minorEastAsia" w:hAnsiTheme="minorEastAsia"/>
                <w:b/>
                <w:sz w:val="24"/>
                <w:szCs w:val="21"/>
              </w:rPr>
            </w:pPr>
            <w:r>
              <w:rPr>
                <w:b/>
                <w:sz w:val="24"/>
              </w:rPr>
              <w:t>投资者关系活动主要内容介绍</w:t>
            </w:r>
          </w:p>
        </w:tc>
        <w:tc>
          <w:tcPr>
            <w:tcW w:w="6520" w:type="dxa"/>
            <w:vAlign w:val="center"/>
          </w:tcPr>
          <w:p w14:paraId="4A4FF16D">
            <w:pPr>
              <w:pStyle w:val="11"/>
              <w:numPr>
                <w:ilvl w:val="0"/>
                <w:numId w:val="1"/>
              </w:numPr>
              <w:spacing w:line="276" w:lineRule="auto"/>
              <w:ind w:firstLineChars="0"/>
              <w:rPr>
                <w:rFonts w:hint="default" w:ascii="Times New Roman" w:hAnsi="Times New Roman" w:cs="Times New Roman"/>
                <w:bCs/>
                <w:iCs/>
                <w:szCs w:val="21"/>
              </w:rPr>
            </w:pPr>
            <w:r>
              <w:rPr>
                <w:rFonts w:hint="default" w:ascii="Times New Roman" w:hAnsi="Times New Roman" w:cs="Times New Roman"/>
                <w:bCs/>
                <w:iCs/>
                <w:szCs w:val="21"/>
              </w:rPr>
              <w:t>公司董事、总经理张胜新先生主持并开场致辞</w:t>
            </w:r>
          </w:p>
          <w:p w14:paraId="231DDB4E">
            <w:pPr>
              <w:pStyle w:val="11"/>
              <w:widowControl w:val="0"/>
              <w:numPr>
                <w:ilvl w:val="0"/>
                <w:numId w:val="0"/>
              </w:numPr>
              <w:spacing w:line="276" w:lineRule="auto"/>
              <w:jc w:val="both"/>
              <w:rPr>
                <w:rFonts w:hint="default" w:ascii="Times New Roman" w:hAnsi="Times New Roman" w:cs="Times New Roman"/>
                <w:bCs/>
                <w:iCs/>
                <w:szCs w:val="21"/>
              </w:rPr>
            </w:pPr>
          </w:p>
          <w:p w14:paraId="72F39FA3">
            <w:pPr>
              <w:pStyle w:val="11"/>
              <w:numPr>
                <w:ilvl w:val="0"/>
                <w:numId w:val="1"/>
              </w:numPr>
              <w:spacing w:line="276" w:lineRule="auto"/>
              <w:ind w:firstLineChars="0"/>
              <w:rPr>
                <w:rFonts w:hint="default" w:ascii="Times New Roman" w:hAnsi="Times New Roman" w:cs="Times New Roman"/>
                <w:bCs/>
                <w:iCs/>
                <w:szCs w:val="21"/>
              </w:rPr>
            </w:pPr>
            <w:r>
              <w:rPr>
                <w:rFonts w:hint="default" w:ascii="Times New Roman" w:hAnsi="Times New Roman" w:cs="Times New Roman"/>
                <w:bCs/>
                <w:iCs/>
                <w:szCs w:val="21"/>
              </w:rPr>
              <w:t>投资者问答</w:t>
            </w:r>
          </w:p>
          <w:p w14:paraId="5C23D80D">
            <w:pPr>
              <w:spacing w:line="276" w:lineRule="auto"/>
              <w:ind w:firstLine="422" w:firstLineChars="200"/>
              <w:rPr>
                <w:rFonts w:hint="eastAsia" w:ascii="Times New Roman" w:hAnsi="Times New Roman" w:cs="Times New Roman"/>
                <w:b/>
                <w:bCs w:val="0"/>
                <w:iCs/>
                <w:szCs w:val="21"/>
                <w:lang w:val="en-US" w:eastAsia="zh-CN"/>
              </w:rPr>
            </w:pPr>
            <w:r>
              <w:rPr>
                <w:rFonts w:hint="default" w:ascii="Times New Roman" w:hAnsi="Times New Roman" w:cs="Times New Roman"/>
                <w:b/>
                <w:bCs w:val="0"/>
                <w:iCs/>
                <w:szCs w:val="21"/>
              </w:rPr>
              <w:t>1</w:t>
            </w:r>
            <w:r>
              <w:rPr>
                <w:rFonts w:hint="default" w:ascii="Times New Roman" w:hAnsi="Times New Roman" w:cs="Times New Roman"/>
                <w:b/>
                <w:bCs w:val="0"/>
                <w:iCs/>
                <w:szCs w:val="21"/>
                <w:lang w:val="en-US" w:eastAsia="zh-CN"/>
              </w:rPr>
              <w:t>、问：</w:t>
            </w:r>
            <w:r>
              <w:rPr>
                <w:rFonts w:hint="eastAsia" w:ascii="Times New Roman" w:hAnsi="Times New Roman" w:cs="Times New Roman"/>
                <w:b/>
                <w:bCs w:val="0"/>
                <w:iCs/>
                <w:szCs w:val="21"/>
                <w:lang w:val="en-US" w:eastAsia="zh-CN"/>
              </w:rPr>
              <w:t>请介绍下公司三季度的营收情况？</w:t>
            </w:r>
          </w:p>
          <w:p w14:paraId="63534946">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答：尊敬的投资者您好！2025年三季度，公司实现营业总收入12.83亿元，同比下降8.59%。主要原因是酒类贸易业务处于深度调整期，面临消费场景与需求变化、供应商渠道政策调整等影响，营收同比下降所致。</w:t>
            </w:r>
          </w:p>
          <w:p w14:paraId="24B89C0B">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rPr>
              <w:t>2、</w:t>
            </w:r>
            <w:r>
              <w:rPr>
                <w:rFonts w:hint="default" w:ascii="Times New Roman" w:hAnsi="Times New Roman" w:cs="Times New Roman"/>
                <w:b/>
                <w:bCs w:val="0"/>
                <w:iCs/>
                <w:szCs w:val="21"/>
                <w:lang w:val="en-US" w:eastAsia="zh-CN"/>
              </w:rPr>
              <w:t>问：</w:t>
            </w:r>
            <w:r>
              <w:rPr>
                <w:rFonts w:hint="default" w:ascii="Times New Roman" w:hAnsi="Times New Roman" w:cs="Times New Roman"/>
                <w:b/>
                <w:bCs w:val="0"/>
                <w:iCs/>
                <w:szCs w:val="21"/>
              </w:rPr>
              <w:t>公司对于市值管理有什么具体的措施？</w:t>
            </w:r>
          </w:p>
          <w:p w14:paraId="47BE35D0">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公司积极用好市值管理“工具箱”，系统采取改革创新、资本运作、公司治理、风险防控、投资者沟通等多维度措施，全面提升公司产业经营与资本运营质量。公司将聚焦战略实施、聚力经营创新，酒店主业强化品牌建设、加快规模增长；协同业务方面：加快培育战略性新兴产业，加大产品创新和产业链整合力度，进一步提升公司产品服务质量、创造效益增长空间，实现高质量发展走在行业和市场前列，努力为广大投资者创造长期价值。市值管理制度详见公司于2024年8月发布《金陵饭店股份有限公司市值管理制度》，市值管理行动方案详见公司于2025年9月发布《2025年度“提质增效重回报”行动方案》。同时，二级交易市场中，股价会受到市场经济环境、宏观政策变化、投资者情绪、市场资金偏好等多种因素的影响，广大投资者需理性看待股价波动。</w:t>
            </w:r>
            <w:bookmarkStart w:id="0" w:name="_GoBack"/>
            <w:bookmarkEnd w:id="0"/>
          </w:p>
          <w:p w14:paraId="0BC60632">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lang w:val="en-US" w:eastAsia="zh-CN"/>
              </w:rPr>
              <w:t>3</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问：公司现有股东人数？</w:t>
            </w:r>
          </w:p>
          <w:p w14:paraId="0BA5BD41">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答：尊敬的投资者，您好！截至2025年9月末，公司股东总数为30169。公司将按照相关法律法规的规定在定期报告中披露各报告期期末的股东人数。感谢您的关注！</w:t>
            </w:r>
          </w:p>
          <w:p w14:paraId="4551FE1F">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Cs/>
                <w:iCs/>
                <w:szCs w:val="21"/>
                <w:lang w:val="en-US" w:eastAsia="zh-CN"/>
              </w:rPr>
            </w:pPr>
          </w:p>
          <w:p w14:paraId="1F1DFC77">
            <w:pPr>
              <w:pStyle w:val="11"/>
              <w:numPr>
                <w:ilvl w:val="0"/>
                <w:numId w:val="1"/>
              </w:numPr>
              <w:spacing w:line="276" w:lineRule="auto"/>
              <w:ind w:firstLineChars="0"/>
              <w:rPr>
                <w:rFonts w:hint="default" w:ascii="Times New Roman" w:hAnsi="Times New Roman" w:cs="Times New Roman"/>
                <w:iCs/>
                <w:szCs w:val="21"/>
              </w:rPr>
            </w:pPr>
            <w:r>
              <w:rPr>
                <w:rFonts w:hint="default" w:ascii="Times New Roman" w:hAnsi="Times New Roman" w:cs="Times New Roman" w:eastAsiaTheme="minorEastAsia"/>
                <w:bCs/>
                <w:iCs/>
                <w:kern w:val="2"/>
                <w:sz w:val="21"/>
                <w:szCs w:val="21"/>
                <w:lang w:val="en-US" w:eastAsia="zh-CN" w:bidi="ar-SA"/>
              </w:rPr>
              <w:t>公司董事、总经理张胜新先生宣布活动结束。</w:t>
            </w:r>
          </w:p>
        </w:tc>
      </w:tr>
      <w:tr w14:paraId="016BF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469" w:type="dxa"/>
            <w:vAlign w:val="center"/>
          </w:tcPr>
          <w:p w14:paraId="46FE48EF">
            <w:pPr>
              <w:ind w:right="315"/>
              <w:jc w:val="center"/>
              <w:rPr>
                <w:rFonts w:asciiTheme="minorEastAsia" w:hAnsiTheme="minorEastAsia"/>
                <w:b/>
                <w:sz w:val="24"/>
                <w:szCs w:val="21"/>
              </w:rPr>
            </w:pPr>
            <w:r>
              <w:rPr>
                <w:rFonts w:hint="eastAsia" w:asciiTheme="minorEastAsia" w:hAnsiTheme="minorEastAsia"/>
                <w:b/>
                <w:sz w:val="24"/>
                <w:szCs w:val="21"/>
              </w:rPr>
              <w:t>附件清单（如有）</w:t>
            </w:r>
          </w:p>
        </w:tc>
        <w:tc>
          <w:tcPr>
            <w:tcW w:w="6520" w:type="dxa"/>
            <w:vAlign w:val="center"/>
          </w:tcPr>
          <w:p w14:paraId="2C8EF77B">
            <w:pPr>
              <w:ind w:right="315"/>
              <w:jc w:val="center"/>
              <w:rPr>
                <w:rFonts w:asciiTheme="minorEastAsia" w:hAnsiTheme="minorEastAsia"/>
                <w:szCs w:val="21"/>
              </w:rPr>
            </w:pPr>
            <w:r>
              <w:rPr>
                <w:rFonts w:asciiTheme="minorEastAsia" w:hAnsiTheme="minorEastAsia"/>
                <w:szCs w:val="21"/>
              </w:rPr>
              <w:t>无</w:t>
            </w:r>
          </w:p>
        </w:tc>
      </w:tr>
    </w:tbl>
    <w:p w14:paraId="4AB500FC">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8755C"/>
    <w:multiLevelType w:val="multilevel"/>
    <w:tmpl w:val="18C8755C"/>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2Y0MjhkMDA0OTAzMjVmNmQ0ZDI1YzNiZGY3YzQifQ=="/>
  </w:docVars>
  <w:rsids>
    <w:rsidRoot w:val="00AD0253"/>
    <w:rsid w:val="000B27C1"/>
    <w:rsid w:val="000C51D0"/>
    <w:rsid w:val="000F23C9"/>
    <w:rsid w:val="000F5EB6"/>
    <w:rsid w:val="00105951"/>
    <w:rsid w:val="001724AD"/>
    <w:rsid w:val="001C0147"/>
    <w:rsid w:val="001E56FD"/>
    <w:rsid w:val="0020504C"/>
    <w:rsid w:val="00284B84"/>
    <w:rsid w:val="00292687"/>
    <w:rsid w:val="002932E0"/>
    <w:rsid w:val="002D29FE"/>
    <w:rsid w:val="002E66DC"/>
    <w:rsid w:val="00310FEA"/>
    <w:rsid w:val="00320904"/>
    <w:rsid w:val="003351C1"/>
    <w:rsid w:val="00351F02"/>
    <w:rsid w:val="00366045"/>
    <w:rsid w:val="00370108"/>
    <w:rsid w:val="003A14B2"/>
    <w:rsid w:val="003A3C4F"/>
    <w:rsid w:val="003A707A"/>
    <w:rsid w:val="003B0F8C"/>
    <w:rsid w:val="003D3B62"/>
    <w:rsid w:val="003E3E7C"/>
    <w:rsid w:val="003F747A"/>
    <w:rsid w:val="00442C8C"/>
    <w:rsid w:val="0044749B"/>
    <w:rsid w:val="00452D73"/>
    <w:rsid w:val="00491A7D"/>
    <w:rsid w:val="00493CEC"/>
    <w:rsid w:val="004A140C"/>
    <w:rsid w:val="004B0343"/>
    <w:rsid w:val="004B5518"/>
    <w:rsid w:val="004F129B"/>
    <w:rsid w:val="005233F4"/>
    <w:rsid w:val="00546B6A"/>
    <w:rsid w:val="00555615"/>
    <w:rsid w:val="005621A4"/>
    <w:rsid w:val="005D2A4C"/>
    <w:rsid w:val="0064025B"/>
    <w:rsid w:val="006C77E3"/>
    <w:rsid w:val="006D3FA9"/>
    <w:rsid w:val="00701CB8"/>
    <w:rsid w:val="007113A6"/>
    <w:rsid w:val="007677F1"/>
    <w:rsid w:val="007B1E44"/>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56135"/>
    <w:rsid w:val="00CC7B93"/>
    <w:rsid w:val="00CE0C73"/>
    <w:rsid w:val="00CF4B44"/>
    <w:rsid w:val="00D16622"/>
    <w:rsid w:val="00D30FCD"/>
    <w:rsid w:val="00D65565"/>
    <w:rsid w:val="00D808D1"/>
    <w:rsid w:val="00D872A1"/>
    <w:rsid w:val="00D90BCD"/>
    <w:rsid w:val="00DB1630"/>
    <w:rsid w:val="00DD6467"/>
    <w:rsid w:val="00DF1D55"/>
    <w:rsid w:val="00E1031B"/>
    <w:rsid w:val="00E35333"/>
    <w:rsid w:val="00E82D4C"/>
    <w:rsid w:val="00EB1FF2"/>
    <w:rsid w:val="00F1499F"/>
    <w:rsid w:val="00F20811"/>
    <w:rsid w:val="00F2362C"/>
    <w:rsid w:val="00F24444"/>
    <w:rsid w:val="00F46B99"/>
    <w:rsid w:val="00F97911"/>
    <w:rsid w:val="00FD33B6"/>
    <w:rsid w:val="00FD7B34"/>
    <w:rsid w:val="00FE0EDE"/>
    <w:rsid w:val="00FF67C4"/>
    <w:rsid w:val="09886B94"/>
    <w:rsid w:val="11231CC8"/>
    <w:rsid w:val="153138B9"/>
    <w:rsid w:val="19FA7518"/>
    <w:rsid w:val="1BE75F2E"/>
    <w:rsid w:val="20822032"/>
    <w:rsid w:val="262B2929"/>
    <w:rsid w:val="2A3F6ED6"/>
    <w:rsid w:val="45445A2B"/>
    <w:rsid w:val="4E2B31CE"/>
    <w:rsid w:val="54BE1794"/>
    <w:rsid w:val="556E7FB9"/>
    <w:rsid w:val="6131163C"/>
    <w:rsid w:val="69754024"/>
    <w:rsid w:val="7E0B1F99"/>
    <w:rsid w:val="7EB35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831</Words>
  <Characters>911</Characters>
  <Lines>11</Lines>
  <Paragraphs>3</Paragraphs>
  <TotalTime>13</TotalTime>
  <ScaleCrop>false</ScaleCrop>
  <LinksUpToDate>false</LinksUpToDate>
  <CharactersWithSpaces>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2023-09-20T09:58:00Z</dcterms:created>
  <dc:creator>ZQB-ZL</dc:creator>
  <cp:lastModifiedBy>燕子</cp:lastModifiedBy>
  <cp:lastPrinted>2022-02-11T05:22:00Z</cp:lastPrinted>
  <dcterms:modified xsi:type="dcterms:W3CDTF">2025-11-26T06:49:49Z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3A331F92B0C348BDA4CD12DD63EC77E4_13</vt:lpwstr>
  </property>
  <property fmtid="{D5CDD505-2E9C-101B-9397-08002B2CF9AE}" pid="4" name="KSOTemplateDocerSaveRecord">
    <vt:lpwstr>eyJoZGlkIjoiMjVjY2Y0MjhkMDA0OTAzMjVmNmQ0ZDI1YzNiZGY3YzQiLCJ1c2VySWQiOiI2MDYxMzUxNDkifQ==</vt:lpwstr>
  </property>
</Properties>
</file>