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2C8C4">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600782</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新钢股份</w:t>
      </w:r>
    </w:p>
    <w:p w14:paraId="040AAC51">
      <w:pPr>
        <w:spacing w:line="360" w:lineRule="auto"/>
        <w:jc w:val="center"/>
        <w:rPr>
          <w:rFonts w:ascii="宋体" w:hAnsi="宋体" w:eastAsia="宋体" w:cs="宋体"/>
          <w:b/>
          <w:bCs/>
          <w:sz w:val="44"/>
          <w:szCs w:val="44"/>
        </w:rPr>
      </w:pPr>
    </w:p>
    <w:p w14:paraId="1DB23488">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新余钢铁股份有限公司</w:t>
      </w:r>
      <w:bookmarkStart w:id="0" w:name="_GoBack"/>
      <w:bookmarkEnd w:id="0"/>
    </w:p>
    <w:p w14:paraId="793DA865">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4640D0F4">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2025</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01</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002B3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0893C6E8">
            <w:pPr>
              <w:pStyle w:val="12"/>
              <w:spacing w:before="7"/>
              <w:rPr>
                <w:rFonts w:ascii="宋体" w:hAnsi="宋体" w:eastAsia="宋体" w:cs="宋体"/>
                <w:b/>
                <w:bCs/>
                <w:sz w:val="20"/>
                <w:szCs w:val="20"/>
              </w:rPr>
            </w:pPr>
          </w:p>
          <w:p w14:paraId="01219DEE">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39818526">
            <w:pPr>
              <w:pStyle w:val="12"/>
              <w:spacing w:before="7"/>
              <w:rPr>
                <w:rFonts w:ascii="宋体" w:hAnsi="宋体" w:eastAsia="宋体" w:cs="宋体"/>
                <w:sz w:val="20"/>
                <w:szCs w:val="20"/>
              </w:rPr>
            </w:pPr>
          </w:p>
          <w:p w14:paraId="63E60820">
            <w:pPr>
              <w:pStyle w:val="12"/>
              <w:tabs>
                <w:tab w:val="left" w:pos="2418"/>
              </w:tabs>
              <w:spacing w:before="1"/>
              <w:ind w:left="107"/>
              <w:rPr>
                <w:rFonts w:ascii="宋体" w:hAnsi="宋体" w:eastAsia="宋体" w:cs="宋体"/>
                <w:sz w:val="20"/>
                <w:szCs w:val="20"/>
              </w:rPr>
            </w:pPr>
            <w:r>
              <w:rPr>
                <w:rFonts w:hint="eastAsia" w:ascii="MS Gothic" w:hAnsi="MS Gothic" w:eastAsia="MS Gothic" w:cs="宋体"/>
                <w:sz w:val="20"/>
                <w:szCs w:val="20"/>
              </w:rPr>
              <w:t>☐</w:t>
            </w:r>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r>
              <w:rPr>
                <w:rFonts w:hint="eastAsia" w:ascii="MS Gothic" w:hAnsi="MS Gothic" w:eastAsia="MS Gothic" w:cs="宋体"/>
                <w:sz w:val="20"/>
                <w:szCs w:val="20"/>
              </w:rPr>
              <w:t>☐</w:t>
            </w:r>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1D6C7708">
            <w:pPr>
              <w:pStyle w:val="12"/>
              <w:spacing w:before="11"/>
              <w:rPr>
                <w:rFonts w:ascii="宋体" w:hAnsi="宋体" w:eastAsia="宋体" w:cs="宋体"/>
                <w:sz w:val="20"/>
                <w:szCs w:val="20"/>
              </w:rPr>
            </w:pPr>
          </w:p>
          <w:p w14:paraId="750EE631">
            <w:pPr>
              <w:pStyle w:val="12"/>
              <w:tabs>
                <w:tab w:val="left" w:pos="2418"/>
              </w:tabs>
              <w:ind w:left="107"/>
              <w:rPr>
                <w:rFonts w:ascii="宋体" w:hAnsi="宋体" w:eastAsia="宋体" w:cs="宋体"/>
                <w:sz w:val="20"/>
                <w:szCs w:val="20"/>
              </w:rPr>
            </w:pPr>
            <w:r>
              <w:rPr>
                <w:rFonts w:hint="eastAsia" w:ascii="MS Gothic" w:hAnsi="MS Gothic" w:eastAsia="MS Gothic" w:cs="宋体"/>
                <w:sz w:val="20"/>
                <w:szCs w:val="20"/>
              </w:rPr>
              <w:t>☐</w:t>
            </w:r>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r>
              <w:rPr>
                <w:rFonts w:hint="eastAsia" w:ascii="Wingdings 2" w:hAnsi="Wingdings 2" w:eastAsia="MS Gothic" w:cs="宋体"/>
                <w:sz w:val="20"/>
                <w:szCs w:val="20"/>
                <w:lang w:val="zh-CN" w:eastAsia="zh-CN" w:bidi="zh-CN"/>
              </w:rPr>
              <w:t>R</w:t>
            </w:r>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0E50D83C">
            <w:pPr>
              <w:pStyle w:val="12"/>
              <w:spacing w:before="8"/>
              <w:rPr>
                <w:rFonts w:ascii="宋体" w:hAnsi="宋体" w:eastAsia="宋体" w:cs="宋体"/>
                <w:sz w:val="20"/>
                <w:szCs w:val="20"/>
              </w:rPr>
            </w:pPr>
          </w:p>
          <w:p w14:paraId="3053934A">
            <w:pPr>
              <w:pStyle w:val="12"/>
              <w:tabs>
                <w:tab w:val="left" w:pos="2418"/>
              </w:tabs>
              <w:ind w:left="107"/>
              <w:rPr>
                <w:rFonts w:ascii="宋体" w:hAnsi="宋体" w:eastAsia="宋体" w:cs="宋体"/>
                <w:sz w:val="20"/>
                <w:szCs w:val="20"/>
              </w:rPr>
            </w:pPr>
            <w:r>
              <w:rPr>
                <w:rFonts w:hint="eastAsia" w:ascii="MS Gothic" w:hAnsi="MS Gothic" w:eastAsia="MS Gothic" w:cs="宋体"/>
                <w:sz w:val="20"/>
                <w:szCs w:val="20"/>
              </w:rPr>
              <w:t>☐</w:t>
            </w:r>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r>
              <w:rPr>
                <w:rFonts w:hint="eastAsia" w:ascii="MS Gothic" w:hAnsi="MS Gothic" w:eastAsia="MS Gothic" w:cs="宋体"/>
                <w:sz w:val="20"/>
                <w:szCs w:val="20"/>
              </w:rPr>
              <w:t>☐</w:t>
            </w:r>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07FC6E57">
            <w:pPr>
              <w:pStyle w:val="12"/>
              <w:spacing w:before="8"/>
              <w:rPr>
                <w:rFonts w:ascii="宋体" w:hAnsi="宋体" w:eastAsia="宋体" w:cs="宋体"/>
                <w:sz w:val="20"/>
                <w:szCs w:val="20"/>
              </w:rPr>
            </w:pPr>
          </w:p>
          <w:p w14:paraId="1ECA629D">
            <w:pPr>
              <w:pStyle w:val="12"/>
              <w:ind w:left="107"/>
              <w:rPr>
                <w:rFonts w:ascii="宋体" w:hAnsi="宋体" w:eastAsia="宋体" w:cs="宋体"/>
                <w:sz w:val="20"/>
                <w:szCs w:val="20"/>
              </w:rPr>
            </w:pPr>
            <w:r>
              <w:rPr>
                <w:rFonts w:hint="eastAsia" w:ascii="MS Gothic" w:hAnsi="MS Gothic" w:eastAsia="MS Gothic" w:cs="宋体"/>
                <w:sz w:val="20"/>
                <w:szCs w:val="20"/>
              </w:rPr>
              <w:t>☐</w:t>
            </w:r>
            <w:r>
              <w:rPr>
                <w:rFonts w:hint="eastAsia" w:ascii="宋体" w:hAnsi="宋体" w:eastAsia="宋体" w:cs="宋体"/>
                <w:sz w:val="20"/>
                <w:szCs w:val="20"/>
              </w:rPr>
              <w:t>现场参观</w:t>
            </w:r>
          </w:p>
          <w:p w14:paraId="1E542A2F">
            <w:pPr>
              <w:pStyle w:val="12"/>
              <w:spacing w:before="11"/>
              <w:rPr>
                <w:rFonts w:ascii="宋体" w:hAnsi="宋体" w:eastAsia="宋体" w:cs="宋体"/>
                <w:sz w:val="20"/>
                <w:szCs w:val="20"/>
              </w:rPr>
            </w:pPr>
          </w:p>
          <w:p w14:paraId="447F9C58">
            <w:pPr>
              <w:pStyle w:val="12"/>
              <w:ind w:left="107"/>
              <w:rPr>
                <w:rFonts w:ascii="宋体" w:hAnsi="宋体" w:eastAsia="宋体" w:cs="宋体"/>
                <w:sz w:val="20"/>
                <w:szCs w:val="20"/>
              </w:rPr>
            </w:pPr>
            <w:r>
              <w:rPr>
                <w:rFonts w:hint="eastAsia" w:ascii="MS Gothic" w:hAnsi="MS Gothic" w:eastAsia="MS Gothic" w:cs="宋体"/>
                <w:sz w:val="20"/>
                <w:szCs w:val="20"/>
              </w:rPr>
              <w:t>☐</w:t>
            </w:r>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07112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680A4035">
            <w:pPr>
              <w:pStyle w:val="12"/>
              <w:spacing w:line="560" w:lineRule="exact"/>
              <w:ind w:left="107" w:right="96"/>
              <w:rPr>
                <w:rFonts w:ascii="宋体" w:hAnsi="宋体" w:eastAsia="宋体" w:cs="宋体"/>
                <w:b/>
                <w:bCs/>
                <w:sz w:val="20"/>
                <w:szCs w:val="20"/>
              </w:rPr>
            </w:pPr>
            <w:r>
              <w:rPr>
                <w:rFonts w:hint="eastAsia" w:ascii="宋体" w:hAnsi="宋体" w:eastAsia="宋体" w:cs="宋体"/>
                <w:b/>
                <w:bCs/>
                <w:sz w:val="20"/>
                <w:szCs w:val="20"/>
              </w:rPr>
              <w:t>参与单位名称及人员姓名</w:t>
            </w:r>
          </w:p>
        </w:tc>
        <w:tc>
          <w:tcPr>
            <w:tcW w:w="5945" w:type="dxa"/>
            <w:vAlign w:val="center"/>
          </w:tcPr>
          <w:p w14:paraId="421A1A63">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 xml:space="preserve"> </w:t>
            </w:r>
            <w:r>
              <w:rPr>
                <w:rFonts w:hint="eastAsia" w:ascii="宋体" w:hAnsi="宋体" w:eastAsia="宋体" w:cs="宋体"/>
                <w:sz w:val="20"/>
                <w:szCs w:val="20"/>
              </w:rPr>
              <w:t>线上参与公司2025年</w:t>
            </w:r>
            <w:r>
              <w:rPr>
                <w:rFonts w:hint="eastAsia" w:ascii="宋体" w:hAnsi="宋体" w:eastAsia="宋体" w:cs="宋体"/>
                <w:sz w:val="20"/>
                <w:szCs w:val="20"/>
                <w:lang w:val="en-US" w:eastAsia="zh-CN"/>
              </w:rPr>
              <w:t>第三季度</w:t>
            </w:r>
            <w:r>
              <w:rPr>
                <w:rFonts w:hint="eastAsia" w:ascii="宋体" w:hAnsi="宋体" w:eastAsia="宋体" w:cs="宋体"/>
                <w:sz w:val="20"/>
                <w:szCs w:val="20"/>
              </w:rPr>
              <w:t>业绩说明会的全体投资者</w:t>
            </w:r>
          </w:p>
        </w:tc>
      </w:tr>
      <w:tr w14:paraId="40E74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jc w:val="center"/>
        </w:trPr>
        <w:tc>
          <w:tcPr>
            <w:tcW w:w="2580" w:type="dxa"/>
            <w:vAlign w:val="center"/>
          </w:tcPr>
          <w:p w14:paraId="0FC36727">
            <w:pPr>
              <w:pStyle w:val="12"/>
              <w:ind w:left="107"/>
              <w:rPr>
                <w:rFonts w:ascii="宋体" w:hAnsi="宋体" w:eastAsia="宋体" w:cs="宋体"/>
                <w:b/>
                <w:bCs/>
                <w:sz w:val="20"/>
                <w:szCs w:val="20"/>
              </w:rPr>
            </w:pPr>
            <w:r>
              <w:rPr>
                <w:rFonts w:hint="eastAsia" w:ascii="宋体" w:hAnsi="宋体" w:eastAsia="宋体" w:cs="宋体"/>
                <w:b/>
                <w:bCs/>
                <w:sz w:val="20"/>
                <w:szCs w:val="20"/>
              </w:rPr>
              <w:t>时间</w:t>
            </w:r>
          </w:p>
        </w:tc>
        <w:tc>
          <w:tcPr>
            <w:tcW w:w="5945" w:type="dxa"/>
            <w:vAlign w:val="center"/>
          </w:tcPr>
          <w:p w14:paraId="05C1D962">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宋体" w:hAnsi="宋体" w:eastAsia="宋体" w:cs="宋体"/>
                <w:sz w:val="20"/>
                <w:szCs w:val="20"/>
              </w:rPr>
              <w:t>2025年11月26日 15:00-16:00</w:t>
            </w:r>
          </w:p>
        </w:tc>
      </w:tr>
      <w:tr w14:paraId="0D2CF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1B4CD230">
            <w:pPr>
              <w:pStyle w:val="12"/>
              <w:ind w:left="107"/>
              <w:rPr>
                <w:rFonts w:ascii="宋体" w:hAnsi="宋体" w:eastAsia="宋体" w:cs="宋体"/>
                <w:b/>
                <w:bCs/>
                <w:sz w:val="20"/>
                <w:szCs w:val="20"/>
              </w:rPr>
            </w:pPr>
            <w:r>
              <w:rPr>
                <w:rFonts w:hint="eastAsia" w:ascii="宋体" w:hAnsi="宋体" w:eastAsia="宋体" w:cs="宋体"/>
                <w:b/>
                <w:bCs/>
                <w:sz w:val="20"/>
                <w:szCs w:val="20"/>
              </w:rPr>
              <w:t>地点</w:t>
            </w:r>
          </w:p>
        </w:tc>
        <w:tc>
          <w:tcPr>
            <w:tcW w:w="5945" w:type="dxa"/>
            <w:vAlign w:val="center"/>
          </w:tcPr>
          <w:p w14:paraId="0C806C5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价值在线（https://www.ir-online.cn/）网络互动</w:t>
            </w:r>
          </w:p>
        </w:tc>
      </w:tr>
      <w:tr w14:paraId="4A75B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7C13F45">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17475033">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总经理 廖鹏</w:t>
            </w:r>
            <w:r>
              <w:rPr>
                <w:rFonts w:ascii="宋体" w:hAnsi="宋体" w:eastAsia="宋体" w:cs="宋体"/>
                <w:sz w:val="20"/>
                <w:szCs w:val="20"/>
              </w:rPr>
              <w:br w:type="textWrapping"/>
            </w:r>
            <w:r>
              <w:rPr>
                <w:rFonts w:ascii="宋体" w:hAnsi="宋体" w:eastAsia="宋体" w:cs="宋体"/>
                <w:sz w:val="20"/>
                <w:szCs w:val="20"/>
              </w:rPr>
              <w:t>独立董事 李军</w:t>
            </w:r>
            <w:r>
              <w:rPr>
                <w:rFonts w:ascii="宋体" w:hAnsi="宋体" w:eastAsia="宋体" w:cs="宋体"/>
                <w:sz w:val="20"/>
                <w:szCs w:val="20"/>
              </w:rPr>
              <w:br w:type="textWrapping"/>
            </w:r>
            <w:r>
              <w:rPr>
                <w:rFonts w:ascii="宋体" w:hAnsi="宋体" w:eastAsia="宋体" w:cs="宋体"/>
                <w:sz w:val="20"/>
                <w:szCs w:val="20"/>
              </w:rPr>
              <w:t>财务总监、副总经理 胡静</w:t>
            </w:r>
            <w:r>
              <w:rPr>
                <w:rFonts w:ascii="宋体" w:hAnsi="宋体" w:eastAsia="宋体" w:cs="宋体"/>
                <w:sz w:val="20"/>
                <w:szCs w:val="20"/>
              </w:rPr>
              <w:br w:type="textWrapping"/>
            </w:r>
            <w:r>
              <w:rPr>
                <w:rFonts w:ascii="宋体" w:hAnsi="宋体" w:eastAsia="宋体" w:cs="宋体"/>
                <w:sz w:val="20"/>
                <w:szCs w:val="20"/>
              </w:rPr>
              <w:t>董事会秘书 肖勇</w:t>
            </w:r>
          </w:p>
        </w:tc>
      </w:tr>
      <w:tr w14:paraId="7ECF0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2A9E78FF">
            <w:pPr>
              <w:pStyle w:val="12"/>
              <w:rPr>
                <w:rFonts w:ascii="宋体" w:hAnsi="宋体" w:eastAsia="宋体" w:cs="宋体"/>
                <w:b/>
                <w:bCs/>
                <w:sz w:val="20"/>
                <w:szCs w:val="20"/>
              </w:rPr>
            </w:pPr>
          </w:p>
          <w:p w14:paraId="298C9652">
            <w:pPr>
              <w:pStyle w:val="12"/>
              <w:rPr>
                <w:rFonts w:ascii="宋体" w:hAnsi="宋体" w:eastAsia="宋体" w:cs="宋体"/>
                <w:b/>
                <w:bCs/>
                <w:sz w:val="20"/>
                <w:szCs w:val="20"/>
              </w:rPr>
            </w:pPr>
          </w:p>
          <w:p w14:paraId="3F7D65A2">
            <w:pPr>
              <w:pStyle w:val="12"/>
              <w:spacing w:before="5"/>
              <w:rPr>
                <w:rFonts w:ascii="宋体" w:hAnsi="宋体" w:eastAsia="宋体" w:cs="宋体"/>
                <w:b/>
                <w:bCs/>
                <w:sz w:val="20"/>
                <w:szCs w:val="20"/>
              </w:rPr>
            </w:pPr>
          </w:p>
          <w:p w14:paraId="3E3E9864">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7A1213BE">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1.公司是否开始大力开发，以色列，巴勒斯坦，乌克兰，俄罗斯等，</w:t>
            </w:r>
            <w:r>
              <w:rPr>
                <w:rFonts w:ascii="宋体" w:hAnsi="宋体" w:eastAsia="宋体" w:cs="宋体"/>
                <w:b/>
                <w:sz w:val="20"/>
                <w:highlight w:val="none"/>
              </w:rPr>
              <w:t>国际市场</w:t>
            </w:r>
            <w:r>
              <w:rPr>
                <w:rFonts w:ascii="宋体" w:hAnsi="宋体" w:eastAsia="宋体" w:cs="宋体"/>
                <w:b/>
                <w:sz w:val="20"/>
                <w:highlight w:val="none"/>
              </w:rPr>
              <w:br w:type="textWrapping"/>
            </w:r>
            <w:r>
              <w:rPr>
                <w:rFonts w:ascii="宋体" w:hAnsi="宋体" w:eastAsia="宋体" w:cs="宋体"/>
                <w:b w:val="0"/>
                <w:sz w:val="20"/>
                <w:highlight w:val="none"/>
              </w:rPr>
              <w:t xml:space="preserve">    答:投资者您好，公司已在开展海外市场工作，感谢您的关注。</w:t>
            </w:r>
            <w:r>
              <w:rPr>
                <w:rFonts w:ascii="宋体" w:hAnsi="宋体" w:eastAsia="宋体" w:cs="宋体"/>
                <w:b w:val="0"/>
                <w:sz w:val="20"/>
              </w:rPr>
              <w:br w:type="textWrapping"/>
            </w:r>
            <w:r>
              <w:rPr>
                <w:rFonts w:ascii="宋体" w:hAnsi="宋体" w:eastAsia="宋体" w:cs="宋体"/>
                <w:b/>
                <w:sz w:val="20"/>
              </w:rPr>
              <w:t xml:space="preserve">    2.2024年2月，新钢股份成功突破0.08毫米规格的研发瓶颈，实现了从0.08毫米到0.2毫米全系列超薄无取向电工钢带的批量稳定供应，应用于新能源汽车、无人机、机器人和高端家电等。2025年11月，新钢主导编制《新能源汽车及无人机用冷轧超薄无取向电工钢带（片）》团体标准通过审批。该团体标准证明新钢在超薄无取向电工钢领域技术突破，完成了从“技术追随者”到“标准制定者”的华丽转身。请问：该团体标准对公司将来营业利润和竞争力有何积极影响呢？</w:t>
            </w:r>
            <w:r>
              <w:rPr>
                <w:rFonts w:ascii="宋体" w:hAnsi="宋体" w:eastAsia="宋体" w:cs="宋体"/>
                <w:b/>
                <w:sz w:val="20"/>
              </w:rPr>
              <w:br w:type="textWrapping"/>
            </w:r>
            <w:r>
              <w:rPr>
                <w:rFonts w:ascii="宋体" w:hAnsi="宋体" w:eastAsia="宋体" w:cs="宋体"/>
                <w:b w:val="0"/>
                <w:sz w:val="20"/>
              </w:rPr>
              <w:t xml:space="preserve">    答:投资者您好，该标准精准对接新能源汽车、无人机等高增长领域，有助于快速开拓新兴市场，培育强劲的新利润增长点，也可提升品牌公信力，为公司高质量发展奠定基础，感谢您的关注。</w:t>
            </w:r>
            <w:r>
              <w:rPr>
                <w:rFonts w:ascii="宋体" w:hAnsi="宋体" w:eastAsia="宋体" w:cs="宋体"/>
                <w:b w:val="0"/>
                <w:sz w:val="20"/>
              </w:rPr>
              <w:br w:type="textWrapping"/>
            </w:r>
            <w:r>
              <w:rPr>
                <w:rFonts w:ascii="宋体" w:hAnsi="宋体" w:eastAsia="宋体" w:cs="宋体"/>
                <w:b/>
                <w:sz w:val="20"/>
              </w:rPr>
              <w:t xml:space="preserve">    3.2025年9月20日与2020年相比，新钢公司通过投资技改升级后吨钢二氧化硫排放量减少74.4%、吨钢氮氧化物排放量减少74.2%、吨钢颗粒物排放量减少72.0%；新钢通过中国钢铁工业协会和生态环境部审核，完成全流程超低排放评估监测公示，成为江西省首家、目前唯一一家进入全流程超低排放公示清单的钢铁企业。请问：新钢股份生产超低排放减排社会经济效益体现在哪些方面？新钢股份通过技改完成超低排放吨钢成本直接降低多少元呢？新钢股份在钢铁企业中因超低排放相对竞争优势在哪些呢？</w:t>
            </w:r>
            <w:r>
              <w:rPr>
                <w:rFonts w:ascii="宋体" w:hAnsi="宋体" w:eastAsia="宋体" w:cs="宋体"/>
                <w:b/>
                <w:sz w:val="20"/>
              </w:rPr>
              <w:br w:type="textWrapping"/>
            </w:r>
            <w:r>
              <w:rPr>
                <w:rFonts w:ascii="宋体" w:hAnsi="宋体" w:eastAsia="宋体" w:cs="宋体"/>
                <w:b w:val="0"/>
                <w:sz w:val="20"/>
              </w:rPr>
              <w:t xml:space="preserve">    答:尊敬的投资者您好，新钢股份在超低排放改造方面取得了显著成效，其社会经济效益主要体现在以下几个方面：一是周边居民满意度提高，可见蓝天白天，员工作业环境大大改善；二是通过超低排放改造，新钢股份实现了二氧化硫等排放物排放量的大幅度降低，有助于改善区域环境质量，减少空气污染，对提升企业环境责任和公众形象具有积极影响；三是超低排放的实现提升了新钢股份产品的绿色竞争力，低碳低污染产品有助于开拓更广阔的市场和客户群体；四是通过技术改造，在节能减排的同时，有效提升资源利用效率，一定程度上实现成本的优化。感谢您的关注！</w:t>
            </w:r>
            <w:r>
              <w:rPr>
                <w:rFonts w:ascii="宋体" w:hAnsi="宋体" w:eastAsia="宋体" w:cs="宋体"/>
                <w:b w:val="0"/>
                <w:sz w:val="20"/>
              </w:rPr>
              <w:br w:type="textWrapping"/>
            </w:r>
            <w:r>
              <w:rPr>
                <w:rFonts w:ascii="宋体" w:hAnsi="宋体" w:eastAsia="宋体" w:cs="宋体"/>
                <w:b/>
                <w:sz w:val="20"/>
              </w:rPr>
              <w:t xml:space="preserve">    4.假定2025年折旧和摊销提升到13亿，财务费用维持去年0.56亿的水平，截止三季度，公司的EOE约6.62％，在可比行业公司里面位于25-50分位之间，距离股票激励业绩考核的75分位有较大差距，请问今年完成该考核的可能性有多少？在可比的20家公司里，公司（折旧+摊销+财务费用）/平均股东权益约为5％，行业普遍在10％以上，河钢、柳钢和首钢在15％以上，公司要达到行业前75分位，利润总额/平均股东权益要比可比公司高出5％以上才可能完成该考核目标，当前公司营收为股东权益的1.6倍，换言之，未来公司毛利要比行业多提升3％以上，才可能完成这个目标，请问是否有这个信心？公司是否考虑通过特别分红，通过降低股东权益来提高（折旧+摊销+财务费用）/平均股东权益的比例，为后期完成业绩考核提供较为有利的条件？</w:t>
            </w:r>
            <w:r>
              <w:rPr>
                <w:rFonts w:ascii="宋体" w:hAnsi="宋体" w:eastAsia="宋体" w:cs="宋体"/>
                <w:b/>
                <w:sz w:val="20"/>
              </w:rPr>
              <w:br w:type="textWrapping"/>
            </w:r>
            <w:r>
              <w:rPr>
                <w:rFonts w:ascii="宋体" w:hAnsi="宋体" w:eastAsia="宋体" w:cs="宋体"/>
                <w:b w:val="0"/>
                <w:sz w:val="20"/>
              </w:rPr>
              <w:t xml:space="preserve">    答:尊敬的投资者，您好！针对您提出的相关建议，公司将根据市场环境、经营状况和战略规划审慎考虑。公司始终致力于提升经营业绩，加强内部管理，优化成本控制，提高运营效率，持续努力实现股东利益的最大化，感谢您的关注。</w:t>
            </w:r>
            <w:r>
              <w:rPr>
                <w:rFonts w:ascii="宋体" w:hAnsi="宋体" w:eastAsia="宋体" w:cs="宋体"/>
                <w:b w:val="0"/>
                <w:sz w:val="20"/>
              </w:rPr>
              <w:br w:type="textWrapping"/>
            </w:r>
            <w:r>
              <w:rPr>
                <w:rFonts w:ascii="宋体" w:hAnsi="宋体" w:eastAsia="宋体" w:cs="宋体"/>
                <w:b/>
                <w:sz w:val="20"/>
              </w:rPr>
              <w:t xml:space="preserve">    5.公司近几年研发投入有所下降，但仍然保持在17-18亿的水平，这部分全部都费用化了，但计入研发费用差不多为1/3，其他部分是计入哪里？根据税法，研发费用可以加计扣除减少所得税缴纳，公司的这种会计处理，是否会导致多缴纳了所得税？</w:t>
            </w:r>
            <w:r>
              <w:rPr>
                <w:rFonts w:ascii="宋体" w:hAnsi="宋体" w:eastAsia="宋体" w:cs="宋体"/>
                <w:b/>
                <w:sz w:val="20"/>
              </w:rPr>
              <w:br w:type="textWrapping"/>
            </w:r>
            <w:r>
              <w:rPr>
                <w:rFonts w:ascii="宋体" w:hAnsi="宋体" w:eastAsia="宋体" w:cs="宋体"/>
                <w:b w:val="0"/>
                <w:sz w:val="20"/>
              </w:rPr>
              <w:t xml:space="preserve">    答:您好，公司全部研发投入与利润表中研发费用报表项目数据存在差异的原因，是因公司在研发过程中形成了产品并对外销售，在会计账务处理时，需遵循《关于印发&lt;企业会计准则解释第15号&gt;的通知》（财会〔2021〕35号）的规定，将已形成产品的相应研发投入成本从研发费用科目中转出，最终计入主营业务成本报表项目。
公司在申报企业所得税时，按照《国家税务总局关于研发费用税前加计扣除归集范围有关问题的公告》 (国家税务总局公告2017年第40号)规定，剔除企业研发活动直接形成产品或作为组成部分形成的产品对外销售所对应研发费用中相应材料费用等不得加计扣除的部分后的金额，计算享受加计扣除优惠政策的金额。公司的会计账务处理合法合规，不影响公司应纳所得税金额。感谢您的关注！</w:t>
            </w:r>
            <w:r>
              <w:rPr>
                <w:rFonts w:ascii="宋体" w:hAnsi="宋体" w:eastAsia="宋体" w:cs="宋体"/>
                <w:b w:val="0"/>
                <w:sz w:val="20"/>
              </w:rPr>
              <w:br w:type="textWrapping"/>
            </w:r>
            <w:r>
              <w:rPr>
                <w:rFonts w:ascii="宋体" w:hAnsi="宋体" w:eastAsia="宋体" w:cs="宋体"/>
                <w:b/>
                <w:sz w:val="20"/>
              </w:rPr>
              <w:t xml:space="preserve">    6.作为公司管理层，你们是否发现公司股价走势相较于其他钢铁股，表现很差？不是一点差，是非常差。</w:t>
            </w:r>
            <w:r>
              <w:rPr>
                <w:rFonts w:ascii="宋体" w:hAnsi="宋体" w:eastAsia="宋体" w:cs="宋体"/>
                <w:b/>
                <w:sz w:val="20"/>
              </w:rPr>
              <w:br w:type="textWrapping"/>
            </w:r>
            <w:r>
              <w:rPr>
                <w:rFonts w:ascii="宋体" w:hAnsi="宋体" w:eastAsia="宋体" w:cs="宋体"/>
                <w:b w:val="0"/>
                <w:sz w:val="20"/>
              </w:rPr>
              <w:t xml:space="preserve">    答:感谢您对公司的关注与支持。我们将持续努力，不断提升公司业绩，优化公司治理，加强与投资者的互动，为股东创造更大的价值。再次感谢您的监督与支持！</w:t>
            </w:r>
            <w:r>
              <w:rPr>
                <w:rFonts w:ascii="宋体" w:hAnsi="宋体" w:eastAsia="宋体" w:cs="宋体"/>
                <w:b w:val="0"/>
                <w:sz w:val="20"/>
              </w:rPr>
              <w:br w:type="textWrapping"/>
            </w:r>
            <w:r>
              <w:rPr>
                <w:rFonts w:ascii="宋体" w:hAnsi="宋体" w:eastAsia="宋体" w:cs="宋体"/>
                <w:b/>
                <w:sz w:val="20"/>
              </w:rPr>
              <w:t xml:space="preserve">    7.2024年12月13日，新钢股份跌1.52%报收3.9元/股、国务院国资委印发国资发产权规〔2024〕100号《关于改进和加强中央企业控股上市公司市值管理工作的若干意见》国九条，七、完善增强投资者信心的制度安排：中央企业和控股上市公司要将股票回购增持作为一项长期性基础性工作，建立常态化股票回购增持机制。高度重视控股上市公司破净问题，将解决长期破净问题纳入年度重点工作，指导长期破净上市公司制定披露估值提升计划并监督执行。
2025年10月27日，中国证监会公布《关于加强资本市场中小投资者保护的若干意见》其中提出，推动上市公司增强投资者回报，大力倡导上市公司采用“注销式回购”等方式回报投资者。
新钢股份从2025年11月13日股价4.36元/股下跌12%至11月26日报收3.84元/股，市净率0.46，总市值122亿元，而未分配利润154.6亿元，国有资产被严重低估。请问：国务院和证监会发文要求长期破净上市公司加强市值管理回购注销股份，激励对象中是否有是否有未履行或者未正确履行职责属于执迷不悟对抗政策指导意见呢？激励对象中是否有应为屡拒投资者加强市值管理回购注销5～10亿建议而担责呢？</w:t>
            </w:r>
            <w:r>
              <w:rPr>
                <w:rFonts w:ascii="宋体" w:hAnsi="宋体" w:eastAsia="宋体" w:cs="宋体"/>
                <w:b/>
                <w:sz w:val="20"/>
              </w:rPr>
              <w:br w:type="textWrapping"/>
            </w:r>
            <w:r>
              <w:rPr>
                <w:rFonts w:ascii="宋体" w:hAnsi="宋体" w:eastAsia="宋体" w:cs="宋体"/>
                <w:b w:val="0"/>
                <w:sz w:val="20"/>
              </w:rPr>
              <w:t xml:space="preserve">    答:投资者您好，公司暂时没有回购计划，公司始终致力于提升经营业绩，加强内部管理，优化成本控制，提高运营效率，后续若有回购计划，公司将履行决策程序并及时进行披露，感谢您的关注。</w:t>
            </w:r>
            <w:r>
              <w:rPr>
                <w:rFonts w:ascii="宋体" w:hAnsi="宋体" w:eastAsia="宋体" w:cs="宋体"/>
                <w:b w:val="0"/>
                <w:sz w:val="20"/>
              </w:rPr>
              <w:br w:type="textWrapping"/>
            </w:r>
            <w:r>
              <w:rPr>
                <w:rFonts w:ascii="宋体" w:hAnsi="宋体" w:eastAsia="宋体" w:cs="宋体"/>
                <w:b/>
                <w:sz w:val="20"/>
              </w:rPr>
              <w:t xml:space="preserve">   </w:t>
            </w:r>
            <w:r>
              <w:rPr>
                <w:rFonts w:ascii="宋体" w:hAnsi="宋体" w:eastAsia="宋体" w:cs="宋体"/>
                <w:b/>
                <w:sz w:val="20"/>
                <w:highlight w:val="none"/>
              </w:rPr>
              <w:t xml:space="preserve"> 8.公司2025年10月是盈利还是亏损，盈利的话，盈利有多少？</w:t>
            </w:r>
            <w:r>
              <w:rPr>
                <w:rFonts w:ascii="宋体" w:hAnsi="宋体" w:eastAsia="宋体" w:cs="宋体"/>
                <w:b/>
                <w:sz w:val="20"/>
                <w:highlight w:val="none"/>
              </w:rPr>
              <w:br w:type="textWrapping"/>
            </w:r>
            <w:r>
              <w:rPr>
                <w:rFonts w:ascii="宋体" w:hAnsi="宋体" w:eastAsia="宋体" w:cs="宋体"/>
                <w:b w:val="0"/>
                <w:sz w:val="20"/>
                <w:highlight w:val="none"/>
              </w:rPr>
              <w:t xml:space="preserve">    答:尊敬的投资者，您好！公司10月份及四季度业绩情况，敬请关注公司后续披露的2025年年度报告等信息，感谢您的关注。</w:t>
            </w:r>
            <w:r>
              <w:rPr>
                <w:rFonts w:ascii="宋体" w:hAnsi="宋体" w:eastAsia="宋体" w:cs="宋体"/>
                <w:b w:val="0"/>
                <w:sz w:val="20"/>
                <w:highlight w:val="none"/>
              </w:rPr>
              <w:br w:type="textWrapping"/>
            </w:r>
            <w:r>
              <w:rPr>
                <w:rFonts w:ascii="宋体" w:hAnsi="宋体" w:eastAsia="宋体" w:cs="宋体"/>
                <w:b/>
                <w:sz w:val="20"/>
              </w:rPr>
              <w:t xml:space="preserve">    9.请问公司怎么做的市值管理？0.46的市净率这正常吗？公司为什么不大量回购股票，大量的现金用来干嘛吃利息吗！难道对自家的公司的发展都没有信心吗？我投资新钢的股份就是，看中公司的内在价值，结果分红也不不及预期，股价就像坐过山车一样，</w:t>
            </w:r>
            <w:r>
              <w:rPr>
                <w:rFonts w:ascii="宋体" w:hAnsi="宋体" w:eastAsia="宋体" w:cs="宋体"/>
                <w:b/>
                <w:sz w:val="20"/>
              </w:rPr>
              <w:br w:type="textWrapping"/>
            </w:r>
            <w:r>
              <w:rPr>
                <w:rFonts w:ascii="宋体" w:hAnsi="宋体" w:eastAsia="宋体" w:cs="宋体"/>
                <w:b w:val="0"/>
                <w:sz w:val="20"/>
              </w:rPr>
              <w:t xml:space="preserve">    答:尊敬的投资者，您好！新钢股份通过坚持稳健的现金分红政策方式提升投资者回报水平，同时公司控股股东通过实施增持股票计划支持公司市值管理。新钢股份近三年（2022-2024年度）现金分红总额分别为3.13亿元、4.72亿元、0.32亿元，近三年股利支付率为29.89%、94.80%，97.09%。近三年，公司归母净利润均值为5.26亿元，累计分红金额为8.16亿元，且近年来分红水平提升较为明显，整体分红水平处于行业前列，感谢您的建议和关注。</w:t>
            </w:r>
            <w:r>
              <w:rPr>
                <w:rFonts w:ascii="宋体" w:hAnsi="宋体" w:eastAsia="宋体" w:cs="宋体"/>
                <w:b w:val="0"/>
                <w:sz w:val="20"/>
              </w:rPr>
              <w:br w:type="textWrapping"/>
            </w:r>
            <w:r>
              <w:rPr>
                <w:rFonts w:ascii="宋体" w:hAnsi="宋体" w:eastAsia="宋体" w:cs="宋体"/>
                <w:b/>
                <w:sz w:val="20"/>
              </w:rPr>
              <w:t xml:space="preserve">    10.请董事会秘书肖勇回答：目前，在公司股价严重跑输行业及大盘指数的情况下，公司是否有考虑通过大额回购来提升估值？证监会鼓励公司通过回购注销来提升公司合理估值。
当下，二级市场流动性欠缺，新钢股价在缺乏买盘的情况下，已经被机构通过量化恶意控盘砸盘！</w:t>
            </w:r>
            <w:r>
              <w:rPr>
                <w:rFonts w:ascii="宋体" w:hAnsi="宋体" w:eastAsia="宋体" w:cs="宋体"/>
                <w:b/>
                <w:sz w:val="20"/>
              </w:rPr>
              <w:br w:type="textWrapping"/>
            </w:r>
            <w:r>
              <w:rPr>
                <w:rFonts w:ascii="宋体" w:hAnsi="宋体" w:eastAsia="宋体" w:cs="宋体"/>
                <w:b w:val="0"/>
                <w:sz w:val="20"/>
              </w:rPr>
              <w:t xml:space="preserve">    答:尊敬的投资者，您好！公司目前暂无股份回购计划，若后续有相关安排，将严格按照监管规定履行信息披露义务。感谢您的建议和关注。</w:t>
            </w:r>
            <w:r>
              <w:rPr>
                <w:rFonts w:ascii="宋体" w:hAnsi="宋体" w:eastAsia="宋体" w:cs="宋体"/>
                <w:b w:val="0"/>
                <w:sz w:val="20"/>
              </w:rPr>
              <w:br w:type="textWrapping"/>
            </w:r>
            <w:r>
              <w:rPr>
                <w:rFonts w:ascii="宋体" w:hAnsi="宋体" w:eastAsia="宋体" w:cs="宋体"/>
                <w:b/>
                <w:sz w:val="20"/>
              </w:rPr>
              <w:t xml:space="preserve">    11.请问公司大量的现金还有回购计划吗？我没记错的话上次银行贷款只能回购股票的钱还没用吧</w:t>
            </w:r>
            <w:r>
              <w:rPr>
                <w:rFonts w:ascii="宋体" w:hAnsi="宋体" w:eastAsia="宋体" w:cs="宋体"/>
                <w:b/>
                <w:sz w:val="20"/>
              </w:rPr>
              <w:br w:type="textWrapping"/>
            </w:r>
            <w:r>
              <w:rPr>
                <w:rFonts w:ascii="宋体" w:hAnsi="宋体" w:eastAsia="宋体" w:cs="宋体"/>
                <w:b w:val="0"/>
                <w:sz w:val="20"/>
              </w:rPr>
              <w:t xml:space="preserve">    答:投资者您好，公司暂无回购计划，如有相关计划，公司将及时进行披露，感谢您的关注。</w:t>
            </w:r>
          </w:p>
        </w:tc>
      </w:tr>
      <w:tr w14:paraId="06B42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9" w:hRule="atLeast"/>
          <w:jc w:val="center"/>
        </w:trPr>
        <w:tc>
          <w:tcPr>
            <w:tcW w:w="2580" w:type="dxa"/>
            <w:vAlign w:val="center"/>
          </w:tcPr>
          <w:p w14:paraId="34F44555">
            <w:pPr>
              <w:pStyle w:val="12"/>
              <w:spacing w:before="1"/>
              <w:ind w:left="107"/>
              <w:rPr>
                <w:rFonts w:hint="eastAsia" w:ascii="宋体" w:hAnsi="宋体" w:eastAsia="宋体" w:cs="宋体"/>
                <w:b/>
                <w:bCs/>
                <w:sz w:val="20"/>
                <w:szCs w:val="20"/>
              </w:rPr>
            </w:pPr>
            <w:r>
              <w:rPr>
                <w:rFonts w:hint="eastAsia" w:ascii="宋体" w:hAnsi="宋体" w:eastAsia="宋体" w:cs="宋体"/>
                <w:b/>
                <w:bCs/>
                <w:sz w:val="20"/>
                <w:szCs w:val="20"/>
              </w:rPr>
              <w:t>关于本次活动是否涉及应</w:t>
            </w:r>
          </w:p>
          <w:p w14:paraId="4C124400">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披露重大信息的说明</w:t>
            </w:r>
          </w:p>
        </w:tc>
        <w:tc>
          <w:tcPr>
            <w:tcW w:w="5945" w:type="dxa"/>
            <w:vAlign w:val="center"/>
          </w:tcPr>
          <w:p w14:paraId="27F5A74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ascii="宋体" w:hAnsi="宋体" w:eastAsia="宋体" w:cs="宋体"/>
                <w:sz w:val="20"/>
                <w:szCs w:val="20"/>
              </w:rPr>
              <w:t>本次活动不涉及未公开披露的重大信息。</w:t>
            </w:r>
          </w:p>
        </w:tc>
      </w:tr>
      <w:tr w14:paraId="20E20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B22262B">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23D699D0">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31F24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CA86F1A">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5427AEEB">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2025年11月26日</w:t>
            </w:r>
          </w:p>
        </w:tc>
      </w:tr>
    </w:tbl>
    <w:p w14:paraId="2F01179A">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0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29D6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3241</Words>
  <Characters>3480</Characters>
  <Paragraphs>47</Paragraphs>
  <TotalTime>1</TotalTime>
  <ScaleCrop>false</ScaleCrop>
  <LinksUpToDate>false</LinksUpToDate>
  <CharactersWithSpaces>3620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晏莉</cp:lastModifiedBy>
  <dcterms:modified xsi:type="dcterms:W3CDTF">2025-11-27T02:08:52Z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A8DDB4481C16406398C6D900E668E007_13</vt:lpwstr>
  </property>
  <property fmtid="{D5CDD505-2E9C-101B-9397-08002B2CF9AE}" pid="4" name="KSOTemplateDocerSaveRecord">
    <vt:lpwstr>eyJoZGlkIjoiMzQ2Yzc5MzAyZGMwOWQzZDVlMWJjNGE5NzI4NjI1N2EiLCJ1c2VySWQiOiIyOTA5NzYzMDAifQ==</vt:lpwstr>
  </property>
</Properties>
</file>