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4461D" w14:textId="77777777" w:rsidR="001D3AE8" w:rsidRPr="00DA57E8" w:rsidRDefault="001D3AE8" w:rsidP="001E1CDC">
      <w:pPr>
        <w:pStyle w:val="Default"/>
        <w:spacing w:afterLines="100" w:after="312"/>
        <w:rPr>
          <w:rFonts w:hAnsi="宋体"/>
        </w:rPr>
      </w:pPr>
      <w:r w:rsidRPr="00DA57E8">
        <w:rPr>
          <w:rFonts w:hAnsi="宋体" w:hint="eastAsia"/>
        </w:rPr>
        <w:t>证券简称：</w:t>
      </w:r>
      <w:proofErr w:type="gramStart"/>
      <w:r w:rsidR="00D17968" w:rsidRPr="00DA57E8">
        <w:rPr>
          <w:rFonts w:hAnsi="宋体" w:hint="eastAsia"/>
        </w:rPr>
        <w:t>莱绅</w:t>
      </w:r>
      <w:r w:rsidRPr="00DA57E8">
        <w:rPr>
          <w:rFonts w:hAnsi="宋体" w:hint="eastAsia"/>
        </w:rPr>
        <w:t>通</w:t>
      </w:r>
      <w:proofErr w:type="gramEnd"/>
      <w:r w:rsidRPr="00DA57E8">
        <w:rPr>
          <w:rFonts w:hAnsi="宋体" w:hint="eastAsia"/>
        </w:rPr>
        <w:t>灵</w:t>
      </w:r>
      <w:r w:rsidR="00A51F17" w:rsidRPr="00DA57E8">
        <w:rPr>
          <w:rFonts w:hAnsi="宋体" w:hint="eastAsia"/>
        </w:rPr>
        <w:t xml:space="preserve">                    </w:t>
      </w:r>
      <w:r w:rsidR="008E0743" w:rsidRPr="00DA57E8">
        <w:rPr>
          <w:rFonts w:hAnsi="宋体" w:hint="eastAsia"/>
        </w:rPr>
        <w:t xml:space="preserve">   </w:t>
      </w:r>
      <w:r w:rsidR="00A51F17" w:rsidRPr="00DA57E8">
        <w:rPr>
          <w:rFonts w:hAnsi="宋体" w:hint="eastAsia"/>
        </w:rPr>
        <w:t xml:space="preserve">          </w:t>
      </w:r>
      <w:r w:rsidRPr="00DA57E8">
        <w:rPr>
          <w:rFonts w:hAnsi="宋体" w:hint="eastAsia"/>
        </w:rPr>
        <w:t>证券代码：603900</w:t>
      </w:r>
    </w:p>
    <w:p w14:paraId="39928972" w14:textId="77777777" w:rsidR="001D3AE8" w:rsidRPr="00DA57E8" w:rsidRDefault="001D3AE8" w:rsidP="00397AD8">
      <w:pPr>
        <w:adjustRightInd w:val="0"/>
        <w:snapToGrid w:val="0"/>
        <w:spacing w:beforeLines="200" w:before="624" w:line="360" w:lineRule="auto"/>
        <w:jc w:val="center"/>
        <w:rPr>
          <w:rFonts w:ascii="宋体" w:hAnsi="宋体"/>
          <w:b/>
          <w:sz w:val="32"/>
          <w:szCs w:val="32"/>
        </w:rPr>
      </w:pPr>
      <w:proofErr w:type="gramStart"/>
      <w:r w:rsidRPr="00DA57E8">
        <w:rPr>
          <w:rFonts w:ascii="宋体" w:hAnsi="宋体" w:hint="eastAsia"/>
          <w:b/>
          <w:sz w:val="32"/>
          <w:szCs w:val="32"/>
        </w:rPr>
        <w:t>莱</w:t>
      </w:r>
      <w:proofErr w:type="gramEnd"/>
      <w:r w:rsidRPr="00DA57E8">
        <w:rPr>
          <w:rFonts w:ascii="宋体" w:hAnsi="宋体" w:hint="eastAsia"/>
          <w:b/>
          <w:sz w:val="32"/>
          <w:szCs w:val="32"/>
        </w:rPr>
        <w:t>绅通灵珠宝股份有限公司</w:t>
      </w:r>
    </w:p>
    <w:p w14:paraId="45AFBC1F" w14:textId="77777777" w:rsidR="001D3AE8" w:rsidRPr="00DA57E8" w:rsidRDefault="001D3AE8" w:rsidP="00397AD8">
      <w:pPr>
        <w:adjustRightInd w:val="0"/>
        <w:snapToGrid w:val="0"/>
        <w:spacing w:afterLines="100" w:after="312" w:line="360" w:lineRule="auto"/>
        <w:jc w:val="center"/>
        <w:rPr>
          <w:rFonts w:ascii="宋体" w:hAnsi="宋体"/>
          <w:b/>
          <w:sz w:val="32"/>
          <w:szCs w:val="32"/>
        </w:rPr>
      </w:pPr>
      <w:r w:rsidRPr="00DA57E8">
        <w:rPr>
          <w:rFonts w:ascii="宋体" w:hAnsi="宋体" w:hint="eastAsia"/>
          <w:b/>
          <w:sz w:val="32"/>
          <w:szCs w:val="32"/>
        </w:rPr>
        <w:t>投资者关系活动记录表</w:t>
      </w:r>
    </w:p>
    <w:tbl>
      <w:tblPr>
        <w:tblW w:w="8471" w:type="dxa"/>
        <w:jc w:val="center"/>
        <w:tblLayout w:type="fixed"/>
        <w:tblLook w:val="04A0" w:firstRow="1" w:lastRow="0" w:firstColumn="1" w:lastColumn="0" w:noHBand="0" w:noVBand="1"/>
      </w:tblPr>
      <w:tblGrid>
        <w:gridCol w:w="1383"/>
        <w:gridCol w:w="3544"/>
        <w:gridCol w:w="3544"/>
      </w:tblGrid>
      <w:tr w:rsidR="00A51F17" w:rsidRPr="00DA57E8" w14:paraId="2EE50B83" w14:textId="77777777" w:rsidTr="000301D7">
        <w:trPr>
          <w:trHeight w:val="510"/>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tcPr>
          <w:p w14:paraId="01D0C5B6" w14:textId="77777777" w:rsidR="00A51F17" w:rsidRPr="00DA57E8" w:rsidRDefault="00A51F17" w:rsidP="002E3D89">
            <w:pPr>
              <w:widowControl/>
              <w:jc w:val="center"/>
              <w:rPr>
                <w:rFonts w:ascii="宋体" w:hAnsi="宋体" w:cs="宋体"/>
                <w:b/>
                <w:color w:val="000000"/>
                <w:kern w:val="0"/>
                <w:sz w:val="22"/>
              </w:rPr>
            </w:pPr>
            <w:r w:rsidRPr="00DA57E8">
              <w:rPr>
                <w:rFonts w:ascii="宋体" w:hAnsi="宋体" w:cs="宋体" w:hint="eastAsia"/>
                <w:b/>
                <w:color w:val="000000"/>
                <w:kern w:val="0"/>
                <w:sz w:val="22"/>
              </w:rPr>
              <w:t>活动类别</w:t>
            </w:r>
          </w:p>
        </w:tc>
        <w:tc>
          <w:tcPr>
            <w:tcW w:w="3544" w:type="dxa"/>
            <w:tcBorders>
              <w:top w:val="single" w:sz="4" w:space="0" w:color="auto"/>
              <w:left w:val="nil"/>
              <w:bottom w:val="nil"/>
              <w:right w:val="nil"/>
            </w:tcBorders>
            <w:noWrap/>
            <w:vAlign w:val="center"/>
          </w:tcPr>
          <w:p w14:paraId="413D7F6E" w14:textId="77777777" w:rsidR="00A51F17" w:rsidRPr="00DA57E8" w:rsidRDefault="00BD09A9" w:rsidP="00A51F17">
            <w:pPr>
              <w:widowControl/>
              <w:rPr>
                <w:rFonts w:ascii="宋体" w:hAnsi="宋体" w:cs="宋体"/>
                <w:color w:val="000000"/>
                <w:kern w:val="0"/>
                <w:sz w:val="22"/>
              </w:rPr>
            </w:pPr>
            <w:bookmarkStart w:id="0" w:name="OLE_LINK1"/>
            <w:bookmarkStart w:id="1" w:name="OLE_LINK49"/>
            <w:r w:rsidRPr="00DA57E8">
              <w:rPr>
                <w:rFonts w:ascii="宋体" w:hAnsi="宋体" w:cs="宋体"/>
                <w:color w:val="000000"/>
                <w:kern w:val="0"/>
                <w:sz w:val="22"/>
              </w:rPr>
              <w:sym w:font="Wingdings 2" w:char="F052"/>
            </w:r>
            <w:bookmarkEnd w:id="0"/>
            <w:bookmarkEnd w:id="1"/>
            <w:r w:rsidR="00A51F17" w:rsidRPr="00DA57E8">
              <w:rPr>
                <w:rFonts w:ascii="宋体" w:hAnsi="宋体" w:cs="宋体" w:hint="eastAsia"/>
                <w:color w:val="000000"/>
                <w:kern w:val="0"/>
                <w:sz w:val="22"/>
              </w:rPr>
              <w:t>特定对象调研</w:t>
            </w:r>
          </w:p>
        </w:tc>
        <w:tc>
          <w:tcPr>
            <w:tcW w:w="3544" w:type="dxa"/>
            <w:tcBorders>
              <w:top w:val="single" w:sz="4" w:space="0" w:color="auto"/>
              <w:left w:val="nil"/>
              <w:bottom w:val="nil"/>
              <w:right w:val="single" w:sz="4" w:space="0" w:color="auto"/>
            </w:tcBorders>
            <w:noWrap/>
            <w:vAlign w:val="center"/>
          </w:tcPr>
          <w:p w14:paraId="6F4E6E29" w14:textId="77777777" w:rsidR="00A51F17" w:rsidRPr="00DA57E8" w:rsidRDefault="00A47BCD" w:rsidP="00A51F17">
            <w:pPr>
              <w:widowControl/>
              <w:rPr>
                <w:rFonts w:ascii="宋体" w:hAnsi="宋体" w:cs="宋体"/>
                <w:color w:val="000000"/>
                <w:kern w:val="0"/>
                <w:sz w:val="22"/>
              </w:rPr>
            </w:pPr>
            <w:r w:rsidRPr="00DA57E8">
              <w:rPr>
                <w:rFonts w:ascii="宋体" w:hAnsi="宋体" w:cs="宋体"/>
                <w:color w:val="000000"/>
                <w:kern w:val="0"/>
                <w:sz w:val="22"/>
              </w:rPr>
              <w:sym w:font="Wingdings 2" w:char="F052"/>
            </w:r>
            <w:r w:rsidR="00A51F17" w:rsidRPr="00DA57E8">
              <w:rPr>
                <w:rFonts w:ascii="宋体" w:hAnsi="宋体" w:cs="宋体" w:hint="eastAsia"/>
                <w:color w:val="000000"/>
                <w:kern w:val="0"/>
                <w:sz w:val="22"/>
              </w:rPr>
              <w:t>分析</w:t>
            </w:r>
            <w:proofErr w:type="gramStart"/>
            <w:r w:rsidR="00A51F17" w:rsidRPr="00DA57E8">
              <w:rPr>
                <w:rFonts w:ascii="宋体" w:hAnsi="宋体" w:cs="宋体" w:hint="eastAsia"/>
                <w:color w:val="000000"/>
                <w:kern w:val="0"/>
                <w:sz w:val="22"/>
              </w:rPr>
              <w:t>师会议</w:t>
            </w:r>
            <w:proofErr w:type="gramEnd"/>
          </w:p>
        </w:tc>
      </w:tr>
      <w:tr w:rsidR="00A51F17" w:rsidRPr="00DA57E8" w14:paraId="7F83D08E" w14:textId="77777777" w:rsidTr="000301D7">
        <w:trPr>
          <w:trHeight w:val="510"/>
          <w:jc w:val="center"/>
        </w:trPr>
        <w:tc>
          <w:tcPr>
            <w:tcW w:w="1383" w:type="dxa"/>
            <w:vMerge/>
            <w:tcBorders>
              <w:top w:val="single" w:sz="4" w:space="0" w:color="auto"/>
              <w:left w:val="single" w:sz="4" w:space="0" w:color="auto"/>
              <w:bottom w:val="single" w:sz="4" w:space="0" w:color="auto"/>
              <w:right w:val="single" w:sz="4" w:space="0" w:color="auto"/>
            </w:tcBorders>
            <w:vAlign w:val="center"/>
          </w:tcPr>
          <w:p w14:paraId="23F77ABB" w14:textId="77777777" w:rsidR="00A51F17" w:rsidRPr="00DA57E8" w:rsidRDefault="00A51F17" w:rsidP="002E3D89">
            <w:pPr>
              <w:widowControl/>
              <w:jc w:val="center"/>
              <w:rPr>
                <w:rFonts w:ascii="宋体" w:hAnsi="宋体" w:cs="宋体"/>
                <w:b/>
                <w:color w:val="000000"/>
                <w:kern w:val="0"/>
                <w:sz w:val="22"/>
              </w:rPr>
            </w:pPr>
          </w:p>
        </w:tc>
        <w:tc>
          <w:tcPr>
            <w:tcW w:w="3544" w:type="dxa"/>
            <w:tcBorders>
              <w:top w:val="nil"/>
              <w:left w:val="nil"/>
              <w:bottom w:val="nil"/>
              <w:right w:val="nil"/>
            </w:tcBorders>
            <w:noWrap/>
            <w:vAlign w:val="center"/>
          </w:tcPr>
          <w:p w14:paraId="682C1F1D" w14:textId="77777777" w:rsidR="00A51F17" w:rsidRPr="00DA57E8" w:rsidRDefault="00A51F17" w:rsidP="00A51F17">
            <w:pPr>
              <w:widowControl/>
              <w:rPr>
                <w:rFonts w:ascii="宋体" w:hAnsi="宋体" w:cs="宋体"/>
                <w:color w:val="000000"/>
                <w:kern w:val="0"/>
                <w:sz w:val="22"/>
              </w:rPr>
            </w:pPr>
            <w:bookmarkStart w:id="2" w:name="OLE_LINK13"/>
            <w:r w:rsidRPr="00DA57E8">
              <w:rPr>
                <w:rFonts w:ascii="宋体" w:hAnsi="宋体" w:cs="宋体" w:hint="eastAsia"/>
                <w:color w:val="000000"/>
                <w:kern w:val="0"/>
                <w:sz w:val="22"/>
              </w:rPr>
              <w:t>□</w:t>
            </w:r>
            <w:bookmarkEnd w:id="2"/>
            <w:r w:rsidRPr="00DA57E8">
              <w:rPr>
                <w:rFonts w:ascii="宋体" w:hAnsi="宋体" w:cs="宋体" w:hint="eastAsia"/>
                <w:color w:val="000000"/>
                <w:kern w:val="0"/>
                <w:sz w:val="22"/>
              </w:rPr>
              <w:t>媒体采访</w:t>
            </w:r>
          </w:p>
        </w:tc>
        <w:tc>
          <w:tcPr>
            <w:tcW w:w="3544" w:type="dxa"/>
            <w:tcBorders>
              <w:top w:val="nil"/>
              <w:left w:val="nil"/>
              <w:bottom w:val="nil"/>
              <w:right w:val="single" w:sz="4" w:space="0" w:color="auto"/>
            </w:tcBorders>
            <w:noWrap/>
            <w:vAlign w:val="center"/>
          </w:tcPr>
          <w:p w14:paraId="7FB28ACD" w14:textId="77777777" w:rsidR="00A51F17" w:rsidRPr="00DA57E8" w:rsidRDefault="00E16FE9" w:rsidP="00A51F17">
            <w:pPr>
              <w:widowControl/>
              <w:rPr>
                <w:rFonts w:ascii="宋体" w:hAnsi="宋体" w:cs="宋体"/>
                <w:color w:val="000000"/>
                <w:kern w:val="0"/>
                <w:sz w:val="22"/>
              </w:rPr>
            </w:pPr>
            <w:r w:rsidRPr="00DA57E8">
              <w:rPr>
                <w:rFonts w:ascii="宋体" w:hAnsi="宋体" w:cs="宋体" w:hint="eastAsia"/>
                <w:color w:val="000000"/>
                <w:kern w:val="0"/>
                <w:sz w:val="22"/>
              </w:rPr>
              <w:t>□</w:t>
            </w:r>
            <w:r w:rsidR="00A51F17" w:rsidRPr="00DA57E8">
              <w:rPr>
                <w:rFonts w:ascii="宋体" w:hAnsi="宋体" w:cs="宋体" w:hint="eastAsia"/>
                <w:color w:val="000000"/>
                <w:kern w:val="0"/>
                <w:sz w:val="22"/>
              </w:rPr>
              <w:t>业绩说明会</w:t>
            </w:r>
          </w:p>
        </w:tc>
      </w:tr>
      <w:tr w:rsidR="00A51F17" w:rsidRPr="00DA57E8" w14:paraId="1B8D27E3" w14:textId="77777777" w:rsidTr="000301D7">
        <w:trPr>
          <w:trHeight w:val="510"/>
          <w:jc w:val="center"/>
        </w:trPr>
        <w:tc>
          <w:tcPr>
            <w:tcW w:w="1383" w:type="dxa"/>
            <w:vMerge/>
            <w:tcBorders>
              <w:top w:val="single" w:sz="4" w:space="0" w:color="auto"/>
              <w:left w:val="single" w:sz="4" w:space="0" w:color="auto"/>
              <w:bottom w:val="single" w:sz="4" w:space="0" w:color="auto"/>
              <w:right w:val="single" w:sz="4" w:space="0" w:color="auto"/>
            </w:tcBorders>
            <w:vAlign w:val="center"/>
          </w:tcPr>
          <w:p w14:paraId="7EE4E1FA" w14:textId="77777777" w:rsidR="00A51F17" w:rsidRPr="00DA57E8" w:rsidRDefault="00A51F17" w:rsidP="002E3D89">
            <w:pPr>
              <w:widowControl/>
              <w:jc w:val="center"/>
              <w:rPr>
                <w:rFonts w:ascii="宋体" w:hAnsi="宋体" w:cs="宋体"/>
                <w:b/>
                <w:color w:val="000000"/>
                <w:kern w:val="0"/>
                <w:sz w:val="22"/>
              </w:rPr>
            </w:pPr>
          </w:p>
        </w:tc>
        <w:tc>
          <w:tcPr>
            <w:tcW w:w="3544" w:type="dxa"/>
            <w:tcBorders>
              <w:top w:val="nil"/>
              <w:left w:val="nil"/>
              <w:bottom w:val="nil"/>
              <w:right w:val="nil"/>
            </w:tcBorders>
            <w:noWrap/>
            <w:vAlign w:val="center"/>
          </w:tcPr>
          <w:p w14:paraId="2DBE208B" w14:textId="77777777" w:rsidR="00A51F17" w:rsidRPr="00DA57E8" w:rsidRDefault="00A51F17" w:rsidP="00A51F17">
            <w:pPr>
              <w:widowControl/>
              <w:rPr>
                <w:rFonts w:ascii="宋体" w:hAnsi="宋体" w:cs="宋体"/>
                <w:color w:val="000000"/>
                <w:kern w:val="0"/>
                <w:sz w:val="22"/>
              </w:rPr>
            </w:pPr>
            <w:bookmarkStart w:id="3" w:name="OLE_LINK17"/>
            <w:r w:rsidRPr="00DA57E8">
              <w:rPr>
                <w:rFonts w:ascii="宋体" w:hAnsi="宋体" w:cs="宋体" w:hint="eastAsia"/>
                <w:color w:val="000000"/>
                <w:kern w:val="0"/>
                <w:sz w:val="22"/>
              </w:rPr>
              <w:t>□</w:t>
            </w:r>
            <w:bookmarkEnd w:id="3"/>
            <w:r w:rsidRPr="00DA57E8">
              <w:rPr>
                <w:rFonts w:ascii="宋体" w:hAnsi="宋体" w:cs="宋体" w:hint="eastAsia"/>
                <w:color w:val="000000"/>
                <w:kern w:val="0"/>
                <w:sz w:val="22"/>
              </w:rPr>
              <w:t>新闻发布会</w:t>
            </w:r>
          </w:p>
        </w:tc>
        <w:tc>
          <w:tcPr>
            <w:tcW w:w="3544" w:type="dxa"/>
            <w:tcBorders>
              <w:top w:val="nil"/>
              <w:left w:val="nil"/>
              <w:bottom w:val="nil"/>
              <w:right w:val="single" w:sz="4" w:space="0" w:color="auto"/>
            </w:tcBorders>
            <w:noWrap/>
            <w:vAlign w:val="center"/>
          </w:tcPr>
          <w:p w14:paraId="71F33D8C" w14:textId="77777777" w:rsidR="00A51F17" w:rsidRPr="00DA57E8" w:rsidRDefault="00944B24" w:rsidP="00A51F17">
            <w:pPr>
              <w:widowControl/>
              <w:rPr>
                <w:rFonts w:ascii="宋体" w:hAnsi="宋体" w:cs="宋体"/>
                <w:color w:val="000000"/>
                <w:kern w:val="0"/>
                <w:sz w:val="22"/>
              </w:rPr>
            </w:pPr>
            <w:bookmarkStart w:id="4" w:name="OLE_LINK2"/>
            <w:r w:rsidRPr="00DA57E8">
              <w:rPr>
                <w:rFonts w:ascii="宋体" w:hAnsi="宋体" w:cs="宋体" w:hint="eastAsia"/>
                <w:color w:val="000000"/>
                <w:kern w:val="0"/>
                <w:sz w:val="22"/>
              </w:rPr>
              <w:t>□</w:t>
            </w:r>
            <w:bookmarkEnd w:id="4"/>
            <w:r w:rsidR="00E96BC3" w:rsidRPr="00DA57E8">
              <w:rPr>
                <w:rFonts w:ascii="宋体" w:hAnsi="宋体" w:cs="宋体" w:hint="eastAsia"/>
                <w:color w:val="000000"/>
                <w:kern w:val="0"/>
                <w:sz w:val="22"/>
              </w:rPr>
              <w:t>一对一沟通</w:t>
            </w:r>
          </w:p>
        </w:tc>
      </w:tr>
      <w:tr w:rsidR="00A51F17" w:rsidRPr="00DA57E8" w14:paraId="4AB4B7FC" w14:textId="77777777" w:rsidTr="000301D7">
        <w:trPr>
          <w:trHeight w:val="510"/>
          <w:jc w:val="center"/>
        </w:trPr>
        <w:tc>
          <w:tcPr>
            <w:tcW w:w="1383" w:type="dxa"/>
            <w:vMerge/>
            <w:tcBorders>
              <w:top w:val="single" w:sz="4" w:space="0" w:color="auto"/>
              <w:left w:val="single" w:sz="4" w:space="0" w:color="auto"/>
              <w:bottom w:val="single" w:sz="4" w:space="0" w:color="auto"/>
              <w:right w:val="single" w:sz="4" w:space="0" w:color="auto"/>
            </w:tcBorders>
            <w:vAlign w:val="center"/>
          </w:tcPr>
          <w:p w14:paraId="113FE50B" w14:textId="77777777" w:rsidR="00A51F17" w:rsidRPr="00DA57E8" w:rsidRDefault="00A51F17" w:rsidP="002E3D89">
            <w:pPr>
              <w:widowControl/>
              <w:jc w:val="center"/>
              <w:rPr>
                <w:rFonts w:ascii="宋体" w:hAnsi="宋体" w:cs="宋体"/>
                <w:b/>
                <w:color w:val="000000"/>
                <w:kern w:val="0"/>
                <w:sz w:val="22"/>
              </w:rPr>
            </w:pPr>
          </w:p>
        </w:tc>
        <w:tc>
          <w:tcPr>
            <w:tcW w:w="3544" w:type="dxa"/>
            <w:tcBorders>
              <w:top w:val="nil"/>
              <w:left w:val="nil"/>
              <w:bottom w:val="nil"/>
              <w:right w:val="nil"/>
            </w:tcBorders>
            <w:noWrap/>
            <w:vAlign w:val="center"/>
          </w:tcPr>
          <w:p w14:paraId="5B42859A" w14:textId="77777777" w:rsidR="00A51F17" w:rsidRPr="00DA57E8" w:rsidRDefault="00944B24" w:rsidP="00A51F17">
            <w:pPr>
              <w:widowControl/>
              <w:rPr>
                <w:rFonts w:ascii="宋体" w:hAnsi="宋体" w:cs="宋体"/>
                <w:color w:val="000000"/>
                <w:kern w:val="0"/>
                <w:sz w:val="22"/>
              </w:rPr>
            </w:pPr>
            <w:r w:rsidRPr="00DA57E8">
              <w:rPr>
                <w:rFonts w:ascii="宋体" w:hAnsi="宋体" w:cs="宋体" w:hint="eastAsia"/>
                <w:color w:val="000000"/>
                <w:kern w:val="0"/>
                <w:sz w:val="22"/>
              </w:rPr>
              <w:t>□</w:t>
            </w:r>
            <w:r w:rsidR="00A51F17" w:rsidRPr="00DA57E8">
              <w:rPr>
                <w:rFonts w:ascii="宋体" w:hAnsi="宋体" w:cs="宋体" w:hint="eastAsia"/>
                <w:color w:val="000000"/>
                <w:kern w:val="0"/>
                <w:sz w:val="22"/>
              </w:rPr>
              <w:t>现场参观</w:t>
            </w:r>
            <w:r w:rsidR="00740E45" w:rsidRPr="00DA57E8">
              <w:rPr>
                <w:rFonts w:ascii="宋体" w:hAnsi="宋体" w:cs="宋体" w:hint="eastAsia"/>
                <w:color w:val="000000"/>
                <w:kern w:val="0"/>
                <w:sz w:val="22"/>
              </w:rPr>
              <w:t>（门店）</w:t>
            </w:r>
          </w:p>
        </w:tc>
        <w:tc>
          <w:tcPr>
            <w:tcW w:w="3544" w:type="dxa"/>
            <w:tcBorders>
              <w:top w:val="nil"/>
              <w:left w:val="nil"/>
              <w:bottom w:val="nil"/>
              <w:right w:val="single" w:sz="4" w:space="0" w:color="auto"/>
            </w:tcBorders>
            <w:noWrap/>
            <w:vAlign w:val="center"/>
          </w:tcPr>
          <w:p w14:paraId="220C3E0A" w14:textId="77777777" w:rsidR="00A51F17" w:rsidRPr="00DA57E8" w:rsidRDefault="004B7D1E" w:rsidP="00A51F17">
            <w:pPr>
              <w:widowControl/>
              <w:rPr>
                <w:rFonts w:ascii="宋体" w:hAnsi="宋体" w:cs="宋体"/>
                <w:color w:val="000000"/>
                <w:kern w:val="0"/>
                <w:sz w:val="22"/>
              </w:rPr>
            </w:pPr>
            <w:r w:rsidRPr="00DA57E8">
              <w:rPr>
                <w:rFonts w:ascii="宋体" w:hAnsi="宋体" w:cs="宋体" w:hint="eastAsia"/>
                <w:color w:val="000000"/>
                <w:kern w:val="0"/>
                <w:sz w:val="22"/>
              </w:rPr>
              <w:t>□</w:t>
            </w:r>
            <w:r w:rsidR="00A51F17" w:rsidRPr="00DA57E8">
              <w:rPr>
                <w:rFonts w:ascii="宋体" w:hAnsi="宋体" w:cs="宋体" w:hint="eastAsia"/>
                <w:color w:val="000000"/>
                <w:kern w:val="0"/>
                <w:sz w:val="22"/>
              </w:rPr>
              <w:t>线上交流</w:t>
            </w:r>
          </w:p>
        </w:tc>
      </w:tr>
      <w:tr w:rsidR="001D3AE8" w:rsidRPr="00DA57E8" w14:paraId="2CEE061B" w14:textId="77777777" w:rsidTr="004974A8">
        <w:trPr>
          <w:trHeight w:val="1408"/>
          <w:jc w:val="center"/>
        </w:trPr>
        <w:tc>
          <w:tcPr>
            <w:tcW w:w="1383" w:type="dxa"/>
            <w:tcBorders>
              <w:top w:val="nil"/>
              <w:left w:val="single" w:sz="4" w:space="0" w:color="auto"/>
              <w:bottom w:val="single" w:sz="4" w:space="0" w:color="auto"/>
              <w:right w:val="single" w:sz="4" w:space="0" w:color="auto"/>
            </w:tcBorders>
            <w:vAlign w:val="center"/>
          </w:tcPr>
          <w:p w14:paraId="12031AC9" w14:textId="77777777" w:rsidR="001D3AE8" w:rsidRPr="00DA57E8" w:rsidRDefault="007371FD" w:rsidP="00A51F17">
            <w:pPr>
              <w:widowControl/>
              <w:spacing w:line="360" w:lineRule="auto"/>
              <w:jc w:val="center"/>
              <w:rPr>
                <w:rFonts w:ascii="宋体" w:hAnsi="宋体" w:cs="宋体"/>
                <w:b/>
                <w:color w:val="000000"/>
                <w:kern w:val="0"/>
                <w:sz w:val="22"/>
              </w:rPr>
            </w:pPr>
            <w:r w:rsidRPr="00DA57E8">
              <w:rPr>
                <w:rFonts w:ascii="宋体" w:hAnsi="宋体" w:cs="宋体" w:hint="eastAsia"/>
                <w:b/>
                <w:color w:val="000000"/>
                <w:kern w:val="0"/>
                <w:sz w:val="22"/>
              </w:rPr>
              <w:t>投资者</w:t>
            </w:r>
            <w:r w:rsidR="001D3AE8" w:rsidRPr="00DA57E8">
              <w:rPr>
                <w:rFonts w:ascii="宋体" w:hAnsi="宋体" w:cs="宋体" w:hint="eastAsia"/>
                <w:b/>
                <w:color w:val="000000"/>
                <w:kern w:val="0"/>
                <w:sz w:val="22"/>
              </w:rPr>
              <w:t>姓名</w:t>
            </w:r>
          </w:p>
        </w:tc>
        <w:tc>
          <w:tcPr>
            <w:tcW w:w="7088" w:type="dxa"/>
            <w:gridSpan w:val="2"/>
            <w:tcBorders>
              <w:top w:val="single" w:sz="4" w:space="0" w:color="auto"/>
              <w:left w:val="nil"/>
              <w:bottom w:val="single" w:sz="4" w:space="0" w:color="auto"/>
              <w:right w:val="single" w:sz="4" w:space="0" w:color="000000"/>
            </w:tcBorders>
            <w:noWrap/>
            <w:vAlign w:val="center"/>
          </w:tcPr>
          <w:p w14:paraId="1C275B80" w14:textId="00F8FA99" w:rsidR="00D0267E" w:rsidRPr="00DA57E8" w:rsidRDefault="004B7D1E" w:rsidP="00AC4CD5">
            <w:pPr>
              <w:widowControl/>
              <w:shd w:val="clear" w:color="auto" w:fill="FFFFFF"/>
              <w:spacing w:line="360" w:lineRule="auto"/>
              <w:jc w:val="left"/>
              <w:rPr>
                <w:rFonts w:ascii="宋体" w:hAnsi="宋体" w:cs="宋体"/>
                <w:color w:val="000000"/>
                <w:kern w:val="0"/>
                <w:szCs w:val="21"/>
              </w:rPr>
            </w:pPr>
            <w:bookmarkStart w:id="5" w:name="OLE_LINK47"/>
            <w:r w:rsidRPr="00DA57E8">
              <w:rPr>
                <w:rFonts w:ascii="宋体" w:hAnsi="宋体" w:cs="宋体" w:hint="eastAsia"/>
                <w:color w:val="000000"/>
                <w:kern w:val="0"/>
                <w:szCs w:val="21"/>
              </w:rPr>
              <w:t>中信证券杜一帆、李宇挺、财通证券耿荣晨、杨澜、信达证券骆峥、广发证券包晗、天风证券孙海洋、李璇、</w:t>
            </w:r>
            <w:bookmarkStart w:id="6" w:name="OLE_LINK69"/>
            <w:bookmarkStart w:id="7" w:name="OLE_LINK70"/>
            <w:r w:rsidR="00387E19">
              <w:rPr>
                <w:rFonts w:ascii="宋体" w:hAnsi="宋体" w:cs="宋体" w:hint="eastAsia"/>
                <w:color w:val="000000"/>
                <w:kern w:val="0"/>
                <w:szCs w:val="21"/>
              </w:rPr>
              <w:t>申万宏源证券</w:t>
            </w:r>
            <w:r w:rsidRPr="00DA57E8">
              <w:rPr>
                <w:rFonts w:ascii="宋体" w:hAnsi="宋体" w:cs="宋体" w:hint="eastAsia"/>
                <w:color w:val="000000"/>
                <w:kern w:val="0"/>
                <w:szCs w:val="21"/>
              </w:rPr>
              <w:t>赵令伊</w:t>
            </w:r>
            <w:bookmarkEnd w:id="6"/>
            <w:bookmarkEnd w:id="7"/>
            <w:r w:rsidRPr="00DA57E8">
              <w:rPr>
                <w:rFonts w:ascii="宋体" w:hAnsi="宋体" w:cs="宋体" w:hint="eastAsia"/>
                <w:color w:val="000000"/>
                <w:kern w:val="0"/>
                <w:szCs w:val="21"/>
              </w:rPr>
              <w:t>、李秀琳、兴业证券张彬泓、方正证券廖捷、神农投资张智皓、国盛证券李宏科、张冰清、东吴证券郗越</w:t>
            </w:r>
            <w:r w:rsidR="00D13FF0" w:rsidRPr="00DA57E8">
              <w:rPr>
                <w:rFonts w:ascii="宋体" w:hAnsi="宋体" w:cs="宋体" w:hint="eastAsia"/>
                <w:color w:val="000000"/>
                <w:kern w:val="0"/>
                <w:szCs w:val="21"/>
              </w:rPr>
              <w:t>、</w:t>
            </w:r>
            <w:bookmarkStart w:id="8" w:name="OLE_LINK64"/>
            <w:bookmarkStart w:id="9" w:name="OLE_LINK65"/>
            <w:r w:rsidR="001B3E2B" w:rsidRPr="00DA57E8">
              <w:rPr>
                <w:rFonts w:ascii="宋体" w:hAnsi="宋体" w:cs="宋体" w:hint="eastAsia"/>
                <w:color w:val="000000"/>
                <w:kern w:val="0"/>
                <w:szCs w:val="21"/>
              </w:rPr>
              <w:t>北京博润陈嘉进、幸福人寿董博、中国人保李晴、国联</w:t>
            </w:r>
            <w:r w:rsidR="00AC4CD5">
              <w:rPr>
                <w:rFonts w:ascii="宋体" w:hAnsi="宋体" w:cs="宋体" w:hint="eastAsia"/>
                <w:color w:val="000000"/>
                <w:kern w:val="0"/>
                <w:szCs w:val="21"/>
              </w:rPr>
              <w:t>基金</w:t>
            </w:r>
            <w:r w:rsidR="001B3E2B" w:rsidRPr="00DA57E8">
              <w:rPr>
                <w:rFonts w:ascii="宋体" w:hAnsi="宋体" w:cs="宋体" w:hint="eastAsia"/>
                <w:color w:val="000000"/>
                <w:kern w:val="0"/>
                <w:szCs w:val="21"/>
              </w:rPr>
              <w:t>钱文成、新华基金成斐昳、天津华璞殷鹏皓、北京星石陈启腾、</w:t>
            </w:r>
            <w:r w:rsidR="00D13FF0" w:rsidRPr="00DA57E8">
              <w:rPr>
                <w:rFonts w:ascii="宋体" w:hAnsi="宋体" w:cs="宋体" w:hint="eastAsia"/>
                <w:color w:val="000000"/>
                <w:kern w:val="0"/>
                <w:szCs w:val="21"/>
              </w:rPr>
              <w:t>东方基金吕燕晨、嘉实基金李远山、中金资管曹野、星石投资 蒋京杰、方正富邦基金何萍、非马投资张齐嘉、宏道投资方何、民生加银刘霄汉</w:t>
            </w:r>
            <w:r w:rsidR="00AC4CD5">
              <w:rPr>
                <w:rFonts w:ascii="宋体" w:hAnsi="宋体" w:cs="宋体" w:hint="eastAsia"/>
                <w:color w:val="000000"/>
                <w:kern w:val="0"/>
                <w:szCs w:val="21"/>
              </w:rPr>
              <w:t>、</w:t>
            </w:r>
            <w:r w:rsidR="00AC4CD5" w:rsidRPr="00AC4CD5">
              <w:rPr>
                <w:rFonts w:ascii="宋体" w:hAnsi="宋体" w:cs="宋体" w:hint="eastAsia"/>
                <w:color w:val="000000"/>
                <w:kern w:val="0"/>
                <w:szCs w:val="21"/>
              </w:rPr>
              <w:t>安信基金肖璇</w:t>
            </w:r>
            <w:r w:rsidR="00AC4CD5">
              <w:rPr>
                <w:rFonts w:ascii="宋体" w:hAnsi="宋体" w:cs="宋体" w:hint="eastAsia"/>
                <w:color w:val="000000"/>
                <w:kern w:val="0"/>
                <w:szCs w:val="21"/>
              </w:rPr>
              <w:t>、</w:t>
            </w:r>
            <w:r w:rsidR="00AC4CD5" w:rsidRPr="00AC4CD5">
              <w:rPr>
                <w:rFonts w:ascii="宋体" w:hAnsi="宋体" w:cs="宋体" w:hint="eastAsia"/>
                <w:color w:val="000000"/>
                <w:kern w:val="0"/>
                <w:szCs w:val="21"/>
              </w:rPr>
              <w:t>浦银安盛尹新悦</w:t>
            </w:r>
            <w:r w:rsidR="00AC4CD5">
              <w:rPr>
                <w:rFonts w:ascii="宋体" w:hAnsi="宋体" w:cs="宋体" w:hint="eastAsia"/>
                <w:color w:val="000000"/>
                <w:kern w:val="0"/>
                <w:szCs w:val="21"/>
              </w:rPr>
              <w:t>、</w:t>
            </w:r>
            <w:r w:rsidR="00AC4CD5" w:rsidRPr="00AC4CD5">
              <w:rPr>
                <w:rFonts w:ascii="宋体" w:hAnsi="宋体" w:cs="宋体" w:hint="eastAsia"/>
                <w:color w:val="000000"/>
                <w:kern w:val="0"/>
                <w:szCs w:val="21"/>
              </w:rPr>
              <w:t>永安财险龚宇霆</w:t>
            </w:r>
            <w:r w:rsidR="00AC4CD5">
              <w:rPr>
                <w:rFonts w:ascii="宋体" w:hAnsi="宋体" w:cs="宋体" w:hint="eastAsia"/>
                <w:color w:val="000000"/>
                <w:kern w:val="0"/>
                <w:szCs w:val="21"/>
              </w:rPr>
              <w:t>、</w:t>
            </w:r>
            <w:r w:rsidR="00AC4CD5" w:rsidRPr="00AC4CD5">
              <w:rPr>
                <w:rFonts w:ascii="宋体" w:hAnsi="宋体" w:cs="宋体" w:hint="eastAsia"/>
                <w:color w:val="000000"/>
                <w:kern w:val="0"/>
                <w:szCs w:val="21"/>
              </w:rPr>
              <w:t>国亿联合投资付志学</w:t>
            </w:r>
            <w:r w:rsidR="00AC4CD5">
              <w:rPr>
                <w:rFonts w:ascii="宋体" w:hAnsi="宋体" w:cs="宋体" w:hint="eastAsia"/>
                <w:color w:val="000000"/>
                <w:kern w:val="0"/>
                <w:szCs w:val="21"/>
              </w:rPr>
              <w:t>、</w:t>
            </w:r>
            <w:r w:rsidR="00AC4CD5" w:rsidRPr="00AC4CD5">
              <w:rPr>
                <w:rFonts w:ascii="宋体" w:hAnsi="宋体" w:cs="宋体" w:hint="eastAsia"/>
                <w:color w:val="000000"/>
                <w:kern w:val="0"/>
                <w:szCs w:val="21"/>
              </w:rPr>
              <w:t>澄澈私募吕应承</w:t>
            </w:r>
            <w:r w:rsidR="00AC4CD5">
              <w:rPr>
                <w:rFonts w:ascii="宋体" w:hAnsi="宋体" w:cs="宋体" w:hint="eastAsia"/>
                <w:color w:val="000000"/>
                <w:kern w:val="0"/>
                <w:szCs w:val="21"/>
              </w:rPr>
              <w:t>、</w:t>
            </w:r>
            <w:r w:rsidR="00AC4CD5" w:rsidRPr="00AC4CD5">
              <w:rPr>
                <w:rFonts w:ascii="宋体" w:hAnsi="宋体" w:cs="宋体" w:hint="eastAsia"/>
                <w:color w:val="000000"/>
                <w:kern w:val="0"/>
                <w:szCs w:val="21"/>
              </w:rPr>
              <w:t>甬证资管秦庆</w:t>
            </w:r>
            <w:r w:rsidR="00830778" w:rsidRPr="00DA57E8">
              <w:rPr>
                <w:rFonts w:ascii="宋体" w:hAnsi="宋体" w:cs="宋体" w:hint="eastAsia"/>
                <w:color w:val="000000"/>
                <w:kern w:val="0"/>
                <w:szCs w:val="21"/>
              </w:rPr>
              <w:t>等</w:t>
            </w:r>
            <w:r w:rsidR="006B069C" w:rsidRPr="00DA57E8">
              <w:rPr>
                <w:rFonts w:ascii="宋体" w:hAnsi="宋体" w:cs="宋体" w:hint="eastAsia"/>
                <w:color w:val="000000"/>
                <w:kern w:val="0"/>
                <w:szCs w:val="21"/>
              </w:rPr>
              <w:t>。</w:t>
            </w:r>
            <w:bookmarkEnd w:id="5"/>
            <w:bookmarkEnd w:id="8"/>
            <w:bookmarkEnd w:id="9"/>
          </w:p>
        </w:tc>
      </w:tr>
      <w:tr w:rsidR="001D3AE8" w:rsidRPr="00DA57E8" w14:paraId="133499AB" w14:textId="77777777" w:rsidTr="000301D7">
        <w:trPr>
          <w:trHeight w:val="510"/>
          <w:jc w:val="center"/>
        </w:trPr>
        <w:tc>
          <w:tcPr>
            <w:tcW w:w="1383" w:type="dxa"/>
            <w:tcBorders>
              <w:top w:val="nil"/>
              <w:left w:val="single" w:sz="4" w:space="0" w:color="auto"/>
              <w:bottom w:val="single" w:sz="4" w:space="0" w:color="auto"/>
              <w:right w:val="single" w:sz="4" w:space="0" w:color="auto"/>
            </w:tcBorders>
            <w:vAlign w:val="center"/>
          </w:tcPr>
          <w:p w14:paraId="426D1406" w14:textId="77777777" w:rsidR="001D3AE8" w:rsidRPr="00DA57E8" w:rsidRDefault="001D3AE8" w:rsidP="002E3D89">
            <w:pPr>
              <w:widowControl/>
              <w:jc w:val="center"/>
              <w:rPr>
                <w:rFonts w:ascii="宋体" w:hAnsi="宋体" w:cs="宋体"/>
                <w:b/>
                <w:color w:val="000000"/>
                <w:kern w:val="0"/>
                <w:sz w:val="22"/>
              </w:rPr>
            </w:pPr>
            <w:r w:rsidRPr="00DA57E8">
              <w:rPr>
                <w:rFonts w:ascii="宋体" w:hAnsi="宋体" w:cs="宋体" w:hint="eastAsia"/>
                <w:b/>
                <w:color w:val="000000"/>
                <w:kern w:val="0"/>
                <w:sz w:val="22"/>
              </w:rPr>
              <w:t>时间</w:t>
            </w:r>
          </w:p>
        </w:tc>
        <w:tc>
          <w:tcPr>
            <w:tcW w:w="7088" w:type="dxa"/>
            <w:gridSpan w:val="2"/>
            <w:tcBorders>
              <w:top w:val="single" w:sz="4" w:space="0" w:color="auto"/>
              <w:left w:val="nil"/>
              <w:bottom w:val="single" w:sz="4" w:space="0" w:color="auto"/>
              <w:right w:val="single" w:sz="4" w:space="0" w:color="000000"/>
            </w:tcBorders>
            <w:noWrap/>
            <w:vAlign w:val="bottom"/>
          </w:tcPr>
          <w:p w14:paraId="6DA5F854" w14:textId="77777777" w:rsidR="001D3AE8" w:rsidRPr="00DA57E8" w:rsidRDefault="005B04C8" w:rsidP="004B7D1E">
            <w:pPr>
              <w:widowControl/>
              <w:spacing w:line="360" w:lineRule="auto"/>
              <w:jc w:val="left"/>
              <w:rPr>
                <w:rFonts w:ascii="宋体" w:hAnsi="宋体" w:cs="宋体"/>
                <w:color w:val="000000"/>
                <w:kern w:val="0"/>
                <w:sz w:val="22"/>
              </w:rPr>
            </w:pPr>
            <w:bookmarkStart w:id="10" w:name="OLE_LINK51"/>
            <w:r w:rsidRPr="00DA57E8">
              <w:rPr>
                <w:rFonts w:ascii="宋体" w:hAnsi="宋体" w:cs="宋体" w:hint="eastAsia"/>
                <w:color w:val="000000"/>
                <w:kern w:val="0"/>
                <w:sz w:val="22"/>
              </w:rPr>
              <w:t>2025年</w:t>
            </w:r>
            <w:r w:rsidR="004B7D1E" w:rsidRPr="00DA57E8">
              <w:rPr>
                <w:rFonts w:ascii="宋体" w:hAnsi="宋体" w:cs="宋体" w:hint="eastAsia"/>
                <w:color w:val="000000"/>
                <w:kern w:val="0"/>
                <w:sz w:val="22"/>
              </w:rPr>
              <w:t>11</w:t>
            </w:r>
            <w:r w:rsidR="00155D71" w:rsidRPr="00DA57E8">
              <w:rPr>
                <w:rFonts w:ascii="宋体" w:hAnsi="宋体" w:cs="宋体" w:hint="eastAsia"/>
                <w:color w:val="000000"/>
                <w:kern w:val="0"/>
                <w:sz w:val="22"/>
              </w:rPr>
              <w:t>月</w:t>
            </w:r>
            <w:r w:rsidR="004B7D1E" w:rsidRPr="00DA57E8">
              <w:rPr>
                <w:rFonts w:ascii="宋体" w:hAnsi="宋体" w:cs="宋体" w:hint="eastAsia"/>
                <w:color w:val="000000"/>
                <w:kern w:val="0"/>
                <w:sz w:val="22"/>
              </w:rPr>
              <w:t>4</w:t>
            </w:r>
            <w:r w:rsidR="00830778" w:rsidRPr="00DA57E8">
              <w:rPr>
                <w:rFonts w:ascii="宋体" w:hAnsi="宋体" w:cs="宋体" w:hint="eastAsia"/>
                <w:color w:val="000000"/>
                <w:kern w:val="0"/>
                <w:sz w:val="22"/>
              </w:rPr>
              <w:t>日</w:t>
            </w:r>
            <w:r w:rsidR="002B2C0C" w:rsidRPr="00DA57E8">
              <w:rPr>
                <w:rFonts w:ascii="宋体" w:hAnsi="宋体" w:cs="宋体" w:hint="eastAsia"/>
                <w:color w:val="000000"/>
                <w:kern w:val="0"/>
                <w:sz w:val="22"/>
              </w:rPr>
              <w:t>、11月5日、11月6日</w:t>
            </w:r>
            <w:r w:rsidR="00DE1EDF" w:rsidRPr="00DA57E8">
              <w:rPr>
                <w:rFonts w:ascii="宋体" w:hAnsi="宋体" w:cs="宋体" w:hint="eastAsia"/>
                <w:color w:val="000000"/>
                <w:kern w:val="0"/>
                <w:sz w:val="22"/>
              </w:rPr>
              <w:t>、11月21日</w:t>
            </w:r>
            <w:r w:rsidR="00A47BCD" w:rsidRPr="00DA57E8">
              <w:rPr>
                <w:rFonts w:ascii="宋体" w:hAnsi="宋体" w:cs="宋体" w:hint="eastAsia"/>
                <w:color w:val="000000"/>
                <w:kern w:val="0"/>
                <w:sz w:val="22"/>
              </w:rPr>
              <w:t>、11月26日</w:t>
            </w:r>
            <w:bookmarkEnd w:id="10"/>
          </w:p>
        </w:tc>
      </w:tr>
      <w:tr w:rsidR="001D3AE8" w:rsidRPr="00DA57E8" w14:paraId="3E253000" w14:textId="77777777" w:rsidTr="00B4768C">
        <w:trPr>
          <w:trHeight w:val="510"/>
          <w:jc w:val="center"/>
        </w:trPr>
        <w:tc>
          <w:tcPr>
            <w:tcW w:w="1383" w:type="dxa"/>
            <w:tcBorders>
              <w:top w:val="nil"/>
              <w:left w:val="single" w:sz="4" w:space="0" w:color="auto"/>
              <w:bottom w:val="single" w:sz="4" w:space="0" w:color="auto"/>
              <w:right w:val="single" w:sz="4" w:space="0" w:color="auto"/>
            </w:tcBorders>
            <w:vAlign w:val="center"/>
          </w:tcPr>
          <w:p w14:paraId="63F7DF01" w14:textId="77777777" w:rsidR="001D3AE8" w:rsidRPr="00DA57E8" w:rsidRDefault="001D3AE8" w:rsidP="002E3D89">
            <w:pPr>
              <w:widowControl/>
              <w:jc w:val="center"/>
              <w:rPr>
                <w:rFonts w:ascii="宋体" w:hAnsi="宋体" w:cs="宋体"/>
                <w:b/>
                <w:color w:val="000000"/>
                <w:kern w:val="0"/>
                <w:sz w:val="22"/>
              </w:rPr>
            </w:pPr>
            <w:r w:rsidRPr="00DA57E8">
              <w:rPr>
                <w:rFonts w:ascii="宋体" w:hAnsi="宋体" w:cs="宋体" w:hint="eastAsia"/>
                <w:b/>
                <w:color w:val="000000"/>
                <w:kern w:val="0"/>
                <w:sz w:val="22"/>
              </w:rPr>
              <w:t>地点</w:t>
            </w:r>
          </w:p>
        </w:tc>
        <w:tc>
          <w:tcPr>
            <w:tcW w:w="7088" w:type="dxa"/>
            <w:gridSpan w:val="2"/>
            <w:tcBorders>
              <w:top w:val="single" w:sz="4" w:space="0" w:color="auto"/>
              <w:left w:val="nil"/>
              <w:bottom w:val="single" w:sz="4" w:space="0" w:color="auto"/>
              <w:right w:val="single" w:sz="4" w:space="0" w:color="000000"/>
            </w:tcBorders>
            <w:noWrap/>
            <w:vAlign w:val="bottom"/>
          </w:tcPr>
          <w:p w14:paraId="373317CF" w14:textId="77777777" w:rsidR="001D3AE8" w:rsidRPr="00DA57E8" w:rsidRDefault="00F8413A" w:rsidP="004B7D1E">
            <w:pPr>
              <w:widowControl/>
              <w:spacing w:line="360" w:lineRule="auto"/>
              <w:jc w:val="left"/>
              <w:rPr>
                <w:rFonts w:ascii="宋体" w:hAnsi="宋体" w:cs="宋体"/>
                <w:color w:val="000000"/>
                <w:kern w:val="0"/>
                <w:sz w:val="22"/>
              </w:rPr>
            </w:pPr>
            <w:r w:rsidRPr="00DA57E8">
              <w:rPr>
                <w:rFonts w:ascii="宋体" w:hAnsi="宋体" w:cs="宋体" w:hint="eastAsia"/>
                <w:color w:val="000000"/>
                <w:kern w:val="0"/>
                <w:sz w:val="22"/>
              </w:rPr>
              <w:t>南京</w:t>
            </w:r>
            <w:r w:rsidR="002B2C0C" w:rsidRPr="00DA57E8">
              <w:rPr>
                <w:rFonts w:ascii="宋体" w:hAnsi="宋体" w:cs="宋体" w:hint="eastAsia"/>
                <w:color w:val="000000"/>
                <w:kern w:val="0"/>
                <w:sz w:val="22"/>
              </w:rPr>
              <w:t>、北京</w:t>
            </w:r>
            <w:r w:rsidR="00294D39" w:rsidRPr="00DA57E8">
              <w:rPr>
                <w:rFonts w:ascii="宋体" w:hAnsi="宋体" w:cs="宋体" w:hint="eastAsia"/>
                <w:color w:val="000000"/>
                <w:kern w:val="0"/>
                <w:sz w:val="22"/>
              </w:rPr>
              <w:t>、上海</w:t>
            </w:r>
          </w:p>
        </w:tc>
      </w:tr>
      <w:tr w:rsidR="001D3AE8" w:rsidRPr="00DA57E8" w14:paraId="1521FB6B" w14:textId="77777777" w:rsidTr="00B4768C">
        <w:trPr>
          <w:trHeight w:val="1020"/>
          <w:jc w:val="center"/>
        </w:trPr>
        <w:tc>
          <w:tcPr>
            <w:tcW w:w="1383" w:type="dxa"/>
            <w:tcBorders>
              <w:top w:val="single" w:sz="4" w:space="0" w:color="auto"/>
              <w:left w:val="single" w:sz="4" w:space="0" w:color="auto"/>
              <w:bottom w:val="single" w:sz="4" w:space="0" w:color="auto"/>
              <w:right w:val="single" w:sz="4" w:space="0" w:color="auto"/>
            </w:tcBorders>
            <w:vAlign w:val="center"/>
          </w:tcPr>
          <w:p w14:paraId="33AF34A3" w14:textId="77777777" w:rsidR="001D3AE8" w:rsidRPr="00DA57E8" w:rsidRDefault="001D3AE8" w:rsidP="003C6527">
            <w:pPr>
              <w:widowControl/>
              <w:spacing w:line="360" w:lineRule="auto"/>
              <w:jc w:val="center"/>
              <w:rPr>
                <w:rFonts w:ascii="宋体" w:hAnsi="宋体" w:cs="宋体"/>
                <w:b/>
                <w:color w:val="000000"/>
                <w:kern w:val="0"/>
                <w:szCs w:val="21"/>
              </w:rPr>
            </w:pPr>
            <w:r w:rsidRPr="00DA57E8">
              <w:rPr>
                <w:rFonts w:ascii="宋体" w:hAnsi="宋体" w:cs="宋体" w:hint="eastAsia"/>
                <w:b/>
                <w:color w:val="000000"/>
                <w:kern w:val="0"/>
                <w:szCs w:val="21"/>
              </w:rPr>
              <w:t>接待人员</w:t>
            </w:r>
          </w:p>
        </w:tc>
        <w:tc>
          <w:tcPr>
            <w:tcW w:w="7088" w:type="dxa"/>
            <w:gridSpan w:val="2"/>
            <w:tcBorders>
              <w:top w:val="single" w:sz="4" w:space="0" w:color="auto"/>
              <w:left w:val="nil"/>
              <w:bottom w:val="single" w:sz="4" w:space="0" w:color="auto"/>
              <w:right w:val="single" w:sz="4" w:space="0" w:color="auto"/>
            </w:tcBorders>
            <w:noWrap/>
            <w:vAlign w:val="center"/>
          </w:tcPr>
          <w:p w14:paraId="63831360" w14:textId="77777777" w:rsidR="001D3AE8" w:rsidRPr="00DA57E8" w:rsidRDefault="00F8413A" w:rsidP="007B1A58">
            <w:pPr>
              <w:widowControl/>
              <w:spacing w:line="360" w:lineRule="auto"/>
              <w:rPr>
                <w:rFonts w:ascii="宋体" w:hAnsi="宋体" w:cs="宋体"/>
                <w:color w:val="000000"/>
                <w:kern w:val="0"/>
                <w:szCs w:val="21"/>
              </w:rPr>
            </w:pPr>
            <w:bookmarkStart w:id="11" w:name="OLE_LINK48"/>
            <w:r w:rsidRPr="00DA57E8">
              <w:rPr>
                <w:rFonts w:ascii="宋体" w:hAnsi="宋体" w:cs="宋体" w:hint="eastAsia"/>
                <w:color w:val="000000"/>
                <w:kern w:val="0"/>
                <w:szCs w:val="21"/>
              </w:rPr>
              <w:t>财务负责人刘靳先生、</w:t>
            </w:r>
            <w:r w:rsidR="00BF4825" w:rsidRPr="00DA57E8">
              <w:rPr>
                <w:rFonts w:ascii="宋体" w:hAnsi="宋体" w:cs="宋体" w:hint="eastAsia"/>
                <w:color w:val="000000"/>
                <w:kern w:val="0"/>
                <w:szCs w:val="21"/>
              </w:rPr>
              <w:t>董事会秘书曹颖女士</w:t>
            </w:r>
          </w:p>
          <w:p w14:paraId="368B32A0" w14:textId="77777777" w:rsidR="00AA780F" w:rsidRPr="00DA57E8" w:rsidRDefault="00AD1F61" w:rsidP="00155D71">
            <w:pPr>
              <w:widowControl/>
              <w:spacing w:line="360" w:lineRule="auto"/>
              <w:rPr>
                <w:rFonts w:ascii="宋体" w:hAnsi="宋体" w:cs="宋体"/>
                <w:color w:val="000000"/>
                <w:kern w:val="0"/>
                <w:szCs w:val="21"/>
              </w:rPr>
            </w:pPr>
            <w:r w:rsidRPr="00DA57E8">
              <w:rPr>
                <w:rFonts w:ascii="宋体" w:hAnsi="宋体" w:cs="宋体" w:hint="eastAsia"/>
                <w:color w:val="000000"/>
                <w:kern w:val="0"/>
                <w:szCs w:val="21"/>
              </w:rPr>
              <w:t>证券事务代表安松威先生、杨岚女士</w:t>
            </w:r>
            <w:bookmarkEnd w:id="11"/>
          </w:p>
        </w:tc>
      </w:tr>
      <w:tr w:rsidR="001D3AE8" w:rsidRPr="00DA57E8" w14:paraId="21373275" w14:textId="77777777" w:rsidTr="000301D7">
        <w:trPr>
          <w:trHeight w:val="397"/>
          <w:jc w:val="center"/>
        </w:trPr>
        <w:tc>
          <w:tcPr>
            <w:tcW w:w="1383" w:type="dxa"/>
            <w:tcBorders>
              <w:top w:val="single" w:sz="4" w:space="0" w:color="auto"/>
              <w:left w:val="single" w:sz="4" w:space="0" w:color="auto"/>
              <w:bottom w:val="single" w:sz="4" w:space="0" w:color="auto"/>
              <w:right w:val="single" w:sz="4" w:space="0" w:color="auto"/>
            </w:tcBorders>
            <w:vAlign w:val="center"/>
          </w:tcPr>
          <w:p w14:paraId="53B702CC" w14:textId="77777777" w:rsidR="001D3AE8" w:rsidRPr="00DA57E8" w:rsidRDefault="006C17B2" w:rsidP="006C17B2">
            <w:pPr>
              <w:widowControl/>
              <w:spacing w:line="360" w:lineRule="auto"/>
              <w:jc w:val="center"/>
              <w:rPr>
                <w:rFonts w:ascii="宋体" w:hAnsi="宋体"/>
                <w:b/>
              </w:rPr>
            </w:pPr>
            <w:r w:rsidRPr="00DA57E8">
              <w:rPr>
                <w:rFonts w:ascii="宋体" w:hAnsi="宋体" w:hint="eastAsia"/>
                <w:b/>
              </w:rPr>
              <w:t>主要内容</w:t>
            </w:r>
            <w:r w:rsidR="00C90B7A" w:rsidRPr="00DA57E8">
              <w:rPr>
                <w:rFonts w:ascii="宋体" w:hAnsi="宋体" w:hint="eastAsia"/>
                <w:b/>
              </w:rPr>
              <w:t xml:space="preserve">  </w:t>
            </w:r>
          </w:p>
        </w:tc>
        <w:tc>
          <w:tcPr>
            <w:tcW w:w="7088" w:type="dxa"/>
            <w:gridSpan w:val="2"/>
            <w:tcBorders>
              <w:top w:val="single" w:sz="4" w:space="0" w:color="auto"/>
              <w:left w:val="nil"/>
              <w:bottom w:val="single" w:sz="4" w:space="0" w:color="auto"/>
              <w:right w:val="single" w:sz="4" w:space="0" w:color="auto"/>
            </w:tcBorders>
            <w:vAlign w:val="center"/>
          </w:tcPr>
          <w:p w14:paraId="2EF33E87" w14:textId="77777777" w:rsidR="00BF4825" w:rsidRPr="00DA57E8" w:rsidRDefault="000033D9" w:rsidP="00886E72">
            <w:pPr>
              <w:widowControl/>
              <w:spacing w:line="360" w:lineRule="auto"/>
              <w:ind w:firstLineChars="200" w:firstLine="422"/>
              <w:rPr>
                <w:rFonts w:ascii="宋体" w:hAnsi="宋体"/>
                <w:b/>
                <w:szCs w:val="21"/>
              </w:rPr>
            </w:pPr>
            <w:r w:rsidRPr="00DA57E8">
              <w:rPr>
                <w:rFonts w:ascii="宋体" w:hAnsi="宋体" w:hint="eastAsia"/>
                <w:b/>
                <w:szCs w:val="21"/>
              </w:rPr>
              <w:t>主要问答</w:t>
            </w:r>
            <w:r w:rsidR="00542BB5" w:rsidRPr="00DA57E8">
              <w:rPr>
                <w:rFonts w:ascii="宋体" w:hAnsi="宋体" w:hint="eastAsia"/>
                <w:b/>
                <w:szCs w:val="21"/>
              </w:rPr>
              <w:t>：</w:t>
            </w:r>
          </w:p>
          <w:p w14:paraId="44B28288" w14:textId="77777777" w:rsidR="00536EC9" w:rsidRPr="00DA57E8" w:rsidRDefault="004C14B7" w:rsidP="00536EC9">
            <w:pPr>
              <w:widowControl/>
              <w:spacing w:line="360" w:lineRule="auto"/>
              <w:ind w:firstLineChars="200" w:firstLine="422"/>
              <w:rPr>
                <w:rFonts w:ascii="宋体" w:hAnsi="宋体"/>
                <w:b/>
                <w:szCs w:val="21"/>
              </w:rPr>
            </w:pPr>
            <w:bookmarkStart w:id="12" w:name="OLE_LINK16"/>
            <w:bookmarkStart w:id="13" w:name="OLE_LINK19"/>
            <w:bookmarkStart w:id="14" w:name="OLE_LINK53"/>
            <w:bookmarkStart w:id="15" w:name="OLE_LINK7"/>
            <w:bookmarkStart w:id="16" w:name="OLE_LINK10"/>
            <w:bookmarkStart w:id="17" w:name="OLE_LINK11"/>
            <w:bookmarkStart w:id="18" w:name="OLE_LINK12"/>
            <w:bookmarkStart w:id="19" w:name="OLE_LINK21"/>
            <w:bookmarkStart w:id="20" w:name="OLE_LINK22"/>
            <w:bookmarkStart w:id="21" w:name="OLE_LINK29"/>
            <w:bookmarkStart w:id="22" w:name="OLE_LINK30"/>
            <w:r w:rsidRPr="00DA57E8">
              <w:rPr>
                <w:rFonts w:ascii="宋体" w:hAnsi="宋体" w:hint="eastAsia"/>
                <w:b/>
                <w:szCs w:val="21"/>
              </w:rPr>
              <w:t>Q1：</w:t>
            </w:r>
            <w:bookmarkStart w:id="23" w:name="OLE_LINK27"/>
            <w:bookmarkStart w:id="24" w:name="OLE_LINK14"/>
            <w:bookmarkStart w:id="25" w:name="OLE_LINK15"/>
            <w:bookmarkEnd w:id="12"/>
            <w:r w:rsidR="00CE1BE4" w:rsidRPr="00DA57E8">
              <w:rPr>
                <w:rFonts w:ascii="宋体" w:hAnsi="宋体" w:hint="eastAsia"/>
                <w:b/>
                <w:szCs w:val="21"/>
              </w:rPr>
              <w:t>黄金交易税收</w:t>
            </w:r>
            <w:r w:rsidR="00536EC9" w:rsidRPr="00DA57E8">
              <w:rPr>
                <w:rFonts w:ascii="宋体" w:hAnsi="宋体" w:hint="eastAsia"/>
                <w:b/>
                <w:szCs w:val="21"/>
              </w:rPr>
              <w:t>政策可能利好直营门店，对存量业务是相对利好，后续经营策略会不会调整？比如加盟模式的拓展会不会收缩？后续在经营上有什么应对措施？</w:t>
            </w:r>
          </w:p>
          <w:bookmarkEnd w:id="23"/>
          <w:p w14:paraId="0F466BCF" w14:textId="57844F32" w:rsidR="00536EC9" w:rsidRPr="00DA57E8" w:rsidRDefault="00536EC9" w:rsidP="00C37C97">
            <w:pPr>
              <w:widowControl/>
              <w:spacing w:line="360" w:lineRule="auto"/>
              <w:ind w:firstLineChars="200" w:firstLine="422"/>
              <w:rPr>
                <w:rFonts w:ascii="宋体" w:hAnsi="宋体"/>
                <w:szCs w:val="21"/>
              </w:rPr>
            </w:pPr>
            <w:r w:rsidRPr="00DA57E8">
              <w:rPr>
                <w:rFonts w:ascii="宋体" w:hAnsi="宋体" w:hint="eastAsia"/>
                <w:b/>
                <w:szCs w:val="21"/>
              </w:rPr>
              <w:t>答：</w:t>
            </w:r>
            <w:bookmarkStart w:id="26" w:name="OLE_LINK52"/>
            <w:bookmarkStart w:id="27" w:name="OLE_LINK54"/>
            <w:bookmarkStart w:id="28" w:name="OLE_LINK3"/>
            <w:bookmarkStart w:id="29" w:name="OLE_LINK23"/>
            <w:r w:rsidR="00C37C97" w:rsidRPr="00DA57E8">
              <w:rPr>
                <w:rFonts w:ascii="宋体" w:hAnsi="宋体" w:hint="eastAsia"/>
                <w:szCs w:val="21"/>
              </w:rPr>
              <w:t>黄金交易税收政策可能对</w:t>
            </w:r>
            <w:r w:rsidR="0041264F" w:rsidRPr="00DA57E8">
              <w:rPr>
                <w:rFonts w:ascii="宋体" w:hAnsi="宋体" w:hint="eastAsia"/>
                <w:szCs w:val="21"/>
              </w:rPr>
              <w:t>公司</w:t>
            </w:r>
            <w:r w:rsidR="00C37C97" w:rsidRPr="00DA57E8">
              <w:rPr>
                <w:rFonts w:ascii="宋体" w:hAnsi="宋体" w:hint="eastAsia"/>
                <w:szCs w:val="21"/>
              </w:rPr>
              <w:t>直营门店和</w:t>
            </w:r>
            <w:r w:rsidR="0041264F" w:rsidRPr="00DA57E8">
              <w:rPr>
                <w:rFonts w:ascii="宋体" w:hAnsi="宋体" w:hint="eastAsia"/>
                <w:szCs w:val="21"/>
              </w:rPr>
              <w:t>存量业务</w:t>
            </w:r>
            <w:r w:rsidR="00C37C97" w:rsidRPr="00DA57E8">
              <w:rPr>
                <w:rFonts w:ascii="宋体" w:hAnsi="宋体" w:hint="eastAsia"/>
                <w:szCs w:val="21"/>
              </w:rPr>
              <w:t>构成相对有利的环境。关于后续经营策略是否调整，例如加盟模式的拓展是否会收缩，我们有以下</w:t>
            </w:r>
            <w:proofErr w:type="gramStart"/>
            <w:r w:rsidR="00C37C97" w:rsidRPr="00DA57E8">
              <w:rPr>
                <w:rFonts w:ascii="宋体" w:hAnsi="宋体" w:hint="eastAsia"/>
                <w:szCs w:val="21"/>
              </w:rPr>
              <w:t>考量</w:t>
            </w:r>
            <w:proofErr w:type="gramEnd"/>
            <w:r w:rsidR="00C37C97" w:rsidRPr="00DA57E8">
              <w:rPr>
                <w:rFonts w:ascii="宋体" w:hAnsi="宋体" w:hint="eastAsia"/>
                <w:szCs w:val="21"/>
              </w:rPr>
              <w:t>：1）加盟业务仍将继续推进。无论是直</w:t>
            </w:r>
            <w:proofErr w:type="gramStart"/>
            <w:r w:rsidR="00C37C97" w:rsidRPr="00DA57E8">
              <w:rPr>
                <w:rFonts w:ascii="宋体" w:hAnsi="宋体" w:hint="eastAsia"/>
                <w:szCs w:val="21"/>
              </w:rPr>
              <w:t>营还是</w:t>
            </w:r>
            <w:proofErr w:type="gramEnd"/>
            <w:r w:rsidR="00C37C97" w:rsidRPr="00DA57E8">
              <w:rPr>
                <w:rFonts w:ascii="宋体" w:hAnsi="宋体" w:hint="eastAsia"/>
                <w:szCs w:val="21"/>
              </w:rPr>
              <w:t>加盟，我们在产品结构上始终坚持以一口价IP类产品为核心进行布局。随着国家明确将金</w:t>
            </w:r>
            <w:r w:rsidR="00C37C97" w:rsidRPr="00DA57E8">
              <w:rPr>
                <w:rFonts w:ascii="宋体" w:hAnsi="宋体" w:hint="eastAsia"/>
                <w:szCs w:val="21"/>
              </w:rPr>
              <w:lastRenderedPageBreak/>
              <w:t>条等投资</w:t>
            </w:r>
            <w:proofErr w:type="gramStart"/>
            <w:r w:rsidR="00C37C97" w:rsidRPr="00DA57E8">
              <w:rPr>
                <w:rFonts w:ascii="宋体" w:hAnsi="宋体" w:hint="eastAsia"/>
                <w:szCs w:val="21"/>
              </w:rPr>
              <w:t>金业务</w:t>
            </w:r>
            <w:proofErr w:type="gramEnd"/>
            <w:r w:rsidR="00C37C97" w:rsidRPr="00DA57E8">
              <w:rPr>
                <w:rFonts w:ascii="宋体" w:hAnsi="宋体" w:hint="eastAsia"/>
                <w:szCs w:val="21"/>
              </w:rPr>
              <w:t>属性赋予会员单位，未来加盟商在开设金店时，也将像</w:t>
            </w:r>
            <w:proofErr w:type="gramStart"/>
            <w:r w:rsidR="00C37C97" w:rsidRPr="00DA57E8">
              <w:rPr>
                <w:rFonts w:ascii="宋体" w:hAnsi="宋体" w:hint="eastAsia"/>
                <w:szCs w:val="21"/>
              </w:rPr>
              <w:t>莱</w:t>
            </w:r>
            <w:proofErr w:type="gramEnd"/>
            <w:r w:rsidR="00C37C97" w:rsidRPr="00DA57E8">
              <w:rPr>
                <w:rFonts w:ascii="宋体" w:hAnsi="宋体" w:hint="eastAsia"/>
                <w:szCs w:val="21"/>
              </w:rPr>
              <w:t>绅通灵一样，</w:t>
            </w:r>
            <w:bookmarkStart w:id="30" w:name="OLE_LINK66"/>
            <w:bookmarkStart w:id="31" w:name="OLE_LINK67"/>
            <w:r w:rsidR="00C37C97" w:rsidRPr="00DA57E8">
              <w:rPr>
                <w:rFonts w:ascii="宋体" w:hAnsi="宋体" w:hint="eastAsia"/>
                <w:szCs w:val="21"/>
              </w:rPr>
              <w:t>更多推广</w:t>
            </w:r>
            <w:r w:rsidR="00B32028" w:rsidRPr="00DA57E8">
              <w:rPr>
                <w:rFonts w:ascii="宋体" w:hAnsi="宋体" w:hint="eastAsia"/>
                <w:szCs w:val="21"/>
              </w:rPr>
              <w:t>公司IP属性的</w:t>
            </w:r>
            <w:r w:rsidR="00C37C97" w:rsidRPr="00DA57E8">
              <w:rPr>
                <w:rFonts w:ascii="宋体" w:hAnsi="宋体" w:hint="eastAsia"/>
                <w:szCs w:val="21"/>
              </w:rPr>
              <w:t>金饰产品</w:t>
            </w:r>
            <w:bookmarkEnd w:id="30"/>
            <w:bookmarkEnd w:id="31"/>
            <w:r w:rsidR="00C37C97" w:rsidRPr="00DA57E8">
              <w:rPr>
                <w:rFonts w:ascii="宋体" w:hAnsi="宋体" w:hint="eastAsia"/>
                <w:szCs w:val="21"/>
              </w:rPr>
              <w:t>，而非过去以销售克重黄金或金条为主。这一转变对于以</w:t>
            </w:r>
            <w:r w:rsidR="00744ABC" w:rsidRPr="00DA57E8">
              <w:rPr>
                <w:rFonts w:ascii="宋体" w:hAnsi="宋体" w:hint="eastAsia"/>
                <w:szCs w:val="21"/>
              </w:rPr>
              <w:t>产品个性化为特色的黄金饰品</w:t>
            </w:r>
            <w:r w:rsidR="00C37C97" w:rsidRPr="00DA57E8">
              <w:rPr>
                <w:rFonts w:ascii="宋体" w:hAnsi="宋体" w:hint="eastAsia"/>
                <w:szCs w:val="21"/>
              </w:rPr>
              <w:t>主导的零售珠宝公司而言，是积极的发展趋势。2）关于</w:t>
            </w:r>
            <w:r w:rsidR="00710C2E">
              <w:rPr>
                <w:rFonts w:ascii="宋体" w:hAnsi="宋体" w:hint="eastAsia"/>
                <w:szCs w:val="21"/>
              </w:rPr>
              <w:t>对</w:t>
            </w:r>
            <w:r w:rsidR="00C37C97" w:rsidRPr="00DA57E8">
              <w:rPr>
                <w:rFonts w:ascii="宋体" w:hAnsi="宋体" w:hint="eastAsia"/>
                <w:szCs w:val="21"/>
              </w:rPr>
              <w:t>加盟</w:t>
            </w:r>
            <w:r w:rsidR="00710C2E">
              <w:rPr>
                <w:rFonts w:ascii="宋体" w:hAnsi="宋体" w:hint="eastAsia"/>
                <w:szCs w:val="21"/>
              </w:rPr>
              <w:t>业务的</w:t>
            </w:r>
            <w:r w:rsidR="0041264F" w:rsidRPr="00DA57E8">
              <w:rPr>
                <w:rFonts w:ascii="宋体" w:hAnsi="宋体" w:hint="eastAsia"/>
                <w:szCs w:val="21"/>
              </w:rPr>
              <w:t>影响，</w:t>
            </w:r>
            <w:r w:rsidR="00C37C97" w:rsidRPr="00DA57E8">
              <w:rPr>
                <w:rFonts w:ascii="宋体" w:hAnsi="宋体" w:hint="eastAsia"/>
                <w:szCs w:val="21"/>
              </w:rPr>
              <w:t>该政策仅对</w:t>
            </w:r>
            <w:bookmarkStart w:id="32" w:name="OLE_LINK68"/>
            <w:r w:rsidR="00C37C97" w:rsidRPr="00DA57E8">
              <w:rPr>
                <w:rFonts w:ascii="宋体" w:hAnsi="宋体" w:hint="eastAsia"/>
                <w:szCs w:val="21"/>
              </w:rPr>
              <w:t>少数税务不规范的小型加盟商在短期内影响</w:t>
            </w:r>
            <w:bookmarkEnd w:id="32"/>
            <w:r w:rsidR="00C37C97" w:rsidRPr="00DA57E8">
              <w:rPr>
                <w:rFonts w:ascii="宋体" w:hAnsi="宋体" w:hint="eastAsia"/>
                <w:szCs w:val="21"/>
              </w:rPr>
              <w:t>较大，对于合</w:t>
            </w:r>
            <w:proofErr w:type="gramStart"/>
            <w:r w:rsidR="00C37C97" w:rsidRPr="00DA57E8">
              <w:rPr>
                <w:rFonts w:ascii="宋体" w:hAnsi="宋体" w:hint="eastAsia"/>
                <w:szCs w:val="21"/>
              </w:rPr>
              <w:t>规</w:t>
            </w:r>
            <w:proofErr w:type="gramEnd"/>
            <w:r w:rsidR="00C37C97" w:rsidRPr="00DA57E8">
              <w:rPr>
                <w:rFonts w:ascii="宋体" w:hAnsi="宋体" w:hint="eastAsia"/>
                <w:szCs w:val="21"/>
              </w:rPr>
              <w:t>经营的加盟商，所受影响与行业整体水平相当，大家仍处于同一竞争起跑线。3）从去年开始，我们就在积极拓展具备区域运营能力的平台型加盟商，他们不同于传统的个体户模式，通常负责整个区域的市场运营。</w:t>
            </w:r>
            <w:r w:rsidR="0041264F" w:rsidRPr="00DA57E8">
              <w:rPr>
                <w:rFonts w:ascii="宋体" w:hAnsi="宋体" w:hint="eastAsia"/>
                <w:szCs w:val="21"/>
              </w:rPr>
              <w:t>因此，公司</w:t>
            </w:r>
            <w:r w:rsidR="00C37C97" w:rsidRPr="00DA57E8">
              <w:rPr>
                <w:rFonts w:ascii="宋体" w:hAnsi="宋体" w:hint="eastAsia"/>
                <w:szCs w:val="21"/>
              </w:rPr>
              <w:t>明年的加盟策略不会改变，我们仍将持续大力拓展加盟业务，但在合作伙伴的选择上，会更倾向于与有实力、成规模的加盟商开展合作。</w:t>
            </w:r>
            <w:bookmarkEnd w:id="26"/>
            <w:bookmarkEnd w:id="27"/>
          </w:p>
          <w:p w14:paraId="1BA293DB" w14:textId="77777777" w:rsidR="00536EC9" w:rsidRPr="00DA57E8" w:rsidRDefault="00536EC9" w:rsidP="00536EC9">
            <w:pPr>
              <w:widowControl/>
              <w:spacing w:line="360" w:lineRule="auto"/>
              <w:ind w:firstLineChars="200" w:firstLine="422"/>
              <w:rPr>
                <w:rFonts w:ascii="宋体" w:hAnsi="宋体"/>
                <w:b/>
                <w:szCs w:val="21"/>
              </w:rPr>
            </w:pPr>
            <w:bookmarkStart w:id="33" w:name="OLE_LINK4"/>
            <w:bookmarkStart w:id="34" w:name="OLE_LINK5"/>
            <w:bookmarkEnd w:id="28"/>
            <w:bookmarkEnd w:id="29"/>
            <w:r w:rsidRPr="00DA57E8">
              <w:rPr>
                <w:rFonts w:ascii="宋体" w:hAnsi="宋体" w:hint="eastAsia"/>
                <w:b/>
                <w:szCs w:val="21"/>
              </w:rPr>
              <w:t>Q</w:t>
            </w:r>
            <w:r w:rsidR="00575664" w:rsidRPr="00DA57E8">
              <w:rPr>
                <w:rFonts w:ascii="宋体" w:hAnsi="宋体" w:hint="eastAsia"/>
                <w:b/>
                <w:szCs w:val="21"/>
              </w:rPr>
              <w:t>2</w:t>
            </w:r>
            <w:r w:rsidRPr="00DA57E8">
              <w:rPr>
                <w:rFonts w:ascii="宋体" w:hAnsi="宋体" w:hint="eastAsia"/>
                <w:b/>
                <w:szCs w:val="21"/>
              </w:rPr>
              <w:t>：</w:t>
            </w:r>
            <w:bookmarkEnd w:id="33"/>
            <w:bookmarkEnd w:id="34"/>
            <w:r w:rsidR="00575664" w:rsidRPr="00DA57E8">
              <w:rPr>
                <w:rFonts w:ascii="宋体" w:hAnsi="宋体" w:hint="eastAsia"/>
                <w:b/>
                <w:szCs w:val="21"/>
              </w:rPr>
              <w:t>公司</w:t>
            </w:r>
            <w:r w:rsidRPr="00DA57E8">
              <w:rPr>
                <w:rFonts w:ascii="宋体" w:hAnsi="宋体" w:hint="eastAsia"/>
                <w:b/>
                <w:szCs w:val="21"/>
              </w:rPr>
              <w:t>一口价产品一年大概调价几次？金价波动大且有新税收因素，怎么平衡这些因素调价？会不会往下调？</w:t>
            </w:r>
          </w:p>
          <w:p w14:paraId="470F001D" w14:textId="1CB31B4A" w:rsidR="00536EC9" w:rsidRPr="00DA57E8" w:rsidRDefault="00575664" w:rsidP="00571ED7">
            <w:pPr>
              <w:widowControl/>
              <w:spacing w:line="360" w:lineRule="auto"/>
              <w:ind w:firstLineChars="200" w:firstLine="422"/>
              <w:rPr>
                <w:rFonts w:ascii="宋体" w:hAnsi="宋体"/>
                <w:szCs w:val="21"/>
              </w:rPr>
            </w:pPr>
            <w:bookmarkStart w:id="35" w:name="OLE_LINK6"/>
            <w:bookmarkStart w:id="36" w:name="OLE_LINK8"/>
            <w:r w:rsidRPr="00DA57E8">
              <w:rPr>
                <w:rFonts w:ascii="宋体" w:hAnsi="宋体" w:hint="eastAsia"/>
                <w:b/>
                <w:szCs w:val="21"/>
              </w:rPr>
              <w:t>答</w:t>
            </w:r>
            <w:r w:rsidR="00536EC9" w:rsidRPr="00DA57E8">
              <w:rPr>
                <w:rFonts w:ascii="宋体" w:hAnsi="宋体" w:hint="eastAsia"/>
                <w:b/>
                <w:szCs w:val="21"/>
              </w:rPr>
              <w:t>：</w:t>
            </w:r>
            <w:bookmarkStart w:id="37" w:name="OLE_LINK31"/>
            <w:bookmarkStart w:id="38" w:name="OLE_LINK32"/>
            <w:bookmarkEnd w:id="35"/>
            <w:bookmarkEnd w:id="36"/>
            <w:r w:rsidR="00571ED7" w:rsidRPr="00DA57E8">
              <w:rPr>
                <w:rFonts w:ascii="宋体" w:hAnsi="宋体" w:hint="eastAsia"/>
                <w:szCs w:val="21"/>
              </w:rPr>
              <w:t>公司进入黄金赛道仅两年，截至目前尚未进行过任何向下调价的操作。我们一贯的定价策略是</w:t>
            </w:r>
            <w:r w:rsidR="00BF7372">
              <w:rPr>
                <w:rFonts w:ascii="宋体" w:hAnsi="宋体" w:hint="eastAsia"/>
                <w:szCs w:val="21"/>
              </w:rPr>
              <w:t>结合金价走势的阶段性积累，并配合新品发布的节奏进行价格调整。截至</w:t>
            </w:r>
            <w:r w:rsidR="00571ED7" w:rsidRPr="00DA57E8">
              <w:rPr>
                <w:rFonts w:ascii="宋体" w:hAnsi="宋体" w:hint="eastAsia"/>
                <w:szCs w:val="21"/>
              </w:rPr>
              <w:t>11月初，</w:t>
            </w:r>
            <w:r w:rsidR="000D4BDA" w:rsidRPr="00DA57E8">
              <w:rPr>
                <w:rFonts w:ascii="宋体" w:hAnsi="宋体" w:hint="eastAsia"/>
                <w:szCs w:val="21"/>
              </w:rPr>
              <w:t>公司</w:t>
            </w:r>
            <w:r w:rsidR="0079670D">
              <w:rPr>
                <w:rFonts w:ascii="宋体" w:hAnsi="宋体" w:hint="eastAsia"/>
                <w:szCs w:val="21"/>
              </w:rPr>
              <w:t>今年</w:t>
            </w:r>
            <w:bookmarkStart w:id="39" w:name="_GoBack"/>
            <w:bookmarkEnd w:id="39"/>
            <w:r w:rsidR="00571ED7" w:rsidRPr="00DA57E8">
              <w:rPr>
                <w:rFonts w:ascii="宋体" w:hAnsi="宋体" w:hint="eastAsia"/>
                <w:szCs w:val="21"/>
              </w:rPr>
              <w:t>累计调整价格三次，分别在2月、4月和10月。从当前行业情况看，同行</w:t>
            </w:r>
            <w:r w:rsidR="000D4BDA" w:rsidRPr="00DA57E8">
              <w:rPr>
                <w:rFonts w:ascii="宋体" w:hAnsi="宋体" w:hint="eastAsia"/>
                <w:szCs w:val="21"/>
              </w:rPr>
              <w:t>公司</w:t>
            </w:r>
            <w:r w:rsidR="00571ED7" w:rsidRPr="00DA57E8">
              <w:rPr>
                <w:rFonts w:ascii="宋体" w:hAnsi="宋体" w:hint="eastAsia"/>
                <w:szCs w:val="21"/>
              </w:rPr>
              <w:t>也普遍未出现下调金价的情况，整体趋势仍以向上调整为主。若未来金价出现大幅回调，作为黄金零售行业的新生力量，我们将参考主要同行（尤其是传统老牌企业）及上游供应商的应对方式。由于我们本身不涉及生产加工环节，定价策略会在一定程度上参考上游成本变化。如果成本</w:t>
            </w:r>
            <w:proofErr w:type="gramStart"/>
            <w:r w:rsidR="00571ED7" w:rsidRPr="00DA57E8">
              <w:rPr>
                <w:rFonts w:ascii="宋体" w:hAnsi="宋体" w:hint="eastAsia"/>
                <w:szCs w:val="21"/>
              </w:rPr>
              <w:t>端出现</w:t>
            </w:r>
            <w:proofErr w:type="gramEnd"/>
            <w:r w:rsidR="00571ED7" w:rsidRPr="00DA57E8">
              <w:rPr>
                <w:rFonts w:ascii="宋体" w:hAnsi="宋体" w:hint="eastAsia"/>
                <w:szCs w:val="21"/>
              </w:rPr>
              <w:t>显著上升，我们也将在合理范围内相应调整价格。</w:t>
            </w:r>
          </w:p>
          <w:p w14:paraId="25844449" w14:textId="77777777" w:rsidR="00575664" w:rsidRPr="00DA57E8" w:rsidRDefault="00575664" w:rsidP="00575664">
            <w:pPr>
              <w:widowControl/>
              <w:spacing w:line="360" w:lineRule="auto"/>
              <w:ind w:firstLineChars="200" w:firstLine="422"/>
              <w:rPr>
                <w:rFonts w:ascii="宋体" w:hAnsi="宋体"/>
                <w:szCs w:val="21"/>
              </w:rPr>
            </w:pPr>
            <w:bookmarkStart w:id="40" w:name="OLE_LINK9"/>
            <w:bookmarkEnd w:id="37"/>
            <w:bookmarkEnd w:id="38"/>
            <w:r w:rsidRPr="00DA57E8">
              <w:rPr>
                <w:rFonts w:ascii="宋体" w:hAnsi="宋体" w:hint="eastAsia"/>
                <w:b/>
                <w:szCs w:val="21"/>
              </w:rPr>
              <w:t>Q3：</w:t>
            </w:r>
            <w:bookmarkStart w:id="41" w:name="OLE_LINK55"/>
            <w:bookmarkStart w:id="42" w:name="OLE_LINK56"/>
            <w:bookmarkEnd w:id="40"/>
            <w:r w:rsidRPr="00DA57E8">
              <w:rPr>
                <w:rFonts w:ascii="宋体" w:hAnsi="宋体" w:hint="eastAsia"/>
                <w:b/>
                <w:szCs w:val="21"/>
              </w:rPr>
              <w:t>公司“鸢尾花”是品牌标志性设计符号，且有王室元素等相关产品，对于“鸢尾花”这种独特设计，公司如何保护？公司如何维护设计的创新性和引领性？</w:t>
            </w:r>
          </w:p>
          <w:p w14:paraId="5E3C5FA3" w14:textId="77777777" w:rsidR="00536EC9" w:rsidRPr="00DA57E8" w:rsidRDefault="00575664" w:rsidP="00575664">
            <w:pPr>
              <w:widowControl/>
              <w:spacing w:line="360" w:lineRule="auto"/>
              <w:ind w:firstLineChars="200" w:firstLine="422"/>
              <w:rPr>
                <w:rFonts w:ascii="宋体" w:hAnsi="宋体"/>
                <w:szCs w:val="21"/>
              </w:rPr>
            </w:pPr>
            <w:bookmarkStart w:id="43" w:name="OLE_LINK18"/>
            <w:bookmarkStart w:id="44" w:name="OLE_LINK20"/>
            <w:bookmarkEnd w:id="41"/>
            <w:bookmarkEnd w:id="42"/>
            <w:r w:rsidRPr="00DA57E8">
              <w:rPr>
                <w:rFonts w:ascii="宋体" w:hAnsi="宋体" w:hint="eastAsia"/>
                <w:b/>
                <w:szCs w:val="21"/>
              </w:rPr>
              <w:t>答：</w:t>
            </w:r>
            <w:bookmarkStart w:id="45" w:name="OLE_LINK28"/>
            <w:bookmarkStart w:id="46" w:name="OLE_LINK50"/>
            <w:bookmarkEnd w:id="43"/>
            <w:bookmarkEnd w:id="44"/>
            <w:r w:rsidR="0041264F" w:rsidRPr="00DA57E8">
              <w:rPr>
                <w:rFonts w:ascii="宋体" w:hAnsi="宋体" w:hint="eastAsia"/>
                <w:szCs w:val="21"/>
              </w:rPr>
              <w:t>在</w:t>
            </w:r>
            <w:r w:rsidRPr="00DA57E8">
              <w:rPr>
                <w:rFonts w:ascii="宋体" w:hAnsi="宋体" w:hint="eastAsia"/>
                <w:szCs w:val="21"/>
              </w:rPr>
              <w:t>维护设计的创新性和引领性上，</w:t>
            </w:r>
            <w:r w:rsidR="0041264F" w:rsidRPr="00DA57E8">
              <w:rPr>
                <w:rFonts w:ascii="宋体" w:hAnsi="宋体" w:hint="eastAsia"/>
                <w:szCs w:val="21"/>
              </w:rPr>
              <w:t>我们认为关键是要不断走在时代</w:t>
            </w:r>
            <w:r w:rsidR="004A7E86" w:rsidRPr="00DA57E8">
              <w:rPr>
                <w:rFonts w:ascii="宋体" w:hAnsi="宋体" w:hint="eastAsia"/>
                <w:szCs w:val="21"/>
              </w:rPr>
              <w:t>审美和潮流的</w:t>
            </w:r>
            <w:r w:rsidR="0041264F" w:rsidRPr="00DA57E8">
              <w:rPr>
                <w:rFonts w:ascii="宋体" w:hAnsi="宋体" w:hint="eastAsia"/>
                <w:szCs w:val="21"/>
              </w:rPr>
              <w:t>前沿</w:t>
            </w:r>
            <w:r w:rsidRPr="00DA57E8">
              <w:rPr>
                <w:rFonts w:ascii="宋体" w:hAnsi="宋体" w:hint="eastAsia"/>
                <w:szCs w:val="21"/>
              </w:rPr>
              <w:t>。</w:t>
            </w:r>
            <w:r w:rsidR="004A7E86" w:rsidRPr="00DA57E8">
              <w:rPr>
                <w:rFonts w:ascii="宋体" w:hAnsi="宋体" w:hint="eastAsia"/>
                <w:szCs w:val="21"/>
              </w:rPr>
              <w:t>公司通过完善的知识产权体系对“鸢尾花”系列设计进行全面保护，系列产品均已完成外观专利与著作权登记。从另一角度看，市场上仿冒产品的出现，也在一定程度上反映出公司产品设计具有较强的辨识度与市场影响力。面对小型供应商的模仿行为，公司在</w:t>
            </w:r>
            <w:proofErr w:type="gramStart"/>
            <w:r w:rsidR="004A7E86" w:rsidRPr="00DA57E8">
              <w:rPr>
                <w:rFonts w:ascii="宋体" w:hAnsi="宋体" w:hint="eastAsia"/>
                <w:szCs w:val="21"/>
              </w:rPr>
              <w:t>实际维</w:t>
            </w:r>
            <w:proofErr w:type="gramEnd"/>
            <w:r w:rsidR="004A7E86" w:rsidRPr="00DA57E8">
              <w:rPr>
                <w:rFonts w:ascii="宋体" w:hAnsi="宋体" w:hint="eastAsia"/>
                <w:szCs w:val="21"/>
              </w:rPr>
              <w:t>权中确实面临</w:t>
            </w:r>
            <w:r w:rsidR="004706DF" w:rsidRPr="00DA57E8">
              <w:rPr>
                <w:rFonts w:ascii="宋体" w:hAnsi="宋体" w:hint="eastAsia"/>
                <w:szCs w:val="21"/>
              </w:rPr>
              <w:t>一定</w:t>
            </w:r>
            <w:r w:rsidR="004A7E86" w:rsidRPr="00DA57E8">
              <w:rPr>
                <w:rFonts w:ascii="宋体" w:hAnsi="宋体" w:hint="eastAsia"/>
                <w:szCs w:val="21"/>
              </w:rPr>
              <w:t>挑战；但</w:t>
            </w:r>
            <w:proofErr w:type="gramStart"/>
            <w:r w:rsidR="004A7E86" w:rsidRPr="00DA57E8">
              <w:rPr>
                <w:rFonts w:ascii="宋体" w:hAnsi="宋体" w:hint="eastAsia"/>
                <w:szCs w:val="21"/>
              </w:rPr>
              <w:t>若行</w:t>
            </w:r>
            <w:proofErr w:type="gramEnd"/>
            <w:r w:rsidR="004A7E86" w:rsidRPr="00DA57E8">
              <w:rPr>
                <w:rFonts w:ascii="宋体" w:hAnsi="宋体" w:hint="eastAsia"/>
                <w:szCs w:val="21"/>
              </w:rPr>
              <w:t>业头部企业出现仿制行为，我们将坚决通过法律途径开展维权工作，维护自身设计成果与品牌权益</w:t>
            </w:r>
            <w:r w:rsidRPr="00DA57E8">
              <w:rPr>
                <w:rFonts w:ascii="宋体" w:hAnsi="宋体" w:hint="eastAsia"/>
                <w:szCs w:val="21"/>
              </w:rPr>
              <w:t>。</w:t>
            </w:r>
          </w:p>
          <w:p w14:paraId="4D2DD61E" w14:textId="77777777" w:rsidR="00575664" w:rsidRPr="00DA57E8" w:rsidRDefault="00575664" w:rsidP="00575664">
            <w:pPr>
              <w:widowControl/>
              <w:spacing w:line="360" w:lineRule="auto"/>
              <w:ind w:firstLineChars="200" w:firstLine="422"/>
              <w:rPr>
                <w:rFonts w:ascii="宋体" w:hAnsi="宋体"/>
                <w:b/>
                <w:szCs w:val="21"/>
              </w:rPr>
            </w:pPr>
            <w:bookmarkStart w:id="47" w:name="OLE_LINK24"/>
            <w:bookmarkStart w:id="48" w:name="OLE_LINK25"/>
            <w:bookmarkEnd w:id="45"/>
            <w:bookmarkEnd w:id="46"/>
            <w:r w:rsidRPr="00DA57E8">
              <w:rPr>
                <w:rFonts w:ascii="宋体" w:hAnsi="宋体" w:hint="eastAsia"/>
                <w:b/>
                <w:szCs w:val="21"/>
              </w:rPr>
              <w:lastRenderedPageBreak/>
              <w:t>Q4</w:t>
            </w:r>
            <w:bookmarkEnd w:id="47"/>
            <w:bookmarkEnd w:id="48"/>
            <w:r w:rsidRPr="00DA57E8">
              <w:rPr>
                <w:rFonts w:ascii="宋体" w:hAnsi="宋体" w:hint="eastAsia"/>
                <w:b/>
                <w:szCs w:val="21"/>
              </w:rPr>
              <w:t>：</w:t>
            </w:r>
            <w:bookmarkStart w:id="49" w:name="OLE_LINK39"/>
            <w:bookmarkStart w:id="50" w:name="OLE_LINK40"/>
            <w:bookmarkStart w:id="51" w:name="OLE_LINK57"/>
            <w:r w:rsidRPr="00DA57E8">
              <w:rPr>
                <w:rFonts w:ascii="宋体" w:hAnsi="宋体" w:hint="eastAsia"/>
                <w:b/>
                <w:szCs w:val="21"/>
              </w:rPr>
              <w:t>税改之后，门店反馈消费者对价格上涨的接受度怎么样？消费情绪有没有变化？</w:t>
            </w:r>
          </w:p>
          <w:p w14:paraId="727C17EF" w14:textId="77777777" w:rsidR="00536EC9" w:rsidRPr="00DA57E8" w:rsidRDefault="00575664" w:rsidP="00601E2F">
            <w:pPr>
              <w:widowControl/>
              <w:spacing w:line="360" w:lineRule="auto"/>
              <w:ind w:firstLineChars="200" w:firstLine="422"/>
              <w:rPr>
                <w:rFonts w:ascii="宋体" w:hAnsi="宋体"/>
                <w:szCs w:val="21"/>
              </w:rPr>
            </w:pPr>
            <w:bookmarkStart w:id="52" w:name="OLE_LINK26"/>
            <w:bookmarkEnd w:id="49"/>
            <w:bookmarkEnd w:id="50"/>
            <w:bookmarkEnd w:id="51"/>
            <w:r w:rsidRPr="00DA57E8">
              <w:rPr>
                <w:rFonts w:ascii="宋体" w:hAnsi="宋体" w:hint="eastAsia"/>
                <w:b/>
                <w:szCs w:val="21"/>
              </w:rPr>
              <w:t>答：</w:t>
            </w:r>
            <w:bookmarkStart w:id="53" w:name="OLE_LINK41"/>
            <w:bookmarkStart w:id="54" w:name="OLE_LINK58"/>
            <w:bookmarkEnd w:id="52"/>
            <w:r w:rsidR="00812F42" w:rsidRPr="00DA57E8">
              <w:rPr>
                <w:rFonts w:ascii="宋体" w:hAnsi="宋体" w:hint="eastAsia"/>
                <w:szCs w:val="21"/>
              </w:rPr>
              <w:t>税改政策落地后，从门店终端的反馈来看，消费者对价格调整的接受</w:t>
            </w:r>
            <w:proofErr w:type="gramStart"/>
            <w:r w:rsidR="00812F42" w:rsidRPr="00DA57E8">
              <w:rPr>
                <w:rFonts w:ascii="宋体" w:hAnsi="宋体" w:hint="eastAsia"/>
                <w:szCs w:val="21"/>
              </w:rPr>
              <w:t>度整体</w:t>
            </w:r>
            <w:proofErr w:type="gramEnd"/>
            <w:r w:rsidR="00812F42" w:rsidRPr="00DA57E8">
              <w:rPr>
                <w:rFonts w:ascii="宋体" w:hAnsi="宋体" w:hint="eastAsia"/>
                <w:szCs w:val="21"/>
              </w:rPr>
              <w:t>处于可控范围。虽然部分顾客对黄金饰品的价格变动较为敏感，尤其是一些传统克重</w:t>
            </w:r>
            <w:r w:rsidR="00F441A1" w:rsidRPr="00DA57E8">
              <w:rPr>
                <w:rFonts w:ascii="宋体" w:hAnsi="宋体" w:hint="eastAsia"/>
                <w:szCs w:val="21"/>
              </w:rPr>
              <w:t>金的</w:t>
            </w:r>
            <w:r w:rsidR="00812F42" w:rsidRPr="00DA57E8">
              <w:rPr>
                <w:rFonts w:ascii="宋体" w:hAnsi="宋体" w:hint="eastAsia"/>
                <w:szCs w:val="21"/>
              </w:rPr>
              <w:t>消费群体，但整体消费情绪并未出现大幅波动。</w:t>
            </w:r>
            <w:bookmarkEnd w:id="53"/>
            <w:r w:rsidR="00601E2F" w:rsidRPr="00DA57E8">
              <w:rPr>
                <w:rFonts w:ascii="宋体" w:hAnsi="宋体" w:hint="eastAsia"/>
                <w:szCs w:val="21"/>
              </w:rPr>
              <w:t>未来，我们也会持续关注消费者需求变化，在产品和营销上</w:t>
            </w:r>
            <w:r w:rsidR="00F441A1" w:rsidRPr="00DA57E8">
              <w:rPr>
                <w:rFonts w:ascii="宋体" w:hAnsi="宋体" w:hint="eastAsia"/>
                <w:szCs w:val="21"/>
              </w:rPr>
              <w:t>进一步</w:t>
            </w:r>
            <w:r w:rsidR="00601E2F" w:rsidRPr="00DA57E8">
              <w:rPr>
                <w:rFonts w:ascii="宋体" w:hAnsi="宋体" w:hint="eastAsia"/>
                <w:szCs w:val="21"/>
              </w:rPr>
              <w:t>差异化布局，增强高附加值产品的推广，强化品牌宣传与推广力度。</w:t>
            </w:r>
          </w:p>
          <w:p w14:paraId="1DAF2044" w14:textId="77777777" w:rsidR="00CE1BE4" w:rsidRPr="00DA57E8" w:rsidRDefault="00CE1BE4" w:rsidP="00CE1BE4">
            <w:pPr>
              <w:widowControl/>
              <w:spacing w:line="360" w:lineRule="auto"/>
              <w:ind w:firstLineChars="200" w:firstLine="422"/>
              <w:rPr>
                <w:rFonts w:ascii="宋体" w:hAnsi="宋体"/>
                <w:b/>
                <w:szCs w:val="21"/>
              </w:rPr>
            </w:pPr>
            <w:bookmarkStart w:id="55" w:name="OLE_LINK33"/>
            <w:bookmarkEnd w:id="54"/>
            <w:r w:rsidRPr="00DA57E8">
              <w:rPr>
                <w:rFonts w:ascii="宋体" w:hAnsi="宋体" w:hint="eastAsia"/>
                <w:b/>
                <w:szCs w:val="21"/>
              </w:rPr>
              <w:t>Q5：</w:t>
            </w:r>
            <w:bookmarkStart w:id="56" w:name="OLE_LINK59"/>
            <w:bookmarkEnd w:id="55"/>
            <w:r w:rsidRPr="00DA57E8">
              <w:rPr>
                <w:rFonts w:ascii="宋体" w:hAnsi="宋体" w:hint="eastAsia"/>
                <w:b/>
                <w:szCs w:val="21"/>
              </w:rPr>
              <w:t>直营店和加盟店的开店计划是怎样的？税改之后，那些有意向的加盟商，开店意愿有没有变化？</w:t>
            </w:r>
          </w:p>
          <w:bookmarkEnd w:id="56"/>
          <w:p w14:paraId="62758EAB" w14:textId="77777777" w:rsidR="00CE1BE4" w:rsidRPr="00DA57E8" w:rsidRDefault="00CE1BE4" w:rsidP="004C14B7">
            <w:pPr>
              <w:widowControl/>
              <w:spacing w:line="360" w:lineRule="auto"/>
              <w:ind w:firstLineChars="200" w:firstLine="422"/>
              <w:rPr>
                <w:rFonts w:ascii="宋体" w:hAnsi="宋体"/>
                <w:szCs w:val="21"/>
              </w:rPr>
            </w:pPr>
            <w:r w:rsidRPr="00DA57E8">
              <w:rPr>
                <w:rFonts w:ascii="宋体" w:hAnsi="宋体" w:hint="eastAsia"/>
                <w:b/>
                <w:szCs w:val="21"/>
              </w:rPr>
              <w:t>答：</w:t>
            </w:r>
            <w:bookmarkStart w:id="57" w:name="OLE_LINK60"/>
            <w:bookmarkStart w:id="58" w:name="OLE_LINK61"/>
            <w:r w:rsidRPr="00DA57E8">
              <w:rPr>
                <w:rFonts w:ascii="宋体" w:hAnsi="宋体" w:hint="eastAsia"/>
                <w:szCs w:val="21"/>
              </w:rPr>
              <w:t>开店方面，</w:t>
            </w:r>
            <w:r w:rsidR="00601E2F" w:rsidRPr="00DA57E8">
              <w:rPr>
                <w:rFonts w:ascii="宋体" w:hAnsi="宋体" w:hint="eastAsia"/>
                <w:szCs w:val="21"/>
              </w:rPr>
              <w:t>公司</w:t>
            </w:r>
            <w:r w:rsidRPr="00DA57E8">
              <w:rPr>
                <w:rFonts w:ascii="宋体" w:hAnsi="宋体" w:hint="eastAsia"/>
                <w:szCs w:val="21"/>
              </w:rPr>
              <w:t>直营这两年会保持“稳定趋优”，未来两到三年更注重直营门店的优化，做一些渠道商的调整，比如在</w:t>
            </w:r>
            <w:proofErr w:type="gramStart"/>
            <w:r w:rsidRPr="00DA57E8">
              <w:rPr>
                <w:rFonts w:ascii="宋体" w:hAnsi="宋体" w:hint="eastAsia"/>
                <w:szCs w:val="21"/>
              </w:rPr>
              <w:t>一二线超</w:t>
            </w:r>
            <w:proofErr w:type="gramEnd"/>
            <w:r w:rsidRPr="00DA57E8">
              <w:rPr>
                <w:rFonts w:ascii="宋体" w:hAnsi="宋体" w:hint="eastAsia"/>
                <w:szCs w:val="21"/>
              </w:rPr>
              <w:t>大型城市的优质商超，为业绩和品牌形象进一步优化渠道。</w:t>
            </w:r>
            <w:r w:rsidR="007A64E6" w:rsidRPr="00DA57E8">
              <w:rPr>
                <w:rFonts w:ascii="宋体" w:hAnsi="宋体" w:hint="eastAsia"/>
                <w:szCs w:val="21"/>
              </w:rPr>
              <w:t>原则上，公司明年所有直营店都有单店收入指标，如果达不到指标，就会做优化调整。</w:t>
            </w:r>
            <w:r w:rsidRPr="00DA57E8">
              <w:rPr>
                <w:rFonts w:ascii="宋体" w:hAnsi="宋体" w:hint="eastAsia"/>
                <w:szCs w:val="21"/>
              </w:rPr>
              <w:t>加盟方面，我们有拓展目标，加盟店仍计划扩展。意向加盟商中，优先选择的实力强、规范的加盟商，对珠宝行业发展趋势有认同感，信心更足，税改反而和</w:t>
            </w:r>
            <w:proofErr w:type="gramStart"/>
            <w:r w:rsidRPr="00DA57E8">
              <w:rPr>
                <w:rFonts w:ascii="宋体" w:hAnsi="宋体" w:hint="eastAsia"/>
                <w:szCs w:val="21"/>
              </w:rPr>
              <w:t>莱</w:t>
            </w:r>
            <w:proofErr w:type="gramEnd"/>
            <w:r w:rsidRPr="00DA57E8">
              <w:rPr>
                <w:rFonts w:ascii="宋体" w:hAnsi="宋体" w:hint="eastAsia"/>
                <w:szCs w:val="21"/>
              </w:rPr>
              <w:t>绅通灵的发展理念更契合。</w:t>
            </w:r>
          </w:p>
          <w:p w14:paraId="52EF1847" w14:textId="77777777" w:rsidR="00B331EC" w:rsidRPr="00DA57E8" w:rsidRDefault="00B331EC" w:rsidP="00B331EC">
            <w:pPr>
              <w:widowControl/>
              <w:spacing w:line="360" w:lineRule="auto"/>
              <w:ind w:firstLineChars="200" w:firstLine="422"/>
              <w:rPr>
                <w:rFonts w:ascii="宋体" w:hAnsi="宋体"/>
                <w:b/>
                <w:szCs w:val="21"/>
              </w:rPr>
            </w:pPr>
            <w:bookmarkStart w:id="59" w:name="OLE_LINK34"/>
            <w:bookmarkStart w:id="60" w:name="OLE_LINK35"/>
            <w:bookmarkStart w:id="61" w:name="OLE_LINK38"/>
            <w:bookmarkEnd w:id="57"/>
            <w:bookmarkEnd w:id="58"/>
            <w:r w:rsidRPr="00DA57E8">
              <w:rPr>
                <w:rFonts w:ascii="宋体" w:hAnsi="宋体" w:hint="eastAsia"/>
                <w:b/>
                <w:szCs w:val="21"/>
              </w:rPr>
              <w:t>Q6：</w:t>
            </w:r>
            <w:bookmarkStart w:id="62" w:name="OLE_LINK62"/>
            <w:bookmarkEnd w:id="59"/>
            <w:bookmarkEnd w:id="60"/>
            <w:bookmarkEnd w:id="61"/>
            <w:r w:rsidRPr="00DA57E8">
              <w:rPr>
                <w:rFonts w:ascii="宋体" w:hAnsi="宋体" w:hint="eastAsia"/>
                <w:b/>
                <w:szCs w:val="21"/>
              </w:rPr>
              <w:t>新政出台前，为满足部分加盟</w:t>
            </w:r>
            <w:proofErr w:type="gramStart"/>
            <w:r w:rsidRPr="00DA57E8">
              <w:rPr>
                <w:rFonts w:ascii="宋体" w:hAnsi="宋体" w:hint="eastAsia"/>
                <w:b/>
                <w:szCs w:val="21"/>
              </w:rPr>
              <w:t>商需求</w:t>
            </w:r>
            <w:proofErr w:type="gramEnd"/>
            <w:r w:rsidRPr="00DA57E8">
              <w:rPr>
                <w:rFonts w:ascii="宋体" w:hAnsi="宋体" w:hint="eastAsia"/>
                <w:b/>
                <w:szCs w:val="21"/>
              </w:rPr>
              <w:t>允许</w:t>
            </w:r>
            <w:proofErr w:type="gramStart"/>
            <w:r w:rsidRPr="00DA57E8">
              <w:rPr>
                <w:rFonts w:ascii="宋体" w:hAnsi="宋体" w:hint="eastAsia"/>
                <w:b/>
                <w:szCs w:val="21"/>
              </w:rPr>
              <w:t>其卖克重金</w:t>
            </w:r>
            <w:proofErr w:type="gramEnd"/>
            <w:r w:rsidRPr="00DA57E8">
              <w:rPr>
                <w:rFonts w:ascii="宋体" w:hAnsi="宋体" w:hint="eastAsia"/>
                <w:b/>
                <w:szCs w:val="21"/>
              </w:rPr>
              <w:t>，新政后会不会更希望加盟店货盘都是</w:t>
            </w:r>
            <w:proofErr w:type="gramStart"/>
            <w:r w:rsidRPr="00DA57E8">
              <w:rPr>
                <w:rFonts w:ascii="宋体" w:hAnsi="宋体" w:hint="eastAsia"/>
                <w:b/>
                <w:szCs w:val="21"/>
              </w:rPr>
              <w:t>莱</w:t>
            </w:r>
            <w:proofErr w:type="gramEnd"/>
            <w:r w:rsidRPr="00DA57E8">
              <w:rPr>
                <w:rFonts w:ascii="宋体" w:hAnsi="宋体" w:hint="eastAsia"/>
                <w:b/>
                <w:szCs w:val="21"/>
              </w:rPr>
              <w:t>绅通灵的产品？会不会研发更适配三线城市的 IP 货盘？</w:t>
            </w:r>
          </w:p>
          <w:p w14:paraId="398333AF" w14:textId="77777777" w:rsidR="00601E2F" w:rsidRPr="00DA57E8" w:rsidRDefault="00B331EC" w:rsidP="00601E2F">
            <w:pPr>
              <w:widowControl/>
              <w:spacing w:line="360" w:lineRule="auto"/>
              <w:ind w:firstLineChars="200" w:firstLine="422"/>
              <w:rPr>
                <w:rFonts w:ascii="宋体" w:hAnsi="宋体"/>
                <w:szCs w:val="21"/>
              </w:rPr>
            </w:pPr>
            <w:bookmarkStart w:id="63" w:name="OLE_LINK36"/>
            <w:bookmarkStart w:id="64" w:name="OLE_LINK37"/>
            <w:bookmarkEnd w:id="62"/>
            <w:r w:rsidRPr="00DA57E8">
              <w:rPr>
                <w:rFonts w:ascii="宋体" w:hAnsi="宋体" w:hint="eastAsia"/>
                <w:b/>
                <w:szCs w:val="21"/>
              </w:rPr>
              <w:t>答：</w:t>
            </w:r>
            <w:bookmarkStart w:id="65" w:name="OLE_LINK42"/>
            <w:bookmarkStart w:id="66" w:name="OLE_LINK43"/>
            <w:bookmarkEnd w:id="63"/>
            <w:bookmarkEnd w:id="64"/>
            <w:r w:rsidR="00601E2F" w:rsidRPr="00DA57E8">
              <w:rPr>
                <w:rFonts w:ascii="宋体" w:hAnsi="宋体" w:hint="eastAsia"/>
                <w:szCs w:val="21"/>
              </w:rPr>
              <w:t>新政落地后，公司将更加注重推动加盟店全面使用公司统一供货的货盘。这不仅有助于提升加盟业务收入，也将进一步强化品牌整体形象和市场一致性。此前，为适应不同区域的销售特点，公司在货盘配置上保留了一定灵活性。如今在政策引导下，我们具备了更充分的依据来优化加盟终端的产品结构，稳步提升公司产品在加盟渠道中的占比。</w:t>
            </w:r>
          </w:p>
          <w:p w14:paraId="79629CE2" w14:textId="082F5CB5" w:rsidR="00601E2F" w:rsidRPr="00DA57E8" w:rsidRDefault="001A155D" w:rsidP="001A155D">
            <w:pPr>
              <w:widowControl/>
              <w:spacing w:line="360" w:lineRule="auto"/>
              <w:ind w:firstLineChars="200" w:firstLine="420"/>
              <w:rPr>
                <w:rFonts w:ascii="宋体" w:hAnsi="宋体"/>
                <w:szCs w:val="21"/>
              </w:rPr>
            </w:pPr>
            <w:r w:rsidRPr="001A155D">
              <w:rPr>
                <w:rFonts w:ascii="宋体" w:hAnsi="宋体" w:hint="eastAsia"/>
                <w:szCs w:val="21"/>
              </w:rPr>
              <w:t>与此同时，公司也将加快研发更适合不同市场的IP产品系列。我们明确区分不同层级城市的货盘策略，不会简单将统一货盘铺在不同市场，而是基于当地消费偏好和购买力，推出更具适配性的产品组合。这一差异化举措，既是对区域市场的精准运营，也</w:t>
            </w:r>
            <w:r>
              <w:rPr>
                <w:rFonts w:ascii="宋体" w:hAnsi="宋体" w:hint="eastAsia"/>
                <w:szCs w:val="21"/>
              </w:rPr>
              <w:t>能借助政策契机，推动公司与加盟伙伴共同实现产品与渠道的双重升级</w:t>
            </w:r>
            <w:r w:rsidR="00601E2F" w:rsidRPr="00DA57E8">
              <w:rPr>
                <w:rFonts w:ascii="宋体" w:hAnsi="宋体" w:hint="eastAsia"/>
                <w:szCs w:val="21"/>
              </w:rPr>
              <w:t>。</w:t>
            </w:r>
          </w:p>
          <w:bookmarkEnd w:id="65"/>
          <w:bookmarkEnd w:id="66"/>
          <w:p w14:paraId="572981E9" w14:textId="77777777" w:rsidR="00B35643" w:rsidRPr="00DA57E8" w:rsidRDefault="00B35643" w:rsidP="00B35643">
            <w:pPr>
              <w:widowControl/>
              <w:spacing w:line="360" w:lineRule="auto"/>
              <w:ind w:firstLineChars="200" w:firstLine="422"/>
              <w:rPr>
                <w:rFonts w:ascii="宋体" w:hAnsi="宋体"/>
                <w:szCs w:val="21"/>
              </w:rPr>
            </w:pPr>
            <w:r w:rsidRPr="00DA57E8">
              <w:rPr>
                <w:rFonts w:ascii="宋体" w:hAnsi="宋体" w:hint="eastAsia"/>
                <w:b/>
                <w:szCs w:val="21"/>
              </w:rPr>
              <w:t>Q7：</w:t>
            </w:r>
            <w:bookmarkStart w:id="67" w:name="OLE_LINK63"/>
            <w:r w:rsidRPr="00DA57E8">
              <w:rPr>
                <w:rFonts w:ascii="宋体" w:hAnsi="宋体" w:hint="eastAsia"/>
                <w:b/>
                <w:szCs w:val="21"/>
              </w:rPr>
              <w:t>在扩张加盟的过程中，公司会不会为了加速加盟拓展，放松对加盟商在销售系统的执行要求？</w:t>
            </w:r>
          </w:p>
          <w:bookmarkEnd w:id="67"/>
          <w:p w14:paraId="6E69B291" w14:textId="5B11D79A" w:rsidR="0006578C" w:rsidRPr="00DA57E8" w:rsidRDefault="00B35643" w:rsidP="0006578C">
            <w:pPr>
              <w:widowControl/>
              <w:spacing w:line="360" w:lineRule="auto"/>
              <w:ind w:firstLineChars="200" w:firstLine="422"/>
              <w:rPr>
                <w:rFonts w:ascii="宋体" w:hAnsi="宋体"/>
                <w:szCs w:val="21"/>
              </w:rPr>
            </w:pPr>
            <w:r w:rsidRPr="00DA57E8">
              <w:rPr>
                <w:rFonts w:ascii="宋体" w:hAnsi="宋体" w:hint="eastAsia"/>
                <w:b/>
                <w:szCs w:val="21"/>
              </w:rPr>
              <w:lastRenderedPageBreak/>
              <w:t>答：</w:t>
            </w:r>
            <w:bookmarkStart w:id="68" w:name="OLE_LINK45"/>
            <w:bookmarkStart w:id="69" w:name="OLE_LINK46"/>
            <w:bookmarkStart w:id="70" w:name="OLE_LINK44"/>
            <w:r w:rsidR="0006578C" w:rsidRPr="00DA57E8">
              <w:rPr>
                <w:rFonts w:ascii="宋体" w:hAnsi="宋体" w:hint="eastAsia"/>
                <w:szCs w:val="21"/>
              </w:rPr>
              <w:t>终端销售系统对加盟商有约束，但也有利好。</w:t>
            </w:r>
            <w:bookmarkEnd w:id="68"/>
            <w:bookmarkEnd w:id="69"/>
            <w:r w:rsidR="0006578C" w:rsidRPr="00DA57E8">
              <w:rPr>
                <w:rFonts w:ascii="宋体" w:hAnsi="宋体" w:hint="eastAsia"/>
                <w:szCs w:val="21"/>
              </w:rPr>
              <w:t>消费者在购买</w:t>
            </w:r>
            <w:r w:rsidR="00744ABC" w:rsidRPr="00DA57E8">
              <w:rPr>
                <w:rFonts w:ascii="宋体" w:hAnsi="宋体" w:hint="eastAsia"/>
                <w:szCs w:val="21"/>
              </w:rPr>
              <w:t>高单价</w:t>
            </w:r>
            <w:r w:rsidR="0006578C" w:rsidRPr="00DA57E8">
              <w:rPr>
                <w:rFonts w:ascii="宋体" w:hAnsi="宋体" w:hint="eastAsia"/>
                <w:szCs w:val="21"/>
              </w:rPr>
              <w:t>珠宝时，往往更信赖具备统一售后保障的品牌，而非依赖单店承诺——这种品牌背书能够有效帮助加盟商提升销售转化。因此，“约束”与“利好”实则是相辅相成的。</w:t>
            </w:r>
          </w:p>
          <w:p w14:paraId="67F4463B" w14:textId="77777777" w:rsidR="00514ADF" w:rsidRPr="00DA57E8" w:rsidRDefault="0006578C" w:rsidP="007A64E6">
            <w:pPr>
              <w:widowControl/>
              <w:spacing w:line="360" w:lineRule="auto"/>
              <w:ind w:firstLineChars="200" w:firstLine="420"/>
              <w:rPr>
                <w:rFonts w:ascii="宋体" w:hAnsi="宋体"/>
                <w:szCs w:val="21"/>
              </w:rPr>
            </w:pPr>
            <w:proofErr w:type="gramStart"/>
            <w:r w:rsidRPr="00DA57E8">
              <w:rPr>
                <w:rFonts w:ascii="宋体" w:hAnsi="宋体" w:hint="eastAsia"/>
                <w:szCs w:val="21"/>
              </w:rPr>
              <w:t>莱</w:t>
            </w:r>
            <w:proofErr w:type="gramEnd"/>
            <w:r w:rsidRPr="00DA57E8">
              <w:rPr>
                <w:rFonts w:ascii="宋体" w:hAnsi="宋体" w:hint="eastAsia"/>
                <w:szCs w:val="21"/>
              </w:rPr>
              <w:t>绅通灵始终将加盟</w:t>
            </w:r>
            <w:proofErr w:type="gramStart"/>
            <w:r w:rsidRPr="00DA57E8">
              <w:rPr>
                <w:rFonts w:ascii="宋体" w:hAnsi="宋体" w:hint="eastAsia"/>
                <w:szCs w:val="21"/>
              </w:rPr>
              <w:t>商管理</w:t>
            </w:r>
            <w:proofErr w:type="gramEnd"/>
            <w:r w:rsidRPr="00DA57E8">
              <w:rPr>
                <w:rFonts w:ascii="宋体" w:hAnsi="宋体" w:hint="eastAsia"/>
                <w:szCs w:val="21"/>
              </w:rPr>
              <w:t>视作核心职能，不会因规模扩张而放松对运营标准的要求。今年以来，公司持续推进销售系统的迭代升级，未来信息化管理能力将进一步提升。尤其是和消费者端到端的互动，系统开发工作正稳步推进，预计明年能落地。</w:t>
            </w:r>
            <w:bookmarkEnd w:id="13"/>
            <w:bookmarkEnd w:id="14"/>
            <w:bookmarkEnd w:id="15"/>
            <w:bookmarkEnd w:id="16"/>
            <w:bookmarkEnd w:id="17"/>
            <w:bookmarkEnd w:id="18"/>
            <w:bookmarkEnd w:id="19"/>
            <w:bookmarkEnd w:id="20"/>
            <w:bookmarkEnd w:id="21"/>
            <w:bookmarkEnd w:id="22"/>
            <w:bookmarkEnd w:id="24"/>
            <w:bookmarkEnd w:id="25"/>
            <w:bookmarkEnd w:id="70"/>
          </w:p>
        </w:tc>
      </w:tr>
      <w:tr w:rsidR="000301D7" w:rsidRPr="00885D73" w14:paraId="67B1BBE0" w14:textId="77777777" w:rsidTr="004706DF">
        <w:trPr>
          <w:trHeight w:val="1553"/>
          <w:jc w:val="center"/>
        </w:trPr>
        <w:tc>
          <w:tcPr>
            <w:tcW w:w="1383" w:type="dxa"/>
            <w:tcBorders>
              <w:top w:val="single" w:sz="4" w:space="0" w:color="auto"/>
              <w:left w:val="single" w:sz="4" w:space="0" w:color="auto"/>
              <w:bottom w:val="single" w:sz="4" w:space="0" w:color="auto"/>
              <w:right w:val="single" w:sz="4" w:space="0" w:color="auto"/>
            </w:tcBorders>
            <w:vAlign w:val="center"/>
          </w:tcPr>
          <w:p w14:paraId="5D9770FE" w14:textId="77777777" w:rsidR="000301D7" w:rsidRPr="00DA57E8" w:rsidRDefault="000301D7" w:rsidP="006C17B2">
            <w:pPr>
              <w:widowControl/>
              <w:spacing w:line="360" w:lineRule="auto"/>
              <w:jc w:val="center"/>
              <w:rPr>
                <w:rFonts w:ascii="宋体" w:hAnsi="宋体"/>
                <w:b/>
              </w:rPr>
            </w:pPr>
            <w:r w:rsidRPr="00DA57E8">
              <w:rPr>
                <w:rFonts w:ascii="宋体" w:hAnsi="宋体" w:hint="eastAsia"/>
                <w:b/>
              </w:rPr>
              <w:lastRenderedPageBreak/>
              <w:t>其他</w:t>
            </w:r>
          </w:p>
        </w:tc>
        <w:tc>
          <w:tcPr>
            <w:tcW w:w="7088" w:type="dxa"/>
            <w:gridSpan w:val="2"/>
            <w:tcBorders>
              <w:top w:val="single" w:sz="4" w:space="0" w:color="auto"/>
              <w:left w:val="nil"/>
              <w:bottom w:val="single" w:sz="4" w:space="0" w:color="auto"/>
              <w:right w:val="single" w:sz="4" w:space="0" w:color="000000"/>
            </w:tcBorders>
            <w:vAlign w:val="center"/>
          </w:tcPr>
          <w:p w14:paraId="15D6ACD9" w14:textId="77777777" w:rsidR="000301D7" w:rsidRPr="00886E72" w:rsidRDefault="000301D7" w:rsidP="000301D7">
            <w:pPr>
              <w:widowControl/>
              <w:spacing w:line="360" w:lineRule="auto"/>
              <w:ind w:firstLineChars="200" w:firstLine="420"/>
              <w:rPr>
                <w:rFonts w:ascii="宋体" w:hAnsi="宋体"/>
                <w:b/>
                <w:szCs w:val="21"/>
              </w:rPr>
            </w:pPr>
            <w:r w:rsidRPr="00DA57E8">
              <w:rPr>
                <w:rFonts w:ascii="宋体" w:hAnsi="宋体" w:hint="eastAsia"/>
                <w:szCs w:val="21"/>
              </w:rPr>
              <w:t>在交流活动中，公司严格遵守相关规定，保证信息披露真实、准确、及时、公平，没有发生未公开重大信息泄露等情况。上述内容不代表公司对未来的盈利预测和业绩指引，请投资者注意投资风险并谨慎投资。</w:t>
            </w:r>
          </w:p>
        </w:tc>
      </w:tr>
    </w:tbl>
    <w:p w14:paraId="28815F50" w14:textId="77777777" w:rsidR="007726FA" w:rsidRPr="00264AED" w:rsidRDefault="007726FA" w:rsidP="00AF5644">
      <w:pPr>
        <w:widowControl/>
        <w:jc w:val="left"/>
      </w:pPr>
    </w:p>
    <w:sectPr w:rsidR="007726FA" w:rsidRPr="00264AED" w:rsidSect="00D97C76">
      <w:pgSz w:w="11906" w:h="16838"/>
      <w:pgMar w:top="1134"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019F0" w14:textId="77777777" w:rsidR="000C104A" w:rsidRDefault="000C104A" w:rsidP="001D3AE8">
      <w:r>
        <w:separator/>
      </w:r>
    </w:p>
  </w:endnote>
  <w:endnote w:type="continuationSeparator" w:id="0">
    <w:p w14:paraId="415A42C6" w14:textId="77777777" w:rsidR="000C104A" w:rsidRDefault="000C104A" w:rsidP="001D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DF97" w14:textId="77777777" w:rsidR="000C104A" w:rsidRDefault="000C104A" w:rsidP="001D3AE8">
      <w:r>
        <w:separator/>
      </w:r>
    </w:p>
  </w:footnote>
  <w:footnote w:type="continuationSeparator" w:id="0">
    <w:p w14:paraId="561A69DD" w14:textId="77777777" w:rsidR="000C104A" w:rsidRDefault="000C104A" w:rsidP="001D3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42DE"/>
    <w:multiLevelType w:val="hybridMultilevel"/>
    <w:tmpl w:val="9496E702"/>
    <w:lvl w:ilvl="0" w:tplc="C9E61F70">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5C7620"/>
    <w:multiLevelType w:val="hybridMultilevel"/>
    <w:tmpl w:val="5694C85A"/>
    <w:lvl w:ilvl="0" w:tplc="D2B40258">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036C8D"/>
    <w:multiLevelType w:val="hybridMultilevel"/>
    <w:tmpl w:val="27AE8972"/>
    <w:lvl w:ilvl="0" w:tplc="34A28DD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545812"/>
    <w:multiLevelType w:val="hybridMultilevel"/>
    <w:tmpl w:val="E33E4054"/>
    <w:lvl w:ilvl="0" w:tplc="CF26A0EA">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E64A13"/>
    <w:multiLevelType w:val="hybridMultilevel"/>
    <w:tmpl w:val="C7F6A6E4"/>
    <w:lvl w:ilvl="0" w:tplc="DD7EB7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D067D9"/>
    <w:multiLevelType w:val="hybridMultilevel"/>
    <w:tmpl w:val="91ACE204"/>
    <w:lvl w:ilvl="0" w:tplc="2C866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D62137"/>
    <w:multiLevelType w:val="hybridMultilevel"/>
    <w:tmpl w:val="9EA0EE76"/>
    <w:lvl w:ilvl="0" w:tplc="7B3E6D04">
      <w:start w:val="1"/>
      <w:numFmt w:val="decimal"/>
      <w:lvlText w:val="%1、"/>
      <w:lvlJc w:val="left"/>
      <w:pPr>
        <w:ind w:left="816" w:hanging="36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7">
    <w:nsid w:val="6F5E2A7B"/>
    <w:multiLevelType w:val="hybridMultilevel"/>
    <w:tmpl w:val="C12A1E8E"/>
    <w:lvl w:ilvl="0" w:tplc="4D008FB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E4"/>
    <w:rsid w:val="000033D9"/>
    <w:rsid w:val="00003A29"/>
    <w:rsid w:val="00004E08"/>
    <w:rsid w:val="00014B32"/>
    <w:rsid w:val="00026210"/>
    <w:rsid w:val="000301D7"/>
    <w:rsid w:val="0003090E"/>
    <w:rsid w:val="000330C8"/>
    <w:rsid w:val="00034F01"/>
    <w:rsid w:val="00035F25"/>
    <w:rsid w:val="0003790F"/>
    <w:rsid w:val="00043DF7"/>
    <w:rsid w:val="0004729D"/>
    <w:rsid w:val="00051DD2"/>
    <w:rsid w:val="0005482C"/>
    <w:rsid w:val="000551C2"/>
    <w:rsid w:val="00055911"/>
    <w:rsid w:val="00055E30"/>
    <w:rsid w:val="00064AEA"/>
    <w:rsid w:val="0006578C"/>
    <w:rsid w:val="00066BBF"/>
    <w:rsid w:val="000732FE"/>
    <w:rsid w:val="0007627C"/>
    <w:rsid w:val="00076639"/>
    <w:rsid w:val="00082205"/>
    <w:rsid w:val="00083F0E"/>
    <w:rsid w:val="0009054F"/>
    <w:rsid w:val="00090581"/>
    <w:rsid w:val="000928AC"/>
    <w:rsid w:val="00093028"/>
    <w:rsid w:val="0009375D"/>
    <w:rsid w:val="00093EB2"/>
    <w:rsid w:val="000954C3"/>
    <w:rsid w:val="00096045"/>
    <w:rsid w:val="000968D6"/>
    <w:rsid w:val="00096A69"/>
    <w:rsid w:val="00097F90"/>
    <w:rsid w:val="000A030F"/>
    <w:rsid w:val="000B2A90"/>
    <w:rsid w:val="000B77F3"/>
    <w:rsid w:val="000C104A"/>
    <w:rsid w:val="000C1968"/>
    <w:rsid w:val="000D06F7"/>
    <w:rsid w:val="000D4BDA"/>
    <w:rsid w:val="00103880"/>
    <w:rsid w:val="00110CF1"/>
    <w:rsid w:val="00110EC0"/>
    <w:rsid w:val="00111C78"/>
    <w:rsid w:val="001169B2"/>
    <w:rsid w:val="0012238F"/>
    <w:rsid w:val="00122AAE"/>
    <w:rsid w:val="00123478"/>
    <w:rsid w:val="00124566"/>
    <w:rsid w:val="00126A6A"/>
    <w:rsid w:val="00132621"/>
    <w:rsid w:val="00140EE8"/>
    <w:rsid w:val="00141835"/>
    <w:rsid w:val="0015105B"/>
    <w:rsid w:val="00151A8C"/>
    <w:rsid w:val="00155D71"/>
    <w:rsid w:val="00167752"/>
    <w:rsid w:val="00170FDD"/>
    <w:rsid w:val="0017159E"/>
    <w:rsid w:val="00171C5C"/>
    <w:rsid w:val="00173531"/>
    <w:rsid w:val="001738C8"/>
    <w:rsid w:val="0017468C"/>
    <w:rsid w:val="00180BFE"/>
    <w:rsid w:val="00182EEF"/>
    <w:rsid w:val="00183741"/>
    <w:rsid w:val="0019179E"/>
    <w:rsid w:val="00192E30"/>
    <w:rsid w:val="001A047F"/>
    <w:rsid w:val="001A155D"/>
    <w:rsid w:val="001A3910"/>
    <w:rsid w:val="001A48DC"/>
    <w:rsid w:val="001A7B6B"/>
    <w:rsid w:val="001B3E2B"/>
    <w:rsid w:val="001B5184"/>
    <w:rsid w:val="001B6C37"/>
    <w:rsid w:val="001C67B6"/>
    <w:rsid w:val="001C783F"/>
    <w:rsid w:val="001D3AE8"/>
    <w:rsid w:val="001E1CDC"/>
    <w:rsid w:val="001E3D4E"/>
    <w:rsid w:val="001E6BDB"/>
    <w:rsid w:val="001F168A"/>
    <w:rsid w:val="001F21FD"/>
    <w:rsid w:val="002009CD"/>
    <w:rsid w:val="00210844"/>
    <w:rsid w:val="0021141C"/>
    <w:rsid w:val="002316B6"/>
    <w:rsid w:val="00233B0D"/>
    <w:rsid w:val="0023424E"/>
    <w:rsid w:val="00240A7A"/>
    <w:rsid w:val="00245530"/>
    <w:rsid w:val="00247943"/>
    <w:rsid w:val="00250C17"/>
    <w:rsid w:val="002529BA"/>
    <w:rsid w:val="0025492B"/>
    <w:rsid w:val="002645C8"/>
    <w:rsid w:val="00264842"/>
    <w:rsid w:val="00264AED"/>
    <w:rsid w:val="00267127"/>
    <w:rsid w:val="00267E4C"/>
    <w:rsid w:val="00274F10"/>
    <w:rsid w:val="00276C09"/>
    <w:rsid w:val="00283B03"/>
    <w:rsid w:val="00287897"/>
    <w:rsid w:val="002878AC"/>
    <w:rsid w:val="00293DD0"/>
    <w:rsid w:val="00294D39"/>
    <w:rsid w:val="002950F5"/>
    <w:rsid w:val="00295DF4"/>
    <w:rsid w:val="00297FA3"/>
    <w:rsid w:val="002A1168"/>
    <w:rsid w:val="002A2017"/>
    <w:rsid w:val="002A4748"/>
    <w:rsid w:val="002A4F4B"/>
    <w:rsid w:val="002B2C0C"/>
    <w:rsid w:val="002B2F42"/>
    <w:rsid w:val="002B5A69"/>
    <w:rsid w:val="002C117F"/>
    <w:rsid w:val="002C165D"/>
    <w:rsid w:val="002C1F75"/>
    <w:rsid w:val="002C636B"/>
    <w:rsid w:val="002D2637"/>
    <w:rsid w:val="002D3699"/>
    <w:rsid w:val="002D38C1"/>
    <w:rsid w:val="002D5C43"/>
    <w:rsid w:val="002D79D2"/>
    <w:rsid w:val="002D7D18"/>
    <w:rsid w:val="002D7DAC"/>
    <w:rsid w:val="002E3D89"/>
    <w:rsid w:val="002F1BAC"/>
    <w:rsid w:val="002F523C"/>
    <w:rsid w:val="002F554A"/>
    <w:rsid w:val="002F5985"/>
    <w:rsid w:val="002F5D1F"/>
    <w:rsid w:val="00301580"/>
    <w:rsid w:val="00307FA8"/>
    <w:rsid w:val="00312A2E"/>
    <w:rsid w:val="00317EDE"/>
    <w:rsid w:val="00324624"/>
    <w:rsid w:val="00335A44"/>
    <w:rsid w:val="00346D40"/>
    <w:rsid w:val="003502CE"/>
    <w:rsid w:val="00352A65"/>
    <w:rsid w:val="00352D79"/>
    <w:rsid w:val="003532C9"/>
    <w:rsid w:val="00356BDC"/>
    <w:rsid w:val="003609F4"/>
    <w:rsid w:val="003659F5"/>
    <w:rsid w:val="003770BD"/>
    <w:rsid w:val="00380F8C"/>
    <w:rsid w:val="003816DC"/>
    <w:rsid w:val="003817C5"/>
    <w:rsid w:val="00387C2C"/>
    <w:rsid w:val="00387E19"/>
    <w:rsid w:val="00390817"/>
    <w:rsid w:val="00391D35"/>
    <w:rsid w:val="00397AD8"/>
    <w:rsid w:val="003A1A1A"/>
    <w:rsid w:val="003A422B"/>
    <w:rsid w:val="003A56AE"/>
    <w:rsid w:val="003A5D07"/>
    <w:rsid w:val="003B5E12"/>
    <w:rsid w:val="003B7C4B"/>
    <w:rsid w:val="003C50E7"/>
    <w:rsid w:val="003C5CB2"/>
    <w:rsid w:val="003C6527"/>
    <w:rsid w:val="003D62F9"/>
    <w:rsid w:val="003E44D2"/>
    <w:rsid w:val="003F09E2"/>
    <w:rsid w:val="003F0E7A"/>
    <w:rsid w:val="0040356E"/>
    <w:rsid w:val="00407437"/>
    <w:rsid w:val="0041027C"/>
    <w:rsid w:val="0041264F"/>
    <w:rsid w:val="00413096"/>
    <w:rsid w:val="00414599"/>
    <w:rsid w:val="00414686"/>
    <w:rsid w:val="00415CBF"/>
    <w:rsid w:val="00424419"/>
    <w:rsid w:val="00425B6B"/>
    <w:rsid w:val="004310EB"/>
    <w:rsid w:val="00432565"/>
    <w:rsid w:val="004345D6"/>
    <w:rsid w:val="004452EF"/>
    <w:rsid w:val="004455DB"/>
    <w:rsid w:val="00447877"/>
    <w:rsid w:val="00447BC2"/>
    <w:rsid w:val="004537A1"/>
    <w:rsid w:val="0045446F"/>
    <w:rsid w:val="00456B67"/>
    <w:rsid w:val="00456FE7"/>
    <w:rsid w:val="004632AB"/>
    <w:rsid w:val="004706DF"/>
    <w:rsid w:val="00485FAA"/>
    <w:rsid w:val="00487C24"/>
    <w:rsid w:val="004920D6"/>
    <w:rsid w:val="00492148"/>
    <w:rsid w:val="00492820"/>
    <w:rsid w:val="0049381A"/>
    <w:rsid w:val="00494F45"/>
    <w:rsid w:val="00495395"/>
    <w:rsid w:val="004974A8"/>
    <w:rsid w:val="004A0DA1"/>
    <w:rsid w:val="004A497F"/>
    <w:rsid w:val="004A5CF2"/>
    <w:rsid w:val="004A7E86"/>
    <w:rsid w:val="004B3999"/>
    <w:rsid w:val="004B445A"/>
    <w:rsid w:val="004B6556"/>
    <w:rsid w:val="004B7D1E"/>
    <w:rsid w:val="004C14B7"/>
    <w:rsid w:val="004C6B2C"/>
    <w:rsid w:val="004D3B03"/>
    <w:rsid w:val="004D784A"/>
    <w:rsid w:val="004E3FC9"/>
    <w:rsid w:val="004E7AF0"/>
    <w:rsid w:val="004F1C7B"/>
    <w:rsid w:val="004F231C"/>
    <w:rsid w:val="00506971"/>
    <w:rsid w:val="00512A38"/>
    <w:rsid w:val="00514ADF"/>
    <w:rsid w:val="00517656"/>
    <w:rsid w:val="00521062"/>
    <w:rsid w:val="00523AF1"/>
    <w:rsid w:val="005254C3"/>
    <w:rsid w:val="00525CAA"/>
    <w:rsid w:val="005279CF"/>
    <w:rsid w:val="00531D8A"/>
    <w:rsid w:val="00536EC9"/>
    <w:rsid w:val="00537ABB"/>
    <w:rsid w:val="00540346"/>
    <w:rsid w:val="0054059D"/>
    <w:rsid w:val="005428EE"/>
    <w:rsid w:val="00542BB5"/>
    <w:rsid w:val="0054471F"/>
    <w:rsid w:val="005452C0"/>
    <w:rsid w:val="005468F4"/>
    <w:rsid w:val="00546B2E"/>
    <w:rsid w:val="00547FCC"/>
    <w:rsid w:val="00554029"/>
    <w:rsid w:val="005601F8"/>
    <w:rsid w:val="005619FC"/>
    <w:rsid w:val="00563807"/>
    <w:rsid w:val="00565019"/>
    <w:rsid w:val="00571B1E"/>
    <w:rsid w:val="00571ED7"/>
    <w:rsid w:val="00575664"/>
    <w:rsid w:val="005863D1"/>
    <w:rsid w:val="005868C3"/>
    <w:rsid w:val="00597F15"/>
    <w:rsid w:val="005A323D"/>
    <w:rsid w:val="005A3A20"/>
    <w:rsid w:val="005A426D"/>
    <w:rsid w:val="005B0393"/>
    <w:rsid w:val="005B04C8"/>
    <w:rsid w:val="005B05A7"/>
    <w:rsid w:val="005B164D"/>
    <w:rsid w:val="005B509C"/>
    <w:rsid w:val="005B5CE4"/>
    <w:rsid w:val="005C5149"/>
    <w:rsid w:val="005C5362"/>
    <w:rsid w:val="005C7674"/>
    <w:rsid w:val="005D3C3E"/>
    <w:rsid w:val="005D6E37"/>
    <w:rsid w:val="005E0A84"/>
    <w:rsid w:val="005F5FE4"/>
    <w:rsid w:val="00601E2F"/>
    <w:rsid w:val="00602B48"/>
    <w:rsid w:val="006130CE"/>
    <w:rsid w:val="0061343E"/>
    <w:rsid w:val="006142A0"/>
    <w:rsid w:val="006169DF"/>
    <w:rsid w:val="006174C3"/>
    <w:rsid w:val="00622DC3"/>
    <w:rsid w:val="00634606"/>
    <w:rsid w:val="00640A3D"/>
    <w:rsid w:val="006439B2"/>
    <w:rsid w:val="006520B5"/>
    <w:rsid w:val="006534AC"/>
    <w:rsid w:val="0065629A"/>
    <w:rsid w:val="00657C66"/>
    <w:rsid w:val="006620D2"/>
    <w:rsid w:val="006629B1"/>
    <w:rsid w:val="006648D8"/>
    <w:rsid w:val="00671413"/>
    <w:rsid w:val="006717B2"/>
    <w:rsid w:val="006750EB"/>
    <w:rsid w:val="006755D6"/>
    <w:rsid w:val="00675AF2"/>
    <w:rsid w:val="0067799D"/>
    <w:rsid w:val="006831F9"/>
    <w:rsid w:val="006868A8"/>
    <w:rsid w:val="00690855"/>
    <w:rsid w:val="006918D8"/>
    <w:rsid w:val="00696EB4"/>
    <w:rsid w:val="006A02A0"/>
    <w:rsid w:val="006B069C"/>
    <w:rsid w:val="006C17B2"/>
    <w:rsid w:val="006C2644"/>
    <w:rsid w:val="006C2649"/>
    <w:rsid w:val="006C56D6"/>
    <w:rsid w:val="006D077B"/>
    <w:rsid w:val="006D0A1F"/>
    <w:rsid w:val="006D1D60"/>
    <w:rsid w:val="006D2828"/>
    <w:rsid w:val="006D3525"/>
    <w:rsid w:val="006D4B79"/>
    <w:rsid w:val="006D4BE8"/>
    <w:rsid w:val="006D5009"/>
    <w:rsid w:val="006E08E7"/>
    <w:rsid w:val="006E480D"/>
    <w:rsid w:val="006E52F1"/>
    <w:rsid w:val="006F06B7"/>
    <w:rsid w:val="006F2D91"/>
    <w:rsid w:val="00710C2E"/>
    <w:rsid w:val="00710F4A"/>
    <w:rsid w:val="00720B50"/>
    <w:rsid w:val="00723E0B"/>
    <w:rsid w:val="00724A73"/>
    <w:rsid w:val="00724EBF"/>
    <w:rsid w:val="00725347"/>
    <w:rsid w:val="007315C6"/>
    <w:rsid w:val="00732778"/>
    <w:rsid w:val="007343C8"/>
    <w:rsid w:val="007371FD"/>
    <w:rsid w:val="00740E45"/>
    <w:rsid w:val="00744ABC"/>
    <w:rsid w:val="00750192"/>
    <w:rsid w:val="007507C5"/>
    <w:rsid w:val="00751C4A"/>
    <w:rsid w:val="00751FFC"/>
    <w:rsid w:val="0075727D"/>
    <w:rsid w:val="00760DAF"/>
    <w:rsid w:val="0076182F"/>
    <w:rsid w:val="007726FA"/>
    <w:rsid w:val="0077630C"/>
    <w:rsid w:val="00783541"/>
    <w:rsid w:val="00786AB2"/>
    <w:rsid w:val="00791027"/>
    <w:rsid w:val="0079566F"/>
    <w:rsid w:val="0079670D"/>
    <w:rsid w:val="007A5651"/>
    <w:rsid w:val="007A64E6"/>
    <w:rsid w:val="007B1907"/>
    <w:rsid w:val="007B1A58"/>
    <w:rsid w:val="007B371F"/>
    <w:rsid w:val="007B41C8"/>
    <w:rsid w:val="007C4F3B"/>
    <w:rsid w:val="007D0F8B"/>
    <w:rsid w:val="007D2328"/>
    <w:rsid w:val="007D79F7"/>
    <w:rsid w:val="007E2011"/>
    <w:rsid w:val="007E426D"/>
    <w:rsid w:val="007E523C"/>
    <w:rsid w:val="007F08E6"/>
    <w:rsid w:val="007F0ACB"/>
    <w:rsid w:val="00802988"/>
    <w:rsid w:val="00812F42"/>
    <w:rsid w:val="00813DD0"/>
    <w:rsid w:val="00814F63"/>
    <w:rsid w:val="00830778"/>
    <w:rsid w:val="008311B4"/>
    <w:rsid w:val="008512D2"/>
    <w:rsid w:val="008538A8"/>
    <w:rsid w:val="00855B25"/>
    <w:rsid w:val="008560E5"/>
    <w:rsid w:val="00867C2E"/>
    <w:rsid w:val="00872BAE"/>
    <w:rsid w:val="00872C86"/>
    <w:rsid w:val="00873150"/>
    <w:rsid w:val="00876DD9"/>
    <w:rsid w:val="00880CE1"/>
    <w:rsid w:val="00882142"/>
    <w:rsid w:val="00886E72"/>
    <w:rsid w:val="0089179A"/>
    <w:rsid w:val="00896D7F"/>
    <w:rsid w:val="008A1F92"/>
    <w:rsid w:val="008A25A2"/>
    <w:rsid w:val="008A6467"/>
    <w:rsid w:val="008B095D"/>
    <w:rsid w:val="008B166B"/>
    <w:rsid w:val="008C18EC"/>
    <w:rsid w:val="008C4B68"/>
    <w:rsid w:val="008C4DB5"/>
    <w:rsid w:val="008D07EF"/>
    <w:rsid w:val="008D0D15"/>
    <w:rsid w:val="008D21BA"/>
    <w:rsid w:val="008D22E3"/>
    <w:rsid w:val="008D59EA"/>
    <w:rsid w:val="008E0743"/>
    <w:rsid w:val="008E1E74"/>
    <w:rsid w:val="008F3813"/>
    <w:rsid w:val="008F55DE"/>
    <w:rsid w:val="00904E2C"/>
    <w:rsid w:val="00905382"/>
    <w:rsid w:val="009204C6"/>
    <w:rsid w:val="00921275"/>
    <w:rsid w:val="009222A6"/>
    <w:rsid w:val="00923B17"/>
    <w:rsid w:val="00925CC8"/>
    <w:rsid w:val="00926DB0"/>
    <w:rsid w:val="00930342"/>
    <w:rsid w:val="00934BEB"/>
    <w:rsid w:val="00934EE2"/>
    <w:rsid w:val="00935763"/>
    <w:rsid w:val="00941194"/>
    <w:rsid w:val="009444CF"/>
    <w:rsid w:val="00944B24"/>
    <w:rsid w:val="00946CDD"/>
    <w:rsid w:val="00950402"/>
    <w:rsid w:val="00950837"/>
    <w:rsid w:val="00950BA2"/>
    <w:rsid w:val="00950D9A"/>
    <w:rsid w:val="0095265A"/>
    <w:rsid w:val="009529C4"/>
    <w:rsid w:val="009648BE"/>
    <w:rsid w:val="009658A6"/>
    <w:rsid w:val="009748A3"/>
    <w:rsid w:val="00983A2F"/>
    <w:rsid w:val="0098711C"/>
    <w:rsid w:val="009873D4"/>
    <w:rsid w:val="00994A78"/>
    <w:rsid w:val="00994AD7"/>
    <w:rsid w:val="00995E18"/>
    <w:rsid w:val="009A1620"/>
    <w:rsid w:val="009A1669"/>
    <w:rsid w:val="009A2561"/>
    <w:rsid w:val="009A5575"/>
    <w:rsid w:val="009A7C8D"/>
    <w:rsid w:val="009B2DE4"/>
    <w:rsid w:val="009C062C"/>
    <w:rsid w:val="009C3341"/>
    <w:rsid w:val="009C61A8"/>
    <w:rsid w:val="009D3823"/>
    <w:rsid w:val="009D541E"/>
    <w:rsid w:val="009D7A31"/>
    <w:rsid w:val="009E6749"/>
    <w:rsid w:val="009F1E5F"/>
    <w:rsid w:val="009F45BC"/>
    <w:rsid w:val="009F4C2D"/>
    <w:rsid w:val="009F545B"/>
    <w:rsid w:val="00A0181D"/>
    <w:rsid w:val="00A0669D"/>
    <w:rsid w:val="00A10632"/>
    <w:rsid w:val="00A12A1C"/>
    <w:rsid w:val="00A20B76"/>
    <w:rsid w:val="00A21CDB"/>
    <w:rsid w:val="00A229BB"/>
    <w:rsid w:val="00A22DB2"/>
    <w:rsid w:val="00A23FE3"/>
    <w:rsid w:val="00A30237"/>
    <w:rsid w:val="00A304F1"/>
    <w:rsid w:val="00A366D0"/>
    <w:rsid w:val="00A414E6"/>
    <w:rsid w:val="00A47BCD"/>
    <w:rsid w:val="00A51F17"/>
    <w:rsid w:val="00A8030C"/>
    <w:rsid w:val="00A81AAE"/>
    <w:rsid w:val="00A865DA"/>
    <w:rsid w:val="00A96D3D"/>
    <w:rsid w:val="00AA08AD"/>
    <w:rsid w:val="00AA0C05"/>
    <w:rsid w:val="00AA780F"/>
    <w:rsid w:val="00AB2BD2"/>
    <w:rsid w:val="00AC2698"/>
    <w:rsid w:val="00AC4CD5"/>
    <w:rsid w:val="00AD1F61"/>
    <w:rsid w:val="00AD2B06"/>
    <w:rsid w:val="00AD2C69"/>
    <w:rsid w:val="00AD4A29"/>
    <w:rsid w:val="00AE7423"/>
    <w:rsid w:val="00AF2425"/>
    <w:rsid w:val="00AF5644"/>
    <w:rsid w:val="00AF72E9"/>
    <w:rsid w:val="00B03DD8"/>
    <w:rsid w:val="00B047B5"/>
    <w:rsid w:val="00B04FAD"/>
    <w:rsid w:val="00B067CF"/>
    <w:rsid w:val="00B12DC4"/>
    <w:rsid w:val="00B14420"/>
    <w:rsid w:val="00B16F5D"/>
    <w:rsid w:val="00B27657"/>
    <w:rsid w:val="00B3149C"/>
    <w:rsid w:val="00B32028"/>
    <w:rsid w:val="00B331EC"/>
    <w:rsid w:val="00B35643"/>
    <w:rsid w:val="00B412D8"/>
    <w:rsid w:val="00B4768C"/>
    <w:rsid w:val="00B50CB6"/>
    <w:rsid w:val="00B569DA"/>
    <w:rsid w:val="00B6147B"/>
    <w:rsid w:val="00B6634A"/>
    <w:rsid w:val="00B67933"/>
    <w:rsid w:val="00B72647"/>
    <w:rsid w:val="00B75E55"/>
    <w:rsid w:val="00B86D1C"/>
    <w:rsid w:val="00B9466B"/>
    <w:rsid w:val="00B9615D"/>
    <w:rsid w:val="00B9680B"/>
    <w:rsid w:val="00B97570"/>
    <w:rsid w:val="00B977F4"/>
    <w:rsid w:val="00BA1BB2"/>
    <w:rsid w:val="00BA2010"/>
    <w:rsid w:val="00BB00E8"/>
    <w:rsid w:val="00BC20B4"/>
    <w:rsid w:val="00BC6245"/>
    <w:rsid w:val="00BD09A9"/>
    <w:rsid w:val="00BD1872"/>
    <w:rsid w:val="00BD188F"/>
    <w:rsid w:val="00BD5068"/>
    <w:rsid w:val="00BE217C"/>
    <w:rsid w:val="00BE6C67"/>
    <w:rsid w:val="00BF2768"/>
    <w:rsid w:val="00BF281E"/>
    <w:rsid w:val="00BF4825"/>
    <w:rsid w:val="00BF6002"/>
    <w:rsid w:val="00BF7372"/>
    <w:rsid w:val="00C0666B"/>
    <w:rsid w:val="00C06E7E"/>
    <w:rsid w:val="00C0759C"/>
    <w:rsid w:val="00C130AA"/>
    <w:rsid w:val="00C14731"/>
    <w:rsid w:val="00C2145D"/>
    <w:rsid w:val="00C22B80"/>
    <w:rsid w:val="00C31B3B"/>
    <w:rsid w:val="00C33B85"/>
    <w:rsid w:val="00C34224"/>
    <w:rsid w:val="00C34DD3"/>
    <w:rsid w:val="00C37C97"/>
    <w:rsid w:val="00C37DDB"/>
    <w:rsid w:val="00C43771"/>
    <w:rsid w:val="00C44568"/>
    <w:rsid w:val="00C4761E"/>
    <w:rsid w:val="00C5128C"/>
    <w:rsid w:val="00C51BDC"/>
    <w:rsid w:val="00C55C5A"/>
    <w:rsid w:val="00C56A4A"/>
    <w:rsid w:val="00C70664"/>
    <w:rsid w:val="00C7335D"/>
    <w:rsid w:val="00C7385C"/>
    <w:rsid w:val="00C73E52"/>
    <w:rsid w:val="00C73E7D"/>
    <w:rsid w:val="00C76BD8"/>
    <w:rsid w:val="00C800C2"/>
    <w:rsid w:val="00C84E2C"/>
    <w:rsid w:val="00C858D4"/>
    <w:rsid w:val="00C8597A"/>
    <w:rsid w:val="00C8737B"/>
    <w:rsid w:val="00C90B7A"/>
    <w:rsid w:val="00C944EF"/>
    <w:rsid w:val="00C9496F"/>
    <w:rsid w:val="00C9530E"/>
    <w:rsid w:val="00C97272"/>
    <w:rsid w:val="00CA1ECF"/>
    <w:rsid w:val="00CA4908"/>
    <w:rsid w:val="00CA6918"/>
    <w:rsid w:val="00CA6C77"/>
    <w:rsid w:val="00CA6CE3"/>
    <w:rsid w:val="00CB44B7"/>
    <w:rsid w:val="00CB4F65"/>
    <w:rsid w:val="00CB6C1D"/>
    <w:rsid w:val="00CC0422"/>
    <w:rsid w:val="00CC6662"/>
    <w:rsid w:val="00CC7D31"/>
    <w:rsid w:val="00CD3126"/>
    <w:rsid w:val="00CD40D5"/>
    <w:rsid w:val="00CD42FE"/>
    <w:rsid w:val="00CD4596"/>
    <w:rsid w:val="00CD4AD7"/>
    <w:rsid w:val="00CD79D5"/>
    <w:rsid w:val="00CE0CA5"/>
    <w:rsid w:val="00CE1BE4"/>
    <w:rsid w:val="00CE535B"/>
    <w:rsid w:val="00CE5D1D"/>
    <w:rsid w:val="00CE6AA0"/>
    <w:rsid w:val="00CF0263"/>
    <w:rsid w:val="00CF5C22"/>
    <w:rsid w:val="00CF5D19"/>
    <w:rsid w:val="00CF7E9E"/>
    <w:rsid w:val="00D012B1"/>
    <w:rsid w:val="00D0267E"/>
    <w:rsid w:val="00D06FD7"/>
    <w:rsid w:val="00D11899"/>
    <w:rsid w:val="00D13FF0"/>
    <w:rsid w:val="00D16095"/>
    <w:rsid w:val="00D17968"/>
    <w:rsid w:val="00D17FB9"/>
    <w:rsid w:val="00D202D1"/>
    <w:rsid w:val="00D27BB5"/>
    <w:rsid w:val="00D301BF"/>
    <w:rsid w:val="00D31F3E"/>
    <w:rsid w:val="00D31FAB"/>
    <w:rsid w:val="00D33F9A"/>
    <w:rsid w:val="00D34D16"/>
    <w:rsid w:val="00D34FD7"/>
    <w:rsid w:val="00D3619B"/>
    <w:rsid w:val="00D4005B"/>
    <w:rsid w:val="00D40707"/>
    <w:rsid w:val="00D448DA"/>
    <w:rsid w:val="00D45BED"/>
    <w:rsid w:val="00D61A59"/>
    <w:rsid w:val="00D62417"/>
    <w:rsid w:val="00D66D3B"/>
    <w:rsid w:val="00D701E1"/>
    <w:rsid w:val="00D702AF"/>
    <w:rsid w:val="00D7215C"/>
    <w:rsid w:val="00D72C0C"/>
    <w:rsid w:val="00D73775"/>
    <w:rsid w:val="00D763D4"/>
    <w:rsid w:val="00D812AD"/>
    <w:rsid w:val="00D814E8"/>
    <w:rsid w:val="00D81DCB"/>
    <w:rsid w:val="00D85313"/>
    <w:rsid w:val="00D91D35"/>
    <w:rsid w:val="00D97A17"/>
    <w:rsid w:val="00D97C76"/>
    <w:rsid w:val="00D97E59"/>
    <w:rsid w:val="00DA3827"/>
    <w:rsid w:val="00DA3A2C"/>
    <w:rsid w:val="00DA40EE"/>
    <w:rsid w:val="00DA57E8"/>
    <w:rsid w:val="00DB2933"/>
    <w:rsid w:val="00DB58F2"/>
    <w:rsid w:val="00DB7246"/>
    <w:rsid w:val="00DD74BD"/>
    <w:rsid w:val="00DE17E3"/>
    <w:rsid w:val="00DE1EDF"/>
    <w:rsid w:val="00DE245E"/>
    <w:rsid w:val="00DF375C"/>
    <w:rsid w:val="00DF4953"/>
    <w:rsid w:val="00E007C2"/>
    <w:rsid w:val="00E01E3F"/>
    <w:rsid w:val="00E02214"/>
    <w:rsid w:val="00E03A9C"/>
    <w:rsid w:val="00E03F52"/>
    <w:rsid w:val="00E04CBD"/>
    <w:rsid w:val="00E053B1"/>
    <w:rsid w:val="00E1208E"/>
    <w:rsid w:val="00E139BD"/>
    <w:rsid w:val="00E139DA"/>
    <w:rsid w:val="00E13D7C"/>
    <w:rsid w:val="00E14F94"/>
    <w:rsid w:val="00E16FE9"/>
    <w:rsid w:val="00E237E5"/>
    <w:rsid w:val="00E24DD3"/>
    <w:rsid w:val="00E41A32"/>
    <w:rsid w:val="00E44E57"/>
    <w:rsid w:val="00E575F5"/>
    <w:rsid w:val="00E61C64"/>
    <w:rsid w:val="00E63D07"/>
    <w:rsid w:val="00E7298B"/>
    <w:rsid w:val="00E821D5"/>
    <w:rsid w:val="00E96BC3"/>
    <w:rsid w:val="00EA0393"/>
    <w:rsid w:val="00EA72A2"/>
    <w:rsid w:val="00EE08F3"/>
    <w:rsid w:val="00EE135F"/>
    <w:rsid w:val="00EE34EF"/>
    <w:rsid w:val="00EE4E9E"/>
    <w:rsid w:val="00EE5B26"/>
    <w:rsid w:val="00EE5C55"/>
    <w:rsid w:val="00EE5E53"/>
    <w:rsid w:val="00EF15D8"/>
    <w:rsid w:val="00EF4870"/>
    <w:rsid w:val="00EF6461"/>
    <w:rsid w:val="00F00C47"/>
    <w:rsid w:val="00F07C8C"/>
    <w:rsid w:val="00F23473"/>
    <w:rsid w:val="00F25949"/>
    <w:rsid w:val="00F26165"/>
    <w:rsid w:val="00F26C49"/>
    <w:rsid w:val="00F308A7"/>
    <w:rsid w:val="00F42123"/>
    <w:rsid w:val="00F441A1"/>
    <w:rsid w:val="00F61CE8"/>
    <w:rsid w:val="00F66B25"/>
    <w:rsid w:val="00F70765"/>
    <w:rsid w:val="00F73E6B"/>
    <w:rsid w:val="00F74F6B"/>
    <w:rsid w:val="00F769B9"/>
    <w:rsid w:val="00F8413A"/>
    <w:rsid w:val="00F87044"/>
    <w:rsid w:val="00F900A4"/>
    <w:rsid w:val="00F92E12"/>
    <w:rsid w:val="00F96D08"/>
    <w:rsid w:val="00F9708F"/>
    <w:rsid w:val="00F97146"/>
    <w:rsid w:val="00FA3113"/>
    <w:rsid w:val="00FA378D"/>
    <w:rsid w:val="00FB3EBE"/>
    <w:rsid w:val="00FB64BB"/>
    <w:rsid w:val="00FB6665"/>
    <w:rsid w:val="00FB6E97"/>
    <w:rsid w:val="00FC3D87"/>
    <w:rsid w:val="00FC6BAE"/>
    <w:rsid w:val="00FC7BDC"/>
    <w:rsid w:val="00FD10EB"/>
    <w:rsid w:val="00FD5EE0"/>
    <w:rsid w:val="00FE145E"/>
    <w:rsid w:val="00FE2F17"/>
    <w:rsid w:val="00FE6D52"/>
    <w:rsid w:val="00FF0051"/>
    <w:rsid w:val="00FF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4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A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AE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D3AE8"/>
    <w:rPr>
      <w:sz w:val="18"/>
      <w:szCs w:val="18"/>
    </w:rPr>
  </w:style>
  <w:style w:type="paragraph" w:styleId="a4">
    <w:name w:val="footer"/>
    <w:basedOn w:val="a"/>
    <w:link w:val="Char0"/>
    <w:uiPriority w:val="99"/>
    <w:unhideWhenUsed/>
    <w:rsid w:val="001D3AE8"/>
    <w:pPr>
      <w:tabs>
        <w:tab w:val="center" w:pos="4153"/>
        <w:tab w:val="right" w:pos="8306"/>
      </w:tabs>
      <w:snapToGrid w:val="0"/>
      <w:jc w:val="left"/>
    </w:pPr>
    <w:rPr>
      <w:sz w:val="18"/>
      <w:szCs w:val="18"/>
    </w:rPr>
  </w:style>
  <w:style w:type="character" w:customStyle="1" w:styleId="Char0">
    <w:name w:val="页脚 Char"/>
    <w:link w:val="a4"/>
    <w:uiPriority w:val="99"/>
    <w:rsid w:val="001D3AE8"/>
    <w:rPr>
      <w:sz w:val="18"/>
      <w:szCs w:val="18"/>
    </w:rPr>
  </w:style>
  <w:style w:type="paragraph" w:customStyle="1" w:styleId="Default">
    <w:name w:val="Default"/>
    <w:rsid w:val="001D3AE8"/>
    <w:pPr>
      <w:widowControl w:val="0"/>
      <w:autoSpaceDE w:val="0"/>
      <w:autoSpaceDN w:val="0"/>
      <w:adjustRightInd w:val="0"/>
    </w:pPr>
    <w:rPr>
      <w:rFonts w:ascii="宋体" w:cs="宋体"/>
      <w:color w:val="000000"/>
      <w:sz w:val="24"/>
      <w:szCs w:val="24"/>
    </w:rPr>
  </w:style>
  <w:style w:type="paragraph" w:styleId="a5">
    <w:name w:val="List Paragraph"/>
    <w:basedOn w:val="a"/>
    <w:uiPriority w:val="34"/>
    <w:qFormat/>
    <w:rsid w:val="001D3AE8"/>
    <w:pPr>
      <w:ind w:firstLineChars="200" w:firstLine="420"/>
    </w:pPr>
  </w:style>
  <w:style w:type="paragraph" w:styleId="a6">
    <w:name w:val="Balloon Text"/>
    <w:basedOn w:val="a"/>
    <w:link w:val="Char1"/>
    <w:uiPriority w:val="99"/>
    <w:semiHidden/>
    <w:unhideWhenUsed/>
    <w:rsid w:val="00814F63"/>
    <w:rPr>
      <w:sz w:val="18"/>
      <w:szCs w:val="18"/>
    </w:rPr>
  </w:style>
  <w:style w:type="character" w:customStyle="1" w:styleId="Char1">
    <w:name w:val="批注框文本 Char"/>
    <w:link w:val="a6"/>
    <w:uiPriority w:val="99"/>
    <w:semiHidden/>
    <w:rsid w:val="00814F63"/>
    <w:rPr>
      <w:kern w:val="2"/>
      <w:sz w:val="18"/>
      <w:szCs w:val="18"/>
    </w:rPr>
  </w:style>
  <w:style w:type="paragraph" w:styleId="a7">
    <w:name w:val="Revision"/>
    <w:hidden/>
    <w:uiPriority w:val="99"/>
    <w:semiHidden/>
    <w:rsid w:val="005863D1"/>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A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AE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D3AE8"/>
    <w:rPr>
      <w:sz w:val="18"/>
      <w:szCs w:val="18"/>
    </w:rPr>
  </w:style>
  <w:style w:type="paragraph" w:styleId="a4">
    <w:name w:val="footer"/>
    <w:basedOn w:val="a"/>
    <w:link w:val="Char0"/>
    <w:uiPriority w:val="99"/>
    <w:unhideWhenUsed/>
    <w:rsid w:val="001D3AE8"/>
    <w:pPr>
      <w:tabs>
        <w:tab w:val="center" w:pos="4153"/>
        <w:tab w:val="right" w:pos="8306"/>
      </w:tabs>
      <w:snapToGrid w:val="0"/>
      <w:jc w:val="left"/>
    </w:pPr>
    <w:rPr>
      <w:sz w:val="18"/>
      <w:szCs w:val="18"/>
    </w:rPr>
  </w:style>
  <w:style w:type="character" w:customStyle="1" w:styleId="Char0">
    <w:name w:val="页脚 Char"/>
    <w:link w:val="a4"/>
    <w:uiPriority w:val="99"/>
    <w:rsid w:val="001D3AE8"/>
    <w:rPr>
      <w:sz w:val="18"/>
      <w:szCs w:val="18"/>
    </w:rPr>
  </w:style>
  <w:style w:type="paragraph" w:customStyle="1" w:styleId="Default">
    <w:name w:val="Default"/>
    <w:rsid w:val="001D3AE8"/>
    <w:pPr>
      <w:widowControl w:val="0"/>
      <w:autoSpaceDE w:val="0"/>
      <w:autoSpaceDN w:val="0"/>
      <w:adjustRightInd w:val="0"/>
    </w:pPr>
    <w:rPr>
      <w:rFonts w:ascii="宋体" w:cs="宋体"/>
      <w:color w:val="000000"/>
      <w:sz w:val="24"/>
      <w:szCs w:val="24"/>
    </w:rPr>
  </w:style>
  <w:style w:type="paragraph" w:styleId="a5">
    <w:name w:val="List Paragraph"/>
    <w:basedOn w:val="a"/>
    <w:uiPriority w:val="34"/>
    <w:qFormat/>
    <w:rsid w:val="001D3AE8"/>
    <w:pPr>
      <w:ind w:firstLineChars="200" w:firstLine="420"/>
    </w:pPr>
  </w:style>
  <w:style w:type="paragraph" w:styleId="a6">
    <w:name w:val="Balloon Text"/>
    <w:basedOn w:val="a"/>
    <w:link w:val="Char1"/>
    <w:uiPriority w:val="99"/>
    <w:semiHidden/>
    <w:unhideWhenUsed/>
    <w:rsid w:val="00814F63"/>
    <w:rPr>
      <w:sz w:val="18"/>
      <w:szCs w:val="18"/>
    </w:rPr>
  </w:style>
  <w:style w:type="character" w:customStyle="1" w:styleId="Char1">
    <w:name w:val="批注框文本 Char"/>
    <w:link w:val="a6"/>
    <w:uiPriority w:val="99"/>
    <w:semiHidden/>
    <w:rsid w:val="00814F63"/>
    <w:rPr>
      <w:kern w:val="2"/>
      <w:sz w:val="18"/>
      <w:szCs w:val="18"/>
    </w:rPr>
  </w:style>
  <w:style w:type="paragraph" w:styleId="a7">
    <w:name w:val="Revision"/>
    <w:hidden/>
    <w:uiPriority w:val="99"/>
    <w:semiHidden/>
    <w:rsid w:val="005863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724">
      <w:bodyDiv w:val="1"/>
      <w:marLeft w:val="0"/>
      <w:marRight w:val="0"/>
      <w:marTop w:val="0"/>
      <w:marBottom w:val="0"/>
      <w:divBdr>
        <w:top w:val="none" w:sz="0" w:space="0" w:color="auto"/>
        <w:left w:val="none" w:sz="0" w:space="0" w:color="auto"/>
        <w:bottom w:val="none" w:sz="0" w:space="0" w:color="auto"/>
        <w:right w:val="none" w:sz="0" w:space="0" w:color="auto"/>
      </w:divBdr>
    </w:div>
    <w:div w:id="394085071">
      <w:bodyDiv w:val="1"/>
      <w:marLeft w:val="0"/>
      <w:marRight w:val="0"/>
      <w:marTop w:val="0"/>
      <w:marBottom w:val="0"/>
      <w:divBdr>
        <w:top w:val="none" w:sz="0" w:space="0" w:color="auto"/>
        <w:left w:val="none" w:sz="0" w:space="0" w:color="auto"/>
        <w:bottom w:val="none" w:sz="0" w:space="0" w:color="auto"/>
        <w:right w:val="none" w:sz="0" w:space="0" w:color="auto"/>
      </w:divBdr>
    </w:div>
    <w:div w:id="1106854548">
      <w:bodyDiv w:val="1"/>
      <w:marLeft w:val="0"/>
      <w:marRight w:val="0"/>
      <w:marTop w:val="0"/>
      <w:marBottom w:val="0"/>
      <w:divBdr>
        <w:top w:val="none" w:sz="0" w:space="0" w:color="auto"/>
        <w:left w:val="none" w:sz="0" w:space="0" w:color="auto"/>
        <w:bottom w:val="none" w:sz="0" w:space="0" w:color="auto"/>
        <w:right w:val="none" w:sz="0" w:space="0" w:color="auto"/>
      </w:divBdr>
    </w:div>
    <w:div w:id="1421752338">
      <w:bodyDiv w:val="1"/>
      <w:marLeft w:val="0"/>
      <w:marRight w:val="0"/>
      <w:marTop w:val="0"/>
      <w:marBottom w:val="0"/>
      <w:divBdr>
        <w:top w:val="none" w:sz="0" w:space="0" w:color="auto"/>
        <w:left w:val="none" w:sz="0" w:space="0" w:color="auto"/>
        <w:bottom w:val="none" w:sz="0" w:space="0" w:color="auto"/>
        <w:right w:val="none" w:sz="0" w:space="0" w:color="auto"/>
      </w:divBdr>
    </w:div>
    <w:div w:id="1683435718">
      <w:bodyDiv w:val="1"/>
      <w:marLeft w:val="0"/>
      <w:marRight w:val="0"/>
      <w:marTop w:val="0"/>
      <w:marBottom w:val="0"/>
      <w:divBdr>
        <w:top w:val="none" w:sz="0" w:space="0" w:color="auto"/>
        <w:left w:val="none" w:sz="0" w:space="0" w:color="auto"/>
        <w:bottom w:val="none" w:sz="0" w:space="0" w:color="auto"/>
        <w:right w:val="none" w:sz="0" w:space="0" w:color="auto"/>
      </w:divBdr>
    </w:div>
    <w:div w:id="21174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ACD64-87AB-4949-9456-77AA5195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424</Words>
  <Characters>2417</Characters>
  <Application>Microsoft Office Word</Application>
  <DocSecurity>0</DocSecurity>
  <Lines>20</Lines>
  <Paragraphs>5</Paragraphs>
  <ScaleCrop>false</ScaleCrop>
  <Company>Microsoft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杨岚</dc:creator>
  <cp:lastModifiedBy>lyy</cp:lastModifiedBy>
  <cp:revision>13</cp:revision>
  <cp:lastPrinted>2018-04-27T07:18:00Z</cp:lastPrinted>
  <dcterms:created xsi:type="dcterms:W3CDTF">2025-11-26T05:37:00Z</dcterms:created>
  <dcterms:modified xsi:type="dcterms:W3CDTF">2025-11-28T02:50:00Z</dcterms:modified>
</cp:coreProperties>
</file>