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79972">
      <w:pPr>
        <w:spacing w:line="480" w:lineRule="auto"/>
        <w:jc w:val="right"/>
        <w:outlineLvl w:val="0"/>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证券代码：601137                                 证券简称：博威合金</w:t>
      </w:r>
    </w:p>
    <w:p w14:paraId="38A67AD0">
      <w:pPr>
        <w:spacing w:line="360" w:lineRule="auto"/>
        <w:jc w:val="center"/>
        <w:outlineLvl w:val="0"/>
        <w:rPr>
          <w:rFonts w:hint="eastAsia" w:ascii="宋体" w:hAnsi="宋体" w:eastAsia="宋体" w:cs="宋体"/>
          <w:b/>
          <w:bCs/>
          <w:spacing w:val="5"/>
          <w:sz w:val="31"/>
          <w:szCs w:val="31"/>
        </w:rPr>
      </w:pPr>
      <w:r>
        <w:rPr>
          <w:rFonts w:hint="eastAsia" w:ascii="宋体" w:hAnsi="宋体" w:eastAsia="宋体" w:cs="宋体"/>
          <w:b/>
          <w:bCs/>
          <w:spacing w:val="5"/>
          <w:sz w:val="31"/>
          <w:szCs w:val="31"/>
        </w:rPr>
        <w:t>宁波</w:t>
      </w:r>
      <w:r>
        <w:rPr>
          <w:rFonts w:hint="eastAsia" w:ascii="宋体" w:hAnsi="宋体" w:eastAsia="宋体" w:cs="宋体"/>
          <w:b/>
          <w:bCs/>
          <w:spacing w:val="5"/>
          <w:sz w:val="31"/>
          <w:szCs w:val="31"/>
          <w:lang w:eastAsia="zh-CN"/>
        </w:rPr>
        <w:t>博威合金材料</w:t>
      </w:r>
      <w:r>
        <w:rPr>
          <w:rFonts w:hint="eastAsia" w:ascii="宋体" w:hAnsi="宋体" w:eastAsia="宋体" w:cs="宋体"/>
          <w:b/>
          <w:bCs/>
          <w:spacing w:val="5"/>
          <w:sz w:val="31"/>
          <w:szCs w:val="31"/>
        </w:rPr>
        <w:t>股份有限公司</w:t>
      </w:r>
    </w:p>
    <w:p w14:paraId="65C25394">
      <w:pPr>
        <w:spacing w:line="360" w:lineRule="auto"/>
        <w:jc w:val="center"/>
        <w:outlineLvl w:val="0"/>
        <w:rPr>
          <w:rFonts w:hint="eastAsia" w:ascii="宋体" w:hAnsi="宋体" w:eastAsia="宋体" w:cs="宋体"/>
          <w:sz w:val="31"/>
          <w:szCs w:val="31"/>
          <w:lang w:eastAsia="zh-CN"/>
        </w:rPr>
      </w:pPr>
      <w:r>
        <w:rPr>
          <w:rFonts w:hint="eastAsia" w:ascii="宋体" w:hAnsi="宋体" w:eastAsia="宋体" w:cs="宋体"/>
          <w:b/>
          <w:bCs/>
          <w:spacing w:val="5"/>
          <w:sz w:val="31"/>
          <w:szCs w:val="31"/>
          <w:lang w:eastAsia="zh-CN"/>
        </w:rPr>
        <w:t>投资者关系活动记录表</w:t>
      </w:r>
    </w:p>
    <w:p w14:paraId="6B0D42AF">
      <w:pPr>
        <w:jc w:val="right"/>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编号：2025-04</w:t>
      </w:r>
    </w:p>
    <w:tbl>
      <w:tblPr>
        <w:tblStyle w:val="6"/>
        <w:tblW w:w="507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2"/>
        <w:gridCol w:w="1646"/>
        <w:gridCol w:w="1649"/>
        <w:gridCol w:w="797"/>
        <w:gridCol w:w="843"/>
        <w:gridCol w:w="1668"/>
      </w:tblGrid>
      <w:tr w14:paraId="534FB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04" w:type="pct"/>
          </w:tcPr>
          <w:p w14:paraId="76C41F51">
            <w:pPr>
              <w:spacing w:line="270" w:lineRule="auto"/>
              <w:jc w:val="center"/>
              <w:rPr>
                <w:rFonts w:hint="eastAsia" w:ascii="宋体" w:hAnsi="宋体" w:eastAsia="宋体" w:cs="宋体"/>
                <w:lang w:eastAsia="zh-CN"/>
              </w:rPr>
            </w:pPr>
          </w:p>
          <w:p w14:paraId="5CF26E6B">
            <w:pPr>
              <w:pStyle w:val="7"/>
              <w:jc w:val="center"/>
              <w:rPr>
                <w:rFonts w:hint="eastAsia" w:ascii="宋体" w:hAnsi="宋体" w:eastAsia="宋体" w:cs="宋体"/>
              </w:rPr>
            </w:pPr>
            <w:r>
              <w:rPr>
                <w:rFonts w:hint="eastAsia" w:ascii="宋体" w:hAnsi="宋体" w:eastAsia="宋体" w:cs="宋体"/>
              </w:rPr>
              <w:t>投资者关系</w:t>
            </w:r>
          </w:p>
          <w:p w14:paraId="5B82F2C9">
            <w:pPr>
              <w:pStyle w:val="7"/>
              <w:jc w:val="center"/>
              <w:rPr>
                <w:rFonts w:hint="eastAsia" w:ascii="宋体" w:hAnsi="宋体" w:eastAsia="宋体" w:cs="宋体"/>
              </w:rPr>
            </w:pPr>
            <w:r>
              <w:rPr>
                <w:rFonts w:hint="eastAsia" w:ascii="宋体" w:hAnsi="宋体" w:eastAsia="宋体" w:cs="宋体"/>
              </w:rPr>
              <w:t>活动类别</w:t>
            </w:r>
          </w:p>
        </w:tc>
        <w:tc>
          <w:tcPr>
            <w:tcW w:w="1944" w:type="pct"/>
            <w:gridSpan w:val="2"/>
            <w:tcBorders>
              <w:right w:val="nil"/>
            </w:tcBorders>
          </w:tcPr>
          <w:p w14:paraId="49A8E2C9">
            <w:pPr>
              <w:pStyle w:val="7"/>
              <w:spacing w:before="38" w:line="217" w:lineRule="auto"/>
              <w:rPr>
                <w:rFonts w:hint="eastAsia" w:ascii="宋体" w:hAnsi="宋体" w:eastAsia="宋体" w:cs="宋体"/>
                <w:lang w:eastAsia="zh-CN"/>
              </w:rPr>
            </w:pPr>
            <w:r>
              <w:rPr>
                <w:rFonts w:hint="eastAsia" w:ascii="宋体" w:hAnsi="宋体" w:eastAsia="宋体" w:cs="宋体"/>
                <w:spacing w:val="-4"/>
                <w:lang w:eastAsia="zh-CN"/>
              </w:rPr>
              <w:t>☑</w:t>
            </w:r>
            <w:r>
              <w:rPr>
                <w:rFonts w:hint="eastAsia" w:ascii="宋体" w:hAnsi="宋体" w:eastAsia="宋体" w:cs="宋体"/>
                <w:lang w:eastAsia="zh-CN"/>
              </w:rPr>
              <w:t>公司现场接待</w:t>
            </w:r>
          </w:p>
          <w:p w14:paraId="6F1103B8">
            <w:pPr>
              <w:pStyle w:val="7"/>
              <w:spacing w:before="29" w:line="217" w:lineRule="auto"/>
              <w:rPr>
                <w:rFonts w:hint="eastAsia" w:ascii="宋体" w:hAnsi="宋体" w:eastAsia="宋体" w:cs="宋体"/>
                <w:lang w:eastAsia="zh-CN"/>
              </w:rPr>
            </w:pPr>
            <w:r>
              <w:rPr>
                <w:rFonts w:hint="eastAsia" w:ascii="宋体" w:hAnsi="宋体" w:eastAsia="宋体" w:cs="宋体"/>
                <w:spacing w:val="-5"/>
                <w:lang w:eastAsia="zh-CN"/>
              </w:rPr>
              <w:t>□</w:t>
            </w:r>
            <w:r>
              <w:rPr>
                <w:rFonts w:hint="eastAsia" w:ascii="宋体" w:hAnsi="宋体" w:eastAsia="宋体" w:cs="宋体"/>
                <w:lang w:eastAsia="zh-CN"/>
              </w:rPr>
              <w:t>其他场所接待</w:t>
            </w:r>
          </w:p>
          <w:p w14:paraId="7AC8ADB7">
            <w:pPr>
              <w:pStyle w:val="7"/>
              <w:spacing w:before="29" w:line="218" w:lineRule="auto"/>
              <w:rPr>
                <w:rFonts w:hint="eastAsia" w:ascii="宋体" w:hAnsi="宋体" w:eastAsia="宋体" w:cs="宋体"/>
                <w:lang w:eastAsia="zh-CN"/>
              </w:rPr>
            </w:pPr>
            <w:r>
              <w:rPr>
                <w:rFonts w:hint="eastAsia" w:ascii="宋体" w:hAnsi="宋体" w:eastAsia="宋体" w:cs="宋体"/>
                <w:spacing w:val="-4"/>
                <w:lang w:eastAsia="zh-CN"/>
              </w:rPr>
              <w:t>□</w:t>
            </w:r>
            <w:r>
              <w:rPr>
                <w:rFonts w:hint="eastAsia" w:ascii="宋体" w:hAnsi="宋体" w:eastAsia="宋体" w:cs="宋体"/>
                <w:lang w:eastAsia="zh-CN"/>
              </w:rPr>
              <w:t>定期报告说明会</w:t>
            </w:r>
          </w:p>
          <w:p w14:paraId="7FBD39B1">
            <w:pPr>
              <w:pStyle w:val="7"/>
              <w:spacing w:before="26" w:line="208" w:lineRule="auto"/>
              <w:rPr>
                <w:rFonts w:hint="eastAsia" w:ascii="宋体" w:hAnsi="宋体" w:eastAsia="宋体" w:cs="宋体"/>
                <w:lang w:eastAsia="zh-CN"/>
              </w:rPr>
            </w:pPr>
            <w:r>
              <w:rPr>
                <w:rFonts w:hint="eastAsia" w:ascii="宋体" w:hAnsi="宋体" w:eastAsia="宋体" w:cs="宋体"/>
                <w:spacing w:val="-17"/>
                <w:lang w:eastAsia="zh-CN"/>
              </w:rPr>
              <w:t>□</w:t>
            </w:r>
            <w:r>
              <w:rPr>
                <w:rFonts w:hint="eastAsia" w:ascii="宋体" w:hAnsi="宋体" w:eastAsia="宋体" w:cs="宋体"/>
                <w:lang w:eastAsia="zh-CN"/>
              </w:rPr>
              <w:t>其他：</w:t>
            </w:r>
          </w:p>
        </w:tc>
        <w:tc>
          <w:tcPr>
            <w:tcW w:w="1951" w:type="pct"/>
            <w:gridSpan w:val="3"/>
            <w:tcBorders>
              <w:left w:val="nil"/>
            </w:tcBorders>
          </w:tcPr>
          <w:p w14:paraId="195B3104">
            <w:pPr>
              <w:pStyle w:val="7"/>
              <w:spacing w:before="38" w:line="217" w:lineRule="auto"/>
              <w:rPr>
                <w:rFonts w:hint="eastAsia" w:ascii="宋体" w:hAnsi="宋体" w:eastAsia="宋体" w:cs="宋体"/>
                <w:lang w:eastAsia="zh-CN"/>
              </w:rPr>
            </w:pPr>
            <w:r>
              <w:rPr>
                <w:rFonts w:hint="eastAsia" w:ascii="宋体" w:hAnsi="宋体" w:eastAsia="宋体" w:cs="宋体"/>
                <w:spacing w:val="-4"/>
                <w:lang w:eastAsia="zh-CN"/>
              </w:rPr>
              <w:t>☑</w:t>
            </w:r>
            <w:r>
              <w:rPr>
                <w:rFonts w:hint="eastAsia" w:ascii="宋体" w:hAnsi="宋体" w:eastAsia="宋体" w:cs="宋体"/>
                <w:lang w:eastAsia="zh-CN"/>
              </w:rPr>
              <w:t>电话接待</w:t>
            </w:r>
          </w:p>
          <w:p w14:paraId="5A7427B7">
            <w:pPr>
              <w:pStyle w:val="7"/>
              <w:spacing w:before="29" w:line="182" w:lineRule="auto"/>
              <w:rPr>
                <w:rFonts w:hint="eastAsia" w:ascii="宋体" w:hAnsi="宋体" w:eastAsia="宋体" w:cs="宋体"/>
                <w:lang w:eastAsia="zh-CN"/>
              </w:rPr>
            </w:pPr>
            <w:r>
              <w:rPr>
                <w:rFonts w:hint="eastAsia" w:ascii="宋体" w:hAnsi="宋体" w:eastAsia="宋体" w:cs="宋体"/>
                <w:spacing w:val="-4"/>
                <w:lang w:eastAsia="zh-CN"/>
              </w:rPr>
              <w:t>□</w:t>
            </w:r>
            <w:r>
              <w:rPr>
                <w:rFonts w:hint="eastAsia" w:ascii="宋体" w:hAnsi="宋体" w:eastAsia="宋体" w:cs="宋体"/>
                <w:lang w:eastAsia="zh-CN"/>
              </w:rPr>
              <w:t>公开说明会</w:t>
            </w:r>
          </w:p>
          <w:p w14:paraId="35247956">
            <w:pPr>
              <w:pStyle w:val="7"/>
              <w:spacing w:before="1" w:line="218" w:lineRule="auto"/>
              <w:rPr>
                <w:rFonts w:hint="eastAsia" w:ascii="宋体" w:hAnsi="宋体" w:eastAsia="宋体" w:cs="宋体"/>
                <w:lang w:eastAsia="zh-CN"/>
              </w:rPr>
            </w:pPr>
            <w:r>
              <w:rPr>
                <w:rFonts w:hint="eastAsia" w:ascii="宋体" w:hAnsi="宋体" w:eastAsia="宋体" w:cs="宋体"/>
                <w:spacing w:val="-4"/>
                <w:lang w:eastAsia="zh-CN"/>
              </w:rPr>
              <w:t>□</w:t>
            </w:r>
            <w:r>
              <w:rPr>
                <w:rFonts w:hint="eastAsia" w:ascii="宋体" w:hAnsi="宋体" w:eastAsia="宋体" w:cs="宋体"/>
                <w:lang w:eastAsia="zh-CN"/>
              </w:rPr>
              <w:t>重要公告说明会</w:t>
            </w:r>
          </w:p>
        </w:tc>
      </w:tr>
      <w:tr w14:paraId="7C02C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104" w:type="pct"/>
            <w:vMerge w:val="restart"/>
            <w:vAlign w:val="center"/>
          </w:tcPr>
          <w:p w14:paraId="34B7528F">
            <w:pPr>
              <w:pStyle w:val="7"/>
              <w:jc w:val="center"/>
              <w:rPr>
                <w:rFonts w:hint="eastAsia" w:ascii="宋体" w:hAnsi="宋体" w:eastAsia="宋体" w:cs="宋体"/>
              </w:rPr>
            </w:pPr>
            <w:r>
              <w:rPr>
                <w:rFonts w:hint="eastAsia" w:ascii="宋体" w:hAnsi="宋体" w:eastAsia="宋体" w:cs="宋体"/>
              </w:rPr>
              <w:t>参与单位</w:t>
            </w:r>
          </w:p>
        </w:tc>
        <w:tc>
          <w:tcPr>
            <w:tcW w:w="971" w:type="pct"/>
            <w:vAlign w:val="center"/>
          </w:tcPr>
          <w:p w14:paraId="77E707E5">
            <w:pPr>
              <w:pStyle w:val="7"/>
              <w:jc w:val="center"/>
              <w:rPr>
                <w:rFonts w:hint="eastAsia" w:ascii="宋体" w:hAnsi="宋体" w:eastAsia="宋体" w:cs="宋体"/>
              </w:rPr>
            </w:pPr>
            <w:r>
              <w:rPr>
                <w:rFonts w:hint="eastAsia" w:ascii="宋体" w:hAnsi="宋体" w:eastAsia="宋体" w:cs="宋体"/>
              </w:rPr>
              <w:t>工银瑞信</w:t>
            </w:r>
          </w:p>
        </w:tc>
        <w:tc>
          <w:tcPr>
            <w:tcW w:w="972" w:type="pct"/>
            <w:vAlign w:val="center"/>
          </w:tcPr>
          <w:p w14:paraId="7526D51F">
            <w:pPr>
              <w:pStyle w:val="7"/>
              <w:jc w:val="center"/>
              <w:rPr>
                <w:rFonts w:hint="eastAsia" w:ascii="宋体" w:hAnsi="宋体" w:eastAsia="宋体" w:cs="宋体"/>
                <w:lang w:eastAsia="zh-CN"/>
              </w:rPr>
            </w:pPr>
            <w:r>
              <w:rPr>
                <w:rFonts w:hint="eastAsia" w:ascii="宋体" w:hAnsi="宋体" w:eastAsia="宋体" w:cs="宋体"/>
                <w:lang w:eastAsia="zh-CN"/>
              </w:rPr>
              <w:t>大成基金</w:t>
            </w:r>
          </w:p>
        </w:tc>
        <w:tc>
          <w:tcPr>
            <w:tcW w:w="967" w:type="pct"/>
            <w:gridSpan w:val="2"/>
            <w:vAlign w:val="center"/>
          </w:tcPr>
          <w:p w14:paraId="6DCB0D0E">
            <w:pPr>
              <w:pStyle w:val="7"/>
              <w:jc w:val="center"/>
              <w:rPr>
                <w:rFonts w:hint="eastAsia" w:ascii="宋体" w:hAnsi="宋体" w:eastAsia="宋体" w:cs="宋体"/>
              </w:rPr>
            </w:pPr>
            <w:r>
              <w:rPr>
                <w:rFonts w:hint="eastAsia" w:ascii="宋体" w:hAnsi="宋体" w:eastAsia="宋体" w:cs="宋体"/>
              </w:rPr>
              <w:t>长江证券</w:t>
            </w:r>
          </w:p>
        </w:tc>
        <w:tc>
          <w:tcPr>
            <w:tcW w:w="984" w:type="pct"/>
            <w:vAlign w:val="center"/>
          </w:tcPr>
          <w:p w14:paraId="21C0C999">
            <w:pPr>
              <w:pStyle w:val="7"/>
              <w:jc w:val="center"/>
              <w:rPr>
                <w:rFonts w:hint="eastAsia" w:ascii="宋体" w:hAnsi="宋体" w:eastAsia="宋体" w:cs="宋体"/>
              </w:rPr>
            </w:pPr>
            <w:r>
              <w:rPr>
                <w:rFonts w:hint="eastAsia" w:ascii="宋体" w:hAnsi="宋体" w:eastAsia="宋体" w:cs="宋体"/>
              </w:rPr>
              <w:t>平安基金</w:t>
            </w:r>
          </w:p>
        </w:tc>
      </w:tr>
      <w:tr w14:paraId="23E25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104" w:type="pct"/>
            <w:vMerge w:val="continue"/>
            <w:vAlign w:val="center"/>
          </w:tcPr>
          <w:p w14:paraId="10CB2F88">
            <w:pPr>
              <w:pStyle w:val="7"/>
              <w:spacing w:before="192" w:line="216" w:lineRule="auto"/>
              <w:rPr>
                <w:rFonts w:hint="eastAsia" w:ascii="宋体" w:hAnsi="宋体" w:eastAsia="宋体" w:cs="宋体"/>
                <w:spacing w:val="28"/>
              </w:rPr>
            </w:pPr>
          </w:p>
        </w:tc>
        <w:tc>
          <w:tcPr>
            <w:tcW w:w="971" w:type="pct"/>
            <w:vAlign w:val="center"/>
          </w:tcPr>
          <w:p w14:paraId="5DEB3990">
            <w:pPr>
              <w:pStyle w:val="7"/>
              <w:jc w:val="center"/>
              <w:rPr>
                <w:rFonts w:hint="eastAsia" w:ascii="宋体" w:hAnsi="宋体" w:eastAsia="宋体" w:cs="宋体"/>
              </w:rPr>
            </w:pPr>
            <w:r>
              <w:rPr>
                <w:rFonts w:hint="eastAsia" w:ascii="宋体" w:hAnsi="宋体" w:eastAsia="宋体" w:cs="宋体"/>
              </w:rPr>
              <w:t>招商资管</w:t>
            </w:r>
          </w:p>
        </w:tc>
        <w:tc>
          <w:tcPr>
            <w:tcW w:w="972" w:type="pct"/>
            <w:vAlign w:val="center"/>
          </w:tcPr>
          <w:p w14:paraId="240C3C41">
            <w:pPr>
              <w:pStyle w:val="7"/>
              <w:jc w:val="center"/>
              <w:rPr>
                <w:rFonts w:hint="eastAsia" w:ascii="宋体" w:hAnsi="宋体" w:eastAsia="宋体" w:cs="宋体"/>
              </w:rPr>
            </w:pPr>
            <w:r>
              <w:rPr>
                <w:rFonts w:hint="eastAsia" w:ascii="宋体" w:hAnsi="宋体" w:eastAsia="宋体" w:cs="宋体"/>
              </w:rPr>
              <w:t>兆顺投资</w:t>
            </w:r>
          </w:p>
        </w:tc>
        <w:tc>
          <w:tcPr>
            <w:tcW w:w="967" w:type="pct"/>
            <w:gridSpan w:val="2"/>
            <w:vAlign w:val="center"/>
          </w:tcPr>
          <w:p w14:paraId="04705585">
            <w:pPr>
              <w:pStyle w:val="7"/>
              <w:jc w:val="center"/>
              <w:rPr>
                <w:rFonts w:hint="eastAsia" w:ascii="宋体" w:hAnsi="宋体" w:eastAsia="宋体" w:cs="宋体"/>
              </w:rPr>
            </w:pPr>
            <w:r>
              <w:rPr>
                <w:rFonts w:hint="eastAsia" w:ascii="宋体" w:hAnsi="宋体" w:eastAsia="宋体" w:cs="宋体"/>
              </w:rPr>
              <w:t>国金证券</w:t>
            </w:r>
          </w:p>
        </w:tc>
        <w:tc>
          <w:tcPr>
            <w:tcW w:w="984" w:type="pct"/>
            <w:vAlign w:val="center"/>
          </w:tcPr>
          <w:p w14:paraId="648D82DD">
            <w:pPr>
              <w:pStyle w:val="7"/>
              <w:jc w:val="center"/>
              <w:rPr>
                <w:rFonts w:hint="eastAsia" w:ascii="宋体" w:hAnsi="宋体" w:eastAsia="宋体" w:cs="宋体"/>
                <w:lang w:eastAsia="zh-CN"/>
              </w:rPr>
            </w:pPr>
            <w:r>
              <w:rPr>
                <w:rFonts w:hint="eastAsia" w:ascii="宋体" w:hAnsi="宋体" w:eastAsia="宋体" w:cs="宋体"/>
                <w:lang w:eastAsia="zh-CN"/>
              </w:rPr>
              <w:t>诺安基金</w:t>
            </w:r>
          </w:p>
        </w:tc>
      </w:tr>
      <w:tr w14:paraId="787B1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104" w:type="pct"/>
            <w:vMerge w:val="continue"/>
            <w:vAlign w:val="center"/>
          </w:tcPr>
          <w:p w14:paraId="3D3B8727">
            <w:pPr>
              <w:pStyle w:val="7"/>
              <w:spacing w:before="192" w:line="216" w:lineRule="auto"/>
              <w:rPr>
                <w:rFonts w:hint="eastAsia" w:ascii="宋体" w:hAnsi="宋体" w:eastAsia="宋体" w:cs="宋体"/>
                <w:spacing w:val="28"/>
              </w:rPr>
            </w:pPr>
          </w:p>
        </w:tc>
        <w:tc>
          <w:tcPr>
            <w:tcW w:w="971" w:type="pct"/>
            <w:vAlign w:val="center"/>
          </w:tcPr>
          <w:p w14:paraId="2FBCB1C5">
            <w:pPr>
              <w:pStyle w:val="7"/>
              <w:jc w:val="center"/>
              <w:rPr>
                <w:rFonts w:hint="eastAsia" w:ascii="宋体" w:hAnsi="宋体" w:eastAsia="宋体" w:cs="宋体"/>
              </w:rPr>
            </w:pPr>
            <w:r>
              <w:rPr>
                <w:rFonts w:hint="eastAsia" w:ascii="宋体" w:hAnsi="宋体" w:eastAsia="宋体" w:cs="宋体"/>
              </w:rPr>
              <w:t>国信证券</w:t>
            </w:r>
          </w:p>
        </w:tc>
        <w:tc>
          <w:tcPr>
            <w:tcW w:w="972" w:type="pct"/>
            <w:vAlign w:val="center"/>
          </w:tcPr>
          <w:p w14:paraId="74FC9ACB">
            <w:pPr>
              <w:pStyle w:val="7"/>
              <w:jc w:val="center"/>
              <w:rPr>
                <w:rFonts w:hint="eastAsia" w:ascii="宋体" w:hAnsi="宋体" w:eastAsia="宋体" w:cs="宋体"/>
              </w:rPr>
            </w:pPr>
          </w:p>
        </w:tc>
        <w:tc>
          <w:tcPr>
            <w:tcW w:w="967" w:type="pct"/>
            <w:gridSpan w:val="2"/>
            <w:vAlign w:val="center"/>
          </w:tcPr>
          <w:p w14:paraId="19CB61D9">
            <w:pPr>
              <w:pStyle w:val="7"/>
              <w:jc w:val="center"/>
              <w:rPr>
                <w:rFonts w:hint="eastAsia" w:ascii="宋体" w:hAnsi="宋体" w:eastAsia="宋体" w:cs="宋体"/>
              </w:rPr>
            </w:pPr>
          </w:p>
        </w:tc>
        <w:tc>
          <w:tcPr>
            <w:tcW w:w="984" w:type="pct"/>
            <w:vAlign w:val="center"/>
          </w:tcPr>
          <w:p w14:paraId="2A757E4D">
            <w:pPr>
              <w:pStyle w:val="7"/>
              <w:jc w:val="center"/>
              <w:rPr>
                <w:rFonts w:hint="eastAsia" w:ascii="宋体" w:hAnsi="宋体" w:eastAsia="宋体" w:cs="宋体"/>
              </w:rPr>
            </w:pPr>
          </w:p>
        </w:tc>
      </w:tr>
      <w:tr w14:paraId="02311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04" w:type="pct"/>
          </w:tcPr>
          <w:p w14:paraId="580533B7">
            <w:pPr>
              <w:pStyle w:val="7"/>
              <w:jc w:val="center"/>
              <w:rPr>
                <w:rFonts w:hint="eastAsia" w:ascii="宋体" w:hAnsi="宋体" w:eastAsia="宋体" w:cs="宋体"/>
              </w:rPr>
            </w:pPr>
            <w:r>
              <w:rPr>
                <w:rFonts w:hint="eastAsia" w:ascii="宋体" w:hAnsi="宋体" w:eastAsia="宋体" w:cs="宋体"/>
              </w:rPr>
              <w:t>时间</w:t>
            </w:r>
          </w:p>
        </w:tc>
        <w:tc>
          <w:tcPr>
            <w:tcW w:w="1944" w:type="pct"/>
            <w:gridSpan w:val="2"/>
          </w:tcPr>
          <w:p w14:paraId="5A9DC7C6">
            <w:pPr>
              <w:pStyle w:val="7"/>
              <w:jc w:val="both"/>
              <w:rPr>
                <w:rFonts w:hint="eastAsia" w:ascii="宋体" w:hAnsi="宋体" w:eastAsia="宋体" w:cs="宋体"/>
              </w:rPr>
            </w:pPr>
            <w:r>
              <w:rPr>
                <w:rFonts w:hint="eastAsia" w:ascii="宋体" w:hAnsi="宋体" w:eastAsia="宋体" w:cs="宋体"/>
              </w:rPr>
              <w:t xml:space="preserve">2025 年 </w:t>
            </w:r>
            <w:r>
              <w:rPr>
                <w:rFonts w:hint="eastAsia" w:ascii="宋体" w:hAnsi="宋体" w:eastAsia="宋体" w:cs="宋体"/>
                <w:lang w:eastAsia="zh-CN"/>
              </w:rPr>
              <w:t>11</w:t>
            </w:r>
            <w:r>
              <w:rPr>
                <w:rFonts w:hint="eastAsia" w:ascii="宋体" w:hAnsi="宋体" w:eastAsia="宋体" w:cs="宋体"/>
              </w:rPr>
              <w:t xml:space="preserve"> 月</w:t>
            </w:r>
          </w:p>
        </w:tc>
        <w:tc>
          <w:tcPr>
            <w:tcW w:w="469" w:type="pct"/>
          </w:tcPr>
          <w:p w14:paraId="7205DE07">
            <w:pPr>
              <w:pStyle w:val="7"/>
              <w:spacing w:before="36" w:line="207" w:lineRule="auto"/>
              <w:ind w:left="122"/>
              <w:jc w:val="center"/>
              <w:rPr>
                <w:rFonts w:hint="eastAsia" w:ascii="宋体" w:hAnsi="宋体" w:eastAsia="宋体" w:cs="宋体"/>
              </w:rPr>
            </w:pPr>
            <w:r>
              <w:rPr>
                <w:rFonts w:hint="eastAsia" w:ascii="宋体" w:hAnsi="宋体" w:eastAsia="宋体" w:cs="宋体"/>
                <w:spacing w:val="-5"/>
              </w:rPr>
              <w:t>地点</w:t>
            </w:r>
          </w:p>
        </w:tc>
        <w:tc>
          <w:tcPr>
            <w:tcW w:w="1481" w:type="pct"/>
            <w:gridSpan w:val="2"/>
          </w:tcPr>
          <w:p w14:paraId="6623B058">
            <w:pPr>
              <w:pStyle w:val="7"/>
              <w:jc w:val="both"/>
              <w:rPr>
                <w:rFonts w:hint="eastAsia" w:ascii="宋体" w:hAnsi="宋体" w:eastAsia="宋体" w:cs="宋体"/>
              </w:rPr>
            </w:pPr>
            <w:r>
              <w:rPr>
                <w:rFonts w:hint="eastAsia" w:ascii="宋体" w:hAnsi="宋体" w:eastAsia="宋体" w:cs="宋体"/>
              </w:rPr>
              <w:t>公司会议室</w:t>
            </w:r>
          </w:p>
        </w:tc>
      </w:tr>
      <w:tr w14:paraId="2EF59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04" w:type="pct"/>
          </w:tcPr>
          <w:p w14:paraId="31898B36">
            <w:pPr>
              <w:pStyle w:val="7"/>
              <w:jc w:val="center"/>
              <w:rPr>
                <w:rFonts w:hint="eastAsia" w:ascii="宋体" w:hAnsi="宋体" w:eastAsia="宋体" w:cs="宋体"/>
                <w:lang w:eastAsia="zh-CN"/>
              </w:rPr>
            </w:pPr>
            <w:r>
              <w:rPr>
                <w:rFonts w:hint="eastAsia" w:ascii="宋体" w:hAnsi="宋体" w:eastAsia="宋体" w:cs="宋体"/>
                <w:lang w:eastAsia="zh-CN"/>
              </w:rPr>
              <w:t>上市公司接待人员姓名</w:t>
            </w:r>
          </w:p>
        </w:tc>
        <w:tc>
          <w:tcPr>
            <w:tcW w:w="3895" w:type="pct"/>
            <w:gridSpan w:val="5"/>
            <w:vAlign w:val="center"/>
          </w:tcPr>
          <w:p w14:paraId="04AE54BD">
            <w:pPr>
              <w:pStyle w:val="7"/>
              <w:jc w:val="both"/>
              <w:rPr>
                <w:rFonts w:hint="eastAsia" w:ascii="宋体" w:hAnsi="宋体" w:eastAsia="宋体" w:cs="宋体"/>
                <w:lang w:eastAsia="zh-CN"/>
              </w:rPr>
            </w:pPr>
            <w:r>
              <w:rPr>
                <w:rFonts w:hint="eastAsia" w:ascii="宋体" w:hAnsi="宋体" w:eastAsia="宋体" w:cs="宋体"/>
                <w:lang w:eastAsia="zh-CN"/>
              </w:rPr>
              <w:t>董事会秘书王永生</w:t>
            </w:r>
          </w:p>
        </w:tc>
      </w:tr>
      <w:tr w14:paraId="62EB3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5000" w:type="pct"/>
            <w:gridSpan w:val="6"/>
          </w:tcPr>
          <w:p w14:paraId="12EEF9EC">
            <w:pPr>
              <w:pStyle w:val="7"/>
              <w:numPr>
                <w:ilvl w:val="0"/>
                <w:numId w:val="1"/>
              </w:numPr>
              <w:spacing w:before="182" w:line="361" w:lineRule="auto"/>
              <w:ind w:left="124" w:right="106" w:firstLine="483"/>
              <w:rPr>
                <w:rFonts w:hint="eastAsia" w:ascii="宋体" w:hAnsi="宋体" w:eastAsia="宋体" w:cs="宋体"/>
                <w:b/>
                <w:bCs/>
              </w:rPr>
            </w:pPr>
            <w:r>
              <w:rPr>
                <w:rFonts w:hint="eastAsia" w:ascii="宋体" w:hAnsi="宋体" w:eastAsia="宋体" w:cs="宋体"/>
                <w:b/>
                <w:bCs/>
                <w:lang w:eastAsia="zh-CN"/>
              </w:rPr>
              <w:t>公司</w:t>
            </w:r>
            <w:r>
              <w:rPr>
                <w:rFonts w:hint="eastAsia" w:ascii="宋体" w:hAnsi="宋体" w:eastAsia="宋体" w:cs="宋体"/>
                <w:b/>
                <w:bCs/>
              </w:rPr>
              <w:t>近期经营情况介绍</w:t>
            </w:r>
          </w:p>
          <w:p w14:paraId="75228341">
            <w:pPr>
              <w:spacing w:line="459"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公司董事会秘书王永生先生向与会投资者介绍了公司2025年前三季度的经营情况和新产品的进展。</w:t>
            </w:r>
          </w:p>
          <w:p w14:paraId="0514FA91">
            <w:pPr>
              <w:pStyle w:val="7"/>
              <w:numPr>
                <w:ilvl w:val="0"/>
                <w:numId w:val="1"/>
              </w:numPr>
              <w:spacing w:before="188" w:line="360" w:lineRule="auto"/>
              <w:ind w:left="124" w:right="73" w:firstLine="483"/>
              <w:rPr>
                <w:rFonts w:hint="eastAsia" w:ascii="宋体" w:hAnsi="宋体" w:eastAsia="宋体" w:cs="宋体"/>
                <w:lang w:eastAsia="zh-CN"/>
              </w:rPr>
            </w:pPr>
            <w:r>
              <w:rPr>
                <w:rFonts w:hint="eastAsia" w:ascii="宋体" w:hAnsi="宋体" w:eastAsia="宋体" w:cs="宋体"/>
                <w:b/>
                <w:bCs/>
              </w:rPr>
              <w:t>投资者</w:t>
            </w:r>
            <w:r>
              <w:rPr>
                <w:rFonts w:hint="eastAsia" w:ascii="宋体" w:hAnsi="宋体" w:eastAsia="宋体" w:cs="宋体"/>
                <w:b/>
                <w:bCs/>
                <w:lang w:eastAsia="zh-CN"/>
              </w:rPr>
              <w:t>交流重点问题</w:t>
            </w:r>
            <w:r>
              <w:rPr>
                <w:rFonts w:hint="eastAsia" w:ascii="宋体" w:hAnsi="宋体" w:eastAsia="宋体" w:cs="宋体"/>
                <w:b/>
                <w:bCs/>
              </w:rPr>
              <w:t xml:space="preserve"> </w:t>
            </w:r>
          </w:p>
          <w:p w14:paraId="2D3746A8">
            <w:pPr>
              <w:numPr>
                <w:ilvl w:val="0"/>
                <w:numId w:val="2"/>
              </w:numPr>
              <w:spacing w:line="360" w:lineRule="auto"/>
              <w:ind w:left="210" w:leftChars="1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请问</w:t>
            </w:r>
            <w:r>
              <w:rPr>
                <w:rFonts w:hint="eastAsia" w:ascii="宋体" w:hAnsi="宋体"/>
                <w:b/>
                <w:bCs/>
                <w:sz w:val="24"/>
                <w:szCs w:val="24"/>
                <w:lang w:eastAsia="zh-CN"/>
              </w:rPr>
              <w:t>公司新材料高加工费产品及未来增量</w:t>
            </w:r>
            <w:r>
              <w:rPr>
                <w:rFonts w:hint="eastAsia" w:ascii="宋体" w:hAnsi="宋体" w:eastAsia="宋体" w:cs="宋体"/>
                <w:b/>
                <w:bCs/>
                <w:sz w:val="24"/>
                <w:szCs w:val="24"/>
                <w:lang w:eastAsia="zh-CN"/>
              </w:rPr>
              <w:t>？</w:t>
            </w:r>
          </w:p>
          <w:p w14:paraId="0AC1AD97">
            <w:pPr>
              <w:spacing w:line="360" w:lineRule="auto"/>
              <w:ind w:left="210" w:leftChars="100" w:firstLine="480" w:firstLineChars="200"/>
              <w:rPr>
                <w:rFonts w:hint="eastAsia" w:ascii="宋体" w:hAnsi="宋体" w:eastAsia="宋体" w:cs="宋体"/>
                <w:sz w:val="24"/>
                <w:lang w:eastAsia="zh-CN"/>
              </w:rPr>
            </w:pPr>
            <w:r>
              <w:rPr>
                <w:rFonts w:hint="eastAsia" w:ascii="宋体" w:hAnsi="宋体" w:eastAsia="宋体" w:cs="宋体"/>
                <w:sz w:val="24"/>
                <w:lang w:eastAsia="zh-CN"/>
              </w:rPr>
              <w:t>答：首先，算力服务器高速连接器材料今年同比增长，除海外算力服务器，大家也可以关注国产算力领域未来的增长。其次，A公司今年新出的首款AI手机的高端机型全面使用了公司的VC散热材料，该VC散热材料在Q3出货量显著增加。再次，国内新能源车的高低压连接器材料和高速连接器材料依然是目前最主要的增长方向。未来，一旦固态电池的技术突破，新能源车在全部汽车市场的渗透率会进一步提升，公司将加快推进3万吨电子材料合金带材项目的建设，以满足未来市场的需求。公司和泰科电子联合开发的铜铝复合线束解决方案，一方面给下游汽车厂商可以实现降本10%以上，同时可以缓解全球铜资源紧张的局面，随着项目的推进，同时挖掘出在家电、储能等行业的巨大替代空间。coolermaster液冷板散热材料出货量会在明年体现出来，具体需看GB300的项目推进及市场情况。同时，公司数字化研发中心正在推进针对Rubin构架的散热方案，涵盖微通道、3D打印、铜金刚石复合材料等多种组合方案。</w:t>
            </w:r>
          </w:p>
          <w:p w14:paraId="4310D5AD">
            <w:pPr>
              <w:spacing w:line="360" w:lineRule="auto"/>
              <w:ind w:left="210" w:leftChars="100" w:firstLine="480" w:firstLineChars="200"/>
              <w:rPr>
                <w:rFonts w:hint="eastAsia" w:ascii="宋体" w:hAnsi="宋体" w:eastAsia="宋体" w:cs="宋体"/>
                <w:sz w:val="24"/>
                <w:lang w:eastAsia="zh-CN"/>
              </w:rPr>
            </w:pPr>
          </w:p>
          <w:p w14:paraId="4BCBB249">
            <w:pPr>
              <w:numPr>
                <w:ilvl w:val="0"/>
                <w:numId w:val="2"/>
              </w:numPr>
              <w:spacing w:line="360" w:lineRule="auto"/>
              <w:ind w:left="210" w:leftChars="1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请问新材料业务新建产能的项目投产进度情况如何？</w:t>
            </w:r>
          </w:p>
          <w:p w14:paraId="09317D69">
            <w:pPr>
              <w:spacing w:line="360" w:lineRule="auto"/>
              <w:ind w:left="210" w:leftChars="100"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答：年产5万吨特殊合金带材项目接近满产，越南年产3.18万吨特种合金棒、线制造生产线尚处于产能爬坡阶段，GB300液冷板所用的异型散热材料的大量需求将有助于该产线尽早达产，2万吨特殊合金电子材料线材扩产项目在今年6月底正式投产。 </w:t>
            </w:r>
            <w:bookmarkStart w:id="0" w:name="_GoBack"/>
            <w:bookmarkEnd w:id="0"/>
          </w:p>
          <w:p w14:paraId="3EC922A9">
            <w:pPr>
              <w:spacing w:line="360" w:lineRule="auto"/>
              <w:ind w:left="210" w:leftChars="100" w:firstLine="480" w:firstLineChars="200"/>
              <w:rPr>
                <w:rFonts w:hint="eastAsia" w:ascii="宋体" w:hAnsi="宋体" w:eastAsia="宋体" w:cs="宋体"/>
                <w:sz w:val="24"/>
                <w:lang w:eastAsia="zh-CN"/>
              </w:rPr>
            </w:pPr>
          </w:p>
          <w:p w14:paraId="777AA4F3">
            <w:pPr>
              <w:numPr>
                <w:ilvl w:val="0"/>
                <w:numId w:val="2"/>
              </w:numPr>
              <w:spacing w:line="360" w:lineRule="auto"/>
              <w:ind w:left="210" w:leftChars="100"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请问摩洛哥板带项目的销售目的地在哪里，主要用于哪些下游行业。主要</w:t>
            </w:r>
            <w:r>
              <w:rPr>
                <w:rFonts w:hint="eastAsia" w:ascii="宋体" w:hAnsi="宋体" w:eastAsia="宋体" w:cs="宋体"/>
                <w:b/>
                <w:bCs/>
                <w:sz w:val="24"/>
                <w:szCs w:val="24"/>
                <w:lang w:eastAsia="zh-CN"/>
              </w:rPr>
              <w:t>的增量发方向有哪些？</w:t>
            </w:r>
          </w:p>
          <w:p w14:paraId="71A9AD4B">
            <w:pPr>
              <w:spacing w:line="360" w:lineRule="auto"/>
              <w:ind w:left="210" w:leftChars="0" w:firstLine="240" w:firstLineChars="100"/>
              <w:rPr>
                <w:rFonts w:hint="eastAsia" w:ascii="宋体" w:hAnsi="宋体" w:eastAsia="宋体" w:cs="宋体"/>
                <w:sz w:val="24"/>
                <w:lang w:eastAsia="zh-CN"/>
              </w:rPr>
            </w:pPr>
            <w:r>
              <w:rPr>
                <w:rFonts w:hint="eastAsia" w:ascii="宋体" w:hAnsi="宋体" w:eastAsia="宋体" w:cs="宋体"/>
                <w:sz w:val="24"/>
                <w:lang w:eastAsia="zh-CN"/>
              </w:rPr>
              <w:t>答：摩洛哥板带项目销售的重点目的地是欧洲和摩洛哥本土市场，摩洛哥本土有很多大型企业客户，如泰科、安波福、李尔等。该项目主要应用于汽车领域，汽车的应用空间更大。未来，一旦固态电池的技术突破，新能源车在全部汽车市场的渗透率会进一步提升，公司板带的需求量将进一步提升。</w:t>
            </w:r>
          </w:p>
          <w:p w14:paraId="6AB2D04E">
            <w:pPr>
              <w:spacing w:line="360" w:lineRule="auto"/>
              <w:rPr>
                <w:rFonts w:hint="eastAsia" w:ascii="宋体" w:hAnsi="宋体" w:eastAsia="宋体" w:cs="宋体"/>
                <w:b/>
                <w:bCs/>
                <w:sz w:val="24"/>
                <w:szCs w:val="24"/>
                <w:lang w:eastAsia="zh-CN"/>
              </w:rPr>
            </w:pPr>
          </w:p>
          <w:p w14:paraId="37DA6E37">
            <w:pPr>
              <w:numPr>
                <w:ilvl w:val="0"/>
                <w:numId w:val="2"/>
              </w:numPr>
              <w:spacing w:line="360" w:lineRule="auto"/>
              <w:ind w:left="210" w:leftChars="1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请问公司在英伟达算力产业链上，有哪些材料应用分别有什么用途，公司材料在GB200、GB300的中如何实现供应，另外液冷板材料有没有其他客户也通过认证？</w:t>
            </w:r>
          </w:p>
          <w:p w14:paraId="2D7CF5C3">
            <w:pPr>
              <w:spacing w:line="360" w:lineRule="auto"/>
              <w:ind w:left="210" w:leftChars="100" w:firstLine="480" w:firstLineChars="200"/>
              <w:rPr>
                <w:rFonts w:hint="eastAsia" w:ascii="宋体" w:hAnsi="宋体" w:eastAsia="宋体" w:cs="宋体"/>
                <w:sz w:val="24"/>
                <w:lang w:eastAsia="zh-CN"/>
              </w:rPr>
            </w:pPr>
            <w:r>
              <w:rPr>
                <w:rFonts w:hint="eastAsia" w:ascii="宋体" w:hAnsi="宋体" w:eastAsia="宋体" w:cs="宋体"/>
                <w:sz w:val="24"/>
                <w:lang w:eastAsia="zh-CN"/>
              </w:rPr>
              <w:t>答：在人工智能领域，公司材料的应用主要涉及：AI算力服务器铜连接所用的高速连接器材料和以光模块屏蔽罩为代表的通讯电子器件屏蔽材料；GB300液冷板所用的异型散热材料；算力服务器所用的供配电材料。公司的高速连接器材料和屏蔽材料已经供货给GB200的产业链客户，该两种材料同样应用于GB300。公司的液冷板材料未给GB200供货，本次液冷板材料供货GB300是与下游客户Coolermaster的合作项目，Coolermaster是公司液冷板材料最重要的战略合作伙伴，公司液冷板材料已经过其产线验证。同时，公司液冷板材料也通过了AVC(奇宏)的产线认证。</w:t>
            </w:r>
          </w:p>
          <w:p w14:paraId="152F12C4">
            <w:pPr>
              <w:spacing w:line="360" w:lineRule="auto"/>
              <w:ind w:left="210" w:leftChars="100" w:firstLine="480" w:firstLineChars="200"/>
              <w:rPr>
                <w:rFonts w:hint="eastAsia" w:ascii="宋体" w:hAnsi="宋体" w:eastAsia="宋体" w:cs="宋体"/>
                <w:sz w:val="24"/>
                <w:lang w:eastAsia="zh-CN"/>
              </w:rPr>
            </w:pPr>
          </w:p>
          <w:p w14:paraId="093AF454">
            <w:pPr>
              <w:numPr>
                <w:ilvl w:val="0"/>
                <w:numId w:val="2"/>
              </w:numPr>
              <w:spacing w:line="360" w:lineRule="auto"/>
              <w:ind w:left="210" w:leftChars="1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请问近期泰科电子发布的与公司合作的铜铝复合材料技术突破后，在铝线束行业应用的情况及降本的具体情况？</w:t>
            </w:r>
          </w:p>
          <w:p w14:paraId="7F2713C9">
            <w:pPr>
              <w:spacing w:line="360" w:lineRule="auto"/>
              <w:ind w:left="210" w:leftChars="100" w:firstLine="480" w:firstLineChars="200"/>
              <w:rPr>
                <w:rFonts w:hint="eastAsia" w:ascii="宋体" w:hAnsi="宋体" w:eastAsia="宋体" w:cs="宋体"/>
                <w:sz w:val="24"/>
                <w:lang w:eastAsia="zh-CN"/>
              </w:rPr>
            </w:pPr>
            <w:r>
              <w:rPr>
                <w:rFonts w:hint="eastAsia" w:ascii="宋体" w:hAnsi="宋体" w:eastAsia="宋体" w:cs="宋体"/>
                <w:sz w:val="24"/>
                <w:lang w:eastAsia="zh-CN"/>
              </w:rPr>
              <w:t>答：铜铝复合材料项目由全球行业技术领先企业泰科电子（TE）与博威合金联合开发，协同多家下游龙头企业加持的生态圈，解决了低压载流铝线束铜铝两种材料连接之后的电化学腐蚀，实现了行业应用的工程难题。该技术的应用，一方面缓解全球铜资源紧缺的现状，另一方面，可以为汽车行业实现减重，同时可以降低产业链的综合成本。预计在2026年实现市场化应用。该项目不仅具有经济意义，更有广泛的社会意义，真正实现公司引领行业发展，推动时代进步的历史使命。</w:t>
            </w:r>
          </w:p>
          <w:p w14:paraId="22522493">
            <w:pPr>
              <w:spacing w:line="360" w:lineRule="auto"/>
              <w:ind w:left="210" w:leftChars="100" w:firstLine="480" w:firstLineChars="200"/>
              <w:rPr>
                <w:rFonts w:hint="eastAsia" w:ascii="宋体" w:hAnsi="宋体" w:eastAsia="宋体" w:cs="宋体"/>
                <w:sz w:val="24"/>
                <w:lang w:eastAsia="zh-CN"/>
              </w:rPr>
            </w:pPr>
          </w:p>
          <w:p w14:paraId="6418C07C">
            <w:pPr>
              <w:numPr>
                <w:ilvl w:val="0"/>
                <w:numId w:val="2"/>
              </w:numPr>
              <w:spacing w:line="360" w:lineRule="auto"/>
              <w:ind w:left="210" w:leftChars="1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请问美国光伏项目股权出售的时间节点？</w:t>
            </w:r>
          </w:p>
          <w:p w14:paraId="4A99B184">
            <w:pPr>
              <w:spacing w:line="360" w:lineRule="auto"/>
              <w:ind w:left="210" w:leftChars="100" w:firstLine="480" w:firstLineChars="200"/>
              <w:rPr>
                <w:rFonts w:hint="eastAsia" w:ascii="宋体" w:hAnsi="宋体" w:eastAsia="宋体" w:cs="宋体"/>
                <w:sz w:val="24"/>
                <w:lang w:eastAsia="zh-CN"/>
              </w:rPr>
            </w:pPr>
            <w:r>
              <w:rPr>
                <w:rFonts w:hint="eastAsia" w:ascii="宋体" w:hAnsi="宋体" w:eastAsia="宋体" w:cs="宋体"/>
                <w:sz w:val="24"/>
                <w:lang w:eastAsia="zh-CN"/>
              </w:rPr>
              <w:t>答：受大而美法案补贴政策影响，明年美国光伏项目拿IRA补贴有股权比例的要求，公司争取今年年底完成股权出售的事项，敬请关注公司公告。</w:t>
            </w:r>
          </w:p>
          <w:p w14:paraId="0C17BA5C">
            <w:pPr>
              <w:pStyle w:val="8"/>
              <w:spacing w:line="360" w:lineRule="auto"/>
              <w:ind w:firstLine="0" w:firstLineChars="0"/>
              <w:rPr>
                <w:rFonts w:hint="eastAsia" w:ascii="宋体" w:hAnsi="宋体" w:eastAsia="宋体" w:cs="宋体"/>
                <w:sz w:val="24"/>
                <w:lang w:eastAsia="zh-CN"/>
              </w:rPr>
            </w:pPr>
          </w:p>
          <w:p w14:paraId="27115B18">
            <w:pPr>
              <w:numPr>
                <w:ilvl w:val="0"/>
                <w:numId w:val="2"/>
              </w:numPr>
              <w:spacing w:line="360" w:lineRule="auto"/>
              <w:ind w:left="210" w:leftChars="1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请问新能源业务Q3盈利下滑的原因？</w:t>
            </w:r>
          </w:p>
          <w:p w14:paraId="2AE483BE">
            <w:pPr>
              <w:spacing w:line="360" w:lineRule="auto"/>
              <w:ind w:left="210" w:leftChars="100" w:firstLine="480" w:firstLineChars="200"/>
              <w:rPr>
                <w:rFonts w:hint="eastAsia" w:ascii="宋体" w:hAnsi="宋体" w:eastAsia="宋体" w:cs="宋体"/>
                <w:sz w:val="24"/>
                <w:lang w:eastAsia="zh-CN"/>
              </w:rPr>
            </w:pPr>
            <w:r>
              <w:rPr>
                <w:rFonts w:hint="eastAsia" w:ascii="宋体" w:hAnsi="宋体" w:eastAsia="宋体" w:cs="宋体"/>
                <w:sz w:val="24"/>
                <w:lang w:eastAsia="zh-CN"/>
              </w:rPr>
              <w:t>答：新能源业务Q3净利润同比下降主要原因为：1、越南2.2GW PERC组件已于2024年末全额计提资产减值损失，并已停产；2、美国2GW N型组件于8月份正式投产，三季度产能尚处于爬坡阶段，综合成本较高，造成盈利能力下降。</w:t>
            </w:r>
          </w:p>
          <w:p w14:paraId="4D3ABCB7">
            <w:pPr>
              <w:spacing w:line="360" w:lineRule="auto"/>
              <w:ind w:left="210" w:leftChars="100" w:firstLine="480" w:firstLineChars="200"/>
              <w:rPr>
                <w:rFonts w:hint="eastAsia" w:ascii="宋体" w:hAnsi="宋体" w:eastAsia="宋体" w:cs="宋体"/>
                <w:sz w:val="24"/>
                <w:lang w:eastAsia="zh-CN"/>
              </w:rPr>
            </w:pPr>
          </w:p>
          <w:p w14:paraId="05551BB7">
            <w:pPr>
              <w:numPr>
                <w:ilvl w:val="0"/>
                <w:numId w:val="2"/>
              </w:numPr>
              <w:spacing w:line="360" w:lineRule="auto"/>
              <w:ind w:left="210" w:leftChars="1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请问从11月份来看美国本土光伏的产能四季度的爬坡节奏如何？</w:t>
            </w:r>
          </w:p>
          <w:p w14:paraId="30A12600">
            <w:pPr>
              <w:spacing w:line="360" w:lineRule="auto"/>
              <w:ind w:left="210" w:leftChars="100" w:firstLine="480" w:firstLineChars="200"/>
              <w:rPr>
                <w:rFonts w:hint="eastAsia" w:ascii="宋体" w:hAnsi="宋体" w:eastAsia="宋体" w:cs="宋体"/>
                <w:sz w:val="24"/>
                <w:lang w:eastAsia="zh-CN"/>
              </w:rPr>
            </w:pPr>
            <w:r>
              <w:rPr>
                <w:rFonts w:hint="eastAsia" w:ascii="宋体" w:hAnsi="宋体" w:eastAsia="宋体" w:cs="宋体"/>
                <w:sz w:val="24"/>
                <w:lang w:eastAsia="zh-CN"/>
              </w:rPr>
              <w:t>答：美国2GW N型组件项目在4月份试产，8月份正式投产后进入产能爬坡阶段，目前产能利用率接近满产，新增的1GW N型组件项目正在产能爬坡阶段；美国2GW N型电池片项目和新增的1GW N型电池片产能预计2026年底投产。</w:t>
            </w:r>
          </w:p>
        </w:tc>
      </w:tr>
    </w:tbl>
    <w:p w14:paraId="443CD85A">
      <w:pPr>
        <w:rPr>
          <w:rFonts w:hint="eastAsia" w:ascii="宋体" w:hAnsi="宋体" w:eastAsia="宋体" w:cs="宋体"/>
          <w:lang w:eastAsia="zh-CN"/>
        </w:rPr>
      </w:pPr>
    </w:p>
    <w:sectPr>
      <w:type w:val="continuous"/>
      <w:pgSz w:w="11907" w:h="16839"/>
      <w:pgMar w:top="1431" w:right="178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710E6"/>
    <w:multiLevelType w:val="singleLevel"/>
    <w:tmpl w:val="2C9710E6"/>
    <w:lvl w:ilvl="0" w:tentative="0">
      <w:start w:val="1"/>
      <w:numFmt w:val="decimal"/>
      <w:suff w:val="space"/>
      <w:lvlText w:val="%1、"/>
      <w:lvlJc w:val="left"/>
    </w:lvl>
  </w:abstractNum>
  <w:abstractNum w:abstractNumId="1">
    <w:nsid w:val="59861143"/>
    <w:multiLevelType w:val="singleLevel"/>
    <w:tmpl w:val="5986114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trackRevisions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B2"/>
    <w:rsid w:val="00001D56"/>
    <w:rsid w:val="00111F31"/>
    <w:rsid w:val="00145ABD"/>
    <w:rsid w:val="002746DD"/>
    <w:rsid w:val="00384A5A"/>
    <w:rsid w:val="00434B1B"/>
    <w:rsid w:val="00567095"/>
    <w:rsid w:val="00625FDD"/>
    <w:rsid w:val="0069078B"/>
    <w:rsid w:val="007A217F"/>
    <w:rsid w:val="008E0D4A"/>
    <w:rsid w:val="008F7195"/>
    <w:rsid w:val="00A115F1"/>
    <w:rsid w:val="00AA2239"/>
    <w:rsid w:val="00AC7AB2"/>
    <w:rsid w:val="00BA004C"/>
    <w:rsid w:val="00C32B40"/>
    <w:rsid w:val="00CA274C"/>
    <w:rsid w:val="00CC2F27"/>
    <w:rsid w:val="00E82F44"/>
    <w:rsid w:val="00F275DB"/>
    <w:rsid w:val="00FA5193"/>
    <w:rsid w:val="02AF6534"/>
    <w:rsid w:val="083B347B"/>
    <w:rsid w:val="08FC1C8F"/>
    <w:rsid w:val="09690E82"/>
    <w:rsid w:val="097962F5"/>
    <w:rsid w:val="0C12615F"/>
    <w:rsid w:val="0CFF716D"/>
    <w:rsid w:val="0D1B36EC"/>
    <w:rsid w:val="0EEA2B18"/>
    <w:rsid w:val="109803C7"/>
    <w:rsid w:val="14560B1D"/>
    <w:rsid w:val="182D65B9"/>
    <w:rsid w:val="186E1372"/>
    <w:rsid w:val="18FC1F50"/>
    <w:rsid w:val="1A89451A"/>
    <w:rsid w:val="1A911621"/>
    <w:rsid w:val="1C080444"/>
    <w:rsid w:val="1D344C11"/>
    <w:rsid w:val="22372DC9"/>
    <w:rsid w:val="22CF5384"/>
    <w:rsid w:val="240F1189"/>
    <w:rsid w:val="26027546"/>
    <w:rsid w:val="267F6E95"/>
    <w:rsid w:val="27337CE7"/>
    <w:rsid w:val="2BD00D2A"/>
    <w:rsid w:val="2D044708"/>
    <w:rsid w:val="2D5E35E4"/>
    <w:rsid w:val="2E717C4D"/>
    <w:rsid w:val="31436D79"/>
    <w:rsid w:val="33201DC7"/>
    <w:rsid w:val="336851BD"/>
    <w:rsid w:val="33B73ADB"/>
    <w:rsid w:val="357144D1"/>
    <w:rsid w:val="35D04AFE"/>
    <w:rsid w:val="35EF5721"/>
    <w:rsid w:val="36736061"/>
    <w:rsid w:val="38222DB8"/>
    <w:rsid w:val="39A07FC0"/>
    <w:rsid w:val="3BE73BB9"/>
    <w:rsid w:val="3E682515"/>
    <w:rsid w:val="3F283A52"/>
    <w:rsid w:val="421D7172"/>
    <w:rsid w:val="42476991"/>
    <w:rsid w:val="42A0341D"/>
    <w:rsid w:val="430F3594"/>
    <w:rsid w:val="443A0603"/>
    <w:rsid w:val="44953938"/>
    <w:rsid w:val="452B1BA6"/>
    <w:rsid w:val="477A6899"/>
    <w:rsid w:val="48160602"/>
    <w:rsid w:val="4E0B4C6B"/>
    <w:rsid w:val="4E5A7C8A"/>
    <w:rsid w:val="4EC339EA"/>
    <w:rsid w:val="51AB55D1"/>
    <w:rsid w:val="54C139FB"/>
    <w:rsid w:val="58A43CBC"/>
    <w:rsid w:val="5A301083"/>
    <w:rsid w:val="5E4E602F"/>
    <w:rsid w:val="616D5525"/>
    <w:rsid w:val="62F102C8"/>
    <w:rsid w:val="663D3D65"/>
    <w:rsid w:val="6A220815"/>
    <w:rsid w:val="6C0A2B37"/>
    <w:rsid w:val="6C24541E"/>
    <w:rsid w:val="6C4C091D"/>
    <w:rsid w:val="6E5B4839"/>
    <w:rsid w:val="71AF39B4"/>
    <w:rsid w:val="77057BFA"/>
    <w:rsid w:val="7855070D"/>
    <w:rsid w:val="790E7239"/>
    <w:rsid w:val="79C10F1B"/>
    <w:rsid w:val="7A5A4BF4"/>
    <w:rsid w:val="7B4F3400"/>
    <w:rsid w:val="7CCA1B4B"/>
    <w:rsid w:val="7EA63A7B"/>
    <w:rsid w:val="7FF6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pPr>
    <w:rPr>
      <w:sz w:val="18"/>
      <w:szCs w:val="18"/>
    </w:rPr>
  </w:style>
  <w:style w:type="paragraph" w:styleId="3">
    <w:name w:val="header"/>
    <w:basedOn w:val="1"/>
    <w:link w:val="9"/>
    <w:qFormat/>
    <w:uiPriority w:val="0"/>
    <w:pP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rPr>
  </w:style>
  <w:style w:type="paragraph" w:styleId="8">
    <w:name w:val="List Paragraph"/>
    <w:basedOn w:val="1"/>
    <w:qFormat/>
    <w:uiPriority w:val="34"/>
    <w:pPr>
      <w:ind w:firstLine="420" w:firstLineChars="200"/>
    </w:pPr>
    <w:rPr>
      <w:rFonts w:ascii="等线" w:hAnsi="等线" w:eastAsia="等线"/>
    </w:rPr>
  </w:style>
  <w:style w:type="character" w:customStyle="1" w:styleId="9">
    <w:name w:val="页眉 字符"/>
    <w:basedOn w:val="5"/>
    <w:link w:val="3"/>
    <w:qFormat/>
    <w:uiPriority w:val="0"/>
    <w:rPr>
      <w:rFonts w:ascii="Arial" w:hAnsi="Arial" w:eastAsia="Arial" w:cs="Arial"/>
      <w:snapToGrid w:val="0"/>
      <w:color w:val="000000"/>
      <w:sz w:val="18"/>
      <w:szCs w:val="18"/>
      <w:lang w:eastAsia="en-US"/>
    </w:rPr>
  </w:style>
  <w:style w:type="character" w:customStyle="1" w:styleId="10">
    <w:name w:val="页脚 字符"/>
    <w:basedOn w:val="5"/>
    <w:link w:val="2"/>
    <w:qFormat/>
    <w:uiPriority w:val="0"/>
    <w:rPr>
      <w:rFonts w:ascii="Arial" w:hAnsi="Arial" w:eastAsia="Arial" w:cs="Arial"/>
      <w:snapToGrid w:val="0"/>
      <w:color w:val="000000"/>
      <w:sz w:val="18"/>
      <w:szCs w:val="18"/>
      <w:lang w:eastAsia="en-US"/>
    </w:rPr>
  </w:style>
  <w:style w:type="paragraph" w:customStyle="1" w:styleId="11">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12">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13">
    <w:name w:val="Revision"/>
    <w:hidden/>
    <w:unhideWhenUsed/>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1893</Words>
  <Characters>2032</Characters>
  <Lines>15</Lines>
  <Paragraphs>4</Paragraphs>
  <TotalTime>4</TotalTime>
  <ScaleCrop>false</ScaleCrop>
  <LinksUpToDate>false</LinksUpToDate>
  <CharactersWithSpaces>2076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2025-12-01T07:10:00Z</dcterms:created>
  <dc:creator>cseg</dc:creator>
  <cp:lastModifiedBy>周芬</cp:lastModifiedBy>
  <dcterms:modified xsi:type="dcterms:W3CDTF">2025-12-01T07:14:42Z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2025-09-30T13:45:37Z</vt:filetime>
  </property>
  <property fmtid="{D5CDD505-2E9C-101B-9397-08002B2CF9AE}" pid="4" name="KSOTemplateDocerSaveRecord">
    <vt:lpwstr>eyJoZGlkIjoiNzI0OTU5MzNhYTA0NzFjMTQ3NjFiMDAwZWUwNzMwMTkiLCJ1c2VySWQiOiIxMTc0OTIyMjAzIn0=</vt:lpwstr>
  </property>
  <property fmtid="{D5CDD505-2E9C-101B-9397-08002B2CF9AE}" pid="5" name="KSOProductBuildVer">
    <vt:lpwstr>2052-12.1.0.23542</vt:lpwstr>
  </property>
  <property fmtid="{D5CDD505-2E9C-101B-9397-08002B2CF9AE}" pid="6" name="ICV">
    <vt:lpwstr>C052C04874AA49E4BB5A6E4BD1074E6D_13</vt:lpwstr>
  </property>
</Properties>
</file>