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9AF8">
      <w:pPr>
        <w:spacing w:before="156" w:beforeLines="50" w:after="156" w:afterLines="50" w:line="400" w:lineRule="exact"/>
        <w:ind w:firstLine="723" w:firstLineChars="300"/>
        <w:rPr>
          <w:b/>
          <w:bCs/>
          <w:iCs/>
          <w:sz w:val="24"/>
        </w:rPr>
      </w:pPr>
      <w:bookmarkStart w:id="1" w:name="_GoBack"/>
      <w:bookmarkEnd w:id="1"/>
      <w:r>
        <w:rPr>
          <w:b/>
          <w:bCs/>
          <w:iCs/>
          <w:sz w:val="24"/>
        </w:rPr>
        <w:t>证券代码：603275                        证券简称：众辰科技</w:t>
      </w:r>
    </w:p>
    <w:p w14:paraId="173305F3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b/>
          <w:sz w:val="28"/>
          <w:szCs w:val="24"/>
        </w:rPr>
      </w:pPr>
      <w:bookmarkStart w:id="0" w:name="_Hlk144910966"/>
      <w:r>
        <w:rPr>
          <w:b/>
          <w:sz w:val="28"/>
          <w:szCs w:val="24"/>
        </w:rPr>
        <w:t>上海众辰电子科技股份有限公司</w:t>
      </w:r>
      <w:bookmarkEnd w:id="0"/>
    </w:p>
    <w:p w14:paraId="41ABE3EA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投资者关系活动记录表</w:t>
      </w:r>
    </w:p>
    <w:p w14:paraId="76B4DE06">
      <w:pPr>
        <w:spacing w:line="400" w:lineRule="exac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编号：</w:t>
      </w:r>
      <w:r>
        <w:rPr>
          <w:rFonts w:hint="eastAsia" w:ascii="宋体" w:hAnsi="宋体" w:cs="宋体"/>
          <w:bCs/>
          <w:iCs/>
          <w:sz w:val="24"/>
          <w:szCs w:val="24"/>
        </w:rPr>
        <w:t>2025-008</w:t>
      </w:r>
    </w:p>
    <w:tbl>
      <w:tblPr>
        <w:tblStyle w:val="10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5695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31" w:type="dxa"/>
            <w:vAlign w:val="center"/>
          </w:tcPr>
          <w:p w14:paraId="04277553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</w:t>
            </w:r>
          </w:p>
          <w:p w14:paraId="52A44470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活动类别</w:t>
            </w:r>
          </w:p>
          <w:p w14:paraId="205B8B16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3E6FAE82">
            <w:pPr>
              <w:spacing w:line="480" w:lineRule="atLeast"/>
              <w:rPr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☑</w:t>
            </w:r>
            <w:r>
              <w:rPr>
                <w:sz w:val="24"/>
                <w:szCs w:val="24"/>
              </w:rPr>
              <w:t xml:space="preserve">特定对象调研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分析师会议</w:t>
            </w:r>
          </w:p>
          <w:p w14:paraId="38E12847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媒体采访      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业绩说明会</w:t>
            </w:r>
          </w:p>
          <w:p w14:paraId="089216CE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新闻发布会    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路演活动</w:t>
            </w:r>
          </w:p>
          <w:p w14:paraId="444AD6EE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现场参观</w:t>
            </w:r>
            <w:r>
              <w:rPr>
                <w:bCs/>
                <w:iCs/>
                <w:sz w:val="24"/>
                <w:szCs w:val="24"/>
              </w:rPr>
              <w:tab/>
            </w:r>
          </w:p>
          <w:p w14:paraId="253E4B91">
            <w:pPr>
              <w:tabs>
                <w:tab w:val="center" w:pos="3199"/>
              </w:tabs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其他 （请文字说明其他活动内容）</w:t>
            </w:r>
          </w:p>
        </w:tc>
      </w:tr>
      <w:tr w14:paraId="4BEA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vAlign w:val="center"/>
          </w:tcPr>
          <w:p w14:paraId="7370743A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参与单位名称</w:t>
            </w:r>
          </w:p>
          <w:p w14:paraId="45D789B7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93" w:type="dxa"/>
          </w:tcPr>
          <w:p w14:paraId="1E27094A">
            <w:pPr>
              <w:spacing w:line="4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华创证券：於尔东</w:t>
            </w:r>
          </w:p>
        </w:tc>
      </w:tr>
      <w:tr w14:paraId="19D5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vAlign w:val="center"/>
          </w:tcPr>
          <w:p w14:paraId="7C7CA301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</w:tcPr>
          <w:p w14:paraId="4390F800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2025年11月20日    13:00-14:00</w:t>
            </w:r>
          </w:p>
        </w:tc>
      </w:tr>
      <w:tr w14:paraId="3CCC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vAlign w:val="center"/>
          </w:tcPr>
          <w:p w14:paraId="4439C622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</w:tcPr>
          <w:p w14:paraId="2E392B15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公司会议室</w:t>
            </w:r>
          </w:p>
        </w:tc>
      </w:tr>
      <w:tr w14:paraId="0C59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vAlign w:val="center"/>
          </w:tcPr>
          <w:p w14:paraId="57ECF0DA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上市公司接待</w:t>
            </w:r>
          </w:p>
          <w:p w14:paraId="5FC0662E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</w:tcPr>
          <w:p w14:paraId="6551DF34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董事会秘书、财务总监：徐文俊</w:t>
            </w:r>
          </w:p>
          <w:p w14:paraId="67B970B1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证券事务代表：陈嵚崟</w:t>
            </w:r>
          </w:p>
        </w:tc>
      </w:tr>
      <w:tr w14:paraId="7E4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931" w:type="dxa"/>
            <w:vAlign w:val="center"/>
          </w:tcPr>
          <w:p w14:paraId="22F14664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75F41A00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7A35FAA2">
            <w:pPr>
              <w:spacing w:line="480" w:lineRule="atLeast"/>
              <w:rPr>
                <w:bCs/>
                <w:szCs w:val="21"/>
              </w:rPr>
            </w:pPr>
            <w:r>
              <w:rPr>
                <w:b/>
                <w:bCs/>
                <w:szCs w:val="21"/>
              </w:rPr>
              <w:t>公司与投资者交流的主要内容如下：</w:t>
            </w:r>
          </w:p>
          <w:p w14:paraId="260748D9">
            <w:pPr>
              <w:spacing w:line="480" w:lineRule="atLeast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.公司在</w:t>
            </w:r>
            <w:r>
              <w:rPr>
                <w:rFonts w:hint="eastAsia"/>
                <w:b/>
                <w:szCs w:val="21"/>
              </w:rPr>
              <w:t>“</w:t>
            </w:r>
            <w:r>
              <w:rPr>
                <w:b/>
                <w:szCs w:val="21"/>
              </w:rPr>
              <w:t>驱动</w:t>
            </w:r>
            <w:r>
              <w:rPr>
                <w:rFonts w:hint="eastAsia"/>
                <w:b/>
                <w:szCs w:val="21"/>
              </w:rPr>
              <w:t>+</w:t>
            </w:r>
            <w:r>
              <w:rPr>
                <w:b/>
                <w:szCs w:val="21"/>
              </w:rPr>
              <w:t>控制</w:t>
            </w:r>
            <w:r>
              <w:rPr>
                <w:rFonts w:hint="eastAsia"/>
                <w:b/>
                <w:szCs w:val="21"/>
              </w:rPr>
              <w:t>+</w:t>
            </w:r>
            <w:r>
              <w:rPr>
                <w:b/>
                <w:szCs w:val="21"/>
              </w:rPr>
              <w:t>执行</w:t>
            </w:r>
            <w:r>
              <w:rPr>
                <w:rFonts w:hint="eastAsia"/>
                <w:b/>
                <w:szCs w:val="21"/>
              </w:rPr>
              <w:t>”</w:t>
            </w:r>
            <w:r>
              <w:rPr>
                <w:b/>
                <w:szCs w:val="21"/>
              </w:rPr>
              <w:t>全产业链布局方面有何新进展？</w:t>
            </w:r>
          </w:p>
          <w:p w14:paraId="45FA9402">
            <w:pPr>
              <w:spacing w:line="480" w:lineRule="atLeas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答：公司持续围绕</w:t>
            </w:r>
            <w:r>
              <w:rPr>
                <w:rFonts w:hint="eastAsia"/>
                <w:bCs/>
                <w:szCs w:val="21"/>
              </w:rPr>
              <w:t>“</w:t>
            </w:r>
            <w:r>
              <w:rPr>
                <w:bCs/>
                <w:szCs w:val="21"/>
              </w:rPr>
              <w:t>驱动</w:t>
            </w:r>
            <w:r>
              <w:rPr>
                <w:rFonts w:hint="eastAsia"/>
                <w:bCs/>
                <w:szCs w:val="21"/>
              </w:rPr>
              <w:t>+</w:t>
            </w:r>
            <w:r>
              <w:rPr>
                <w:bCs/>
                <w:szCs w:val="21"/>
              </w:rPr>
              <w:t>控制</w:t>
            </w:r>
            <w:r>
              <w:rPr>
                <w:rFonts w:hint="eastAsia"/>
                <w:bCs/>
                <w:szCs w:val="21"/>
              </w:rPr>
              <w:t>+</w:t>
            </w:r>
            <w:r>
              <w:rPr>
                <w:bCs/>
                <w:szCs w:val="21"/>
              </w:rPr>
              <w:t>执行</w:t>
            </w:r>
            <w:r>
              <w:rPr>
                <w:rFonts w:hint="eastAsia"/>
                <w:bCs/>
                <w:szCs w:val="21"/>
              </w:rPr>
              <w:t>”</w:t>
            </w:r>
            <w:r>
              <w:rPr>
                <w:bCs/>
                <w:szCs w:val="21"/>
              </w:rPr>
              <w:t>产业链进行布局。在驱动层，持续推进变频器与伺服系统产品系列的升级与扩充</w:t>
            </w:r>
            <w:r>
              <w:rPr>
                <w:rFonts w:hint="eastAsia"/>
                <w:bCs/>
                <w:szCs w:val="21"/>
              </w:rPr>
              <w:t>，覆盖更多应用场景</w:t>
            </w:r>
            <w:r>
              <w:rPr>
                <w:bCs/>
                <w:szCs w:val="21"/>
              </w:rPr>
              <w:t>；在控制层，PLC产品已实现批量交付，并在多个行业场景中验证</w:t>
            </w:r>
            <w:r>
              <w:rPr>
                <w:rFonts w:hint="eastAsia"/>
                <w:bCs/>
                <w:szCs w:val="21"/>
              </w:rPr>
              <w:t>，HMI（人机界面）产品已在注塑、包装等行业实现配套销售</w:t>
            </w:r>
            <w:r>
              <w:rPr>
                <w:bCs/>
                <w:szCs w:val="21"/>
              </w:rPr>
              <w:t>；在执行层，通过收购浙江贝托，新增精密减速器产品线。公司后续将重点推动各产品线之间的协同销售与技术整合</w:t>
            </w:r>
            <w:r>
              <w:rPr>
                <w:rFonts w:hint="eastAsia"/>
                <w:bCs/>
                <w:szCs w:val="21"/>
              </w:rPr>
              <w:t>，更</w:t>
            </w:r>
            <w:r>
              <w:rPr>
                <w:bCs/>
                <w:szCs w:val="21"/>
              </w:rPr>
              <w:t>好地满足下游客户对高精度、高可靠性、智能化自动化设备的需求</w:t>
            </w:r>
            <w:r>
              <w:rPr>
                <w:rFonts w:hint="eastAsia"/>
                <w:bCs/>
                <w:szCs w:val="21"/>
              </w:rPr>
              <w:t>。</w:t>
            </w:r>
          </w:p>
          <w:p w14:paraId="4EDEC6F1">
            <w:pPr>
              <w:spacing w:line="480" w:lineRule="atLeast"/>
              <w:ind w:firstLine="422" w:firstLineChars="200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除空压机行业外，公司在其他行业拓展的情况如何</w:t>
            </w:r>
            <w:r>
              <w:rPr>
                <w:b/>
                <w:szCs w:val="21"/>
              </w:rPr>
              <w:t>？</w:t>
            </w:r>
          </w:p>
          <w:p w14:paraId="03E75947">
            <w:pPr>
              <w:spacing w:line="480" w:lineRule="atLeas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答：公司在保持空压机行业优势的同时，在其他多个应用领域也取得了积极进展：在伺服方面，前期研发的新产品US880伺服系统，已实现批量销售，同时公司引进了伺服研发和销售人才，持续加强伺服系统的研发投入、销售拓展等；在风电行业，AWS系列风电变桨集成式控制器已经通过客户验证，实现批量交付，</w:t>
            </w:r>
            <w:r>
              <w:rPr>
                <w:rFonts w:hint="eastAsia"/>
                <w:bCs/>
                <w:szCs w:val="21"/>
              </w:rPr>
              <w:t>目前正</w:t>
            </w:r>
            <w:r>
              <w:rPr>
                <w:bCs/>
                <w:szCs w:val="21"/>
              </w:rPr>
              <w:t>持续</w:t>
            </w:r>
            <w:r>
              <w:rPr>
                <w:rFonts w:hint="eastAsia"/>
                <w:bCs/>
                <w:szCs w:val="21"/>
              </w:rPr>
              <w:t>加强</w:t>
            </w:r>
            <w:r>
              <w:rPr>
                <w:bCs/>
                <w:szCs w:val="21"/>
              </w:rPr>
              <w:t>销售拓展</w:t>
            </w:r>
            <w:r>
              <w:rPr>
                <w:rFonts w:hint="eastAsia"/>
                <w:bCs/>
                <w:szCs w:val="21"/>
              </w:rPr>
              <w:t>；</w:t>
            </w:r>
            <w:r>
              <w:rPr>
                <w:bCs/>
                <w:szCs w:val="21"/>
              </w:rPr>
              <w:t>公司</w:t>
            </w:r>
            <w:r>
              <w:rPr>
                <w:rFonts w:hint="eastAsia"/>
                <w:bCs/>
                <w:szCs w:val="21"/>
              </w:rPr>
              <w:t>变频器产品也在根据行业客户要求做针对性和定制化设计，公司</w:t>
            </w:r>
            <w:r>
              <w:rPr>
                <w:bCs/>
                <w:szCs w:val="21"/>
              </w:rPr>
              <w:t>将</w:t>
            </w:r>
            <w:r>
              <w:rPr>
                <w:rFonts w:hint="eastAsia"/>
                <w:bCs/>
                <w:szCs w:val="21"/>
              </w:rPr>
              <w:t>不断</w:t>
            </w:r>
            <w:r>
              <w:rPr>
                <w:bCs/>
                <w:szCs w:val="21"/>
              </w:rPr>
              <w:t>开拓更多行业客户，获取客户信赖，树立行业口碑。</w:t>
            </w:r>
          </w:p>
          <w:p w14:paraId="281E8B6B">
            <w:pPr>
              <w:spacing w:line="480" w:lineRule="atLeast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3.</w:t>
            </w:r>
            <w:r>
              <w:rPr>
                <w:b/>
                <w:szCs w:val="21"/>
              </w:rPr>
              <w:t>公司</w:t>
            </w:r>
            <w:r>
              <w:rPr>
                <w:rFonts w:hint="eastAsia"/>
                <w:b/>
                <w:szCs w:val="21"/>
              </w:rPr>
              <w:t>高压变频器</w:t>
            </w:r>
            <w:r>
              <w:rPr>
                <w:b/>
                <w:szCs w:val="21"/>
              </w:rPr>
              <w:t>的</w:t>
            </w:r>
            <w:r>
              <w:rPr>
                <w:rFonts w:hint="eastAsia"/>
                <w:b/>
                <w:szCs w:val="21"/>
              </w:rPr>
              <w:t>市场表现如何</w:t>
            </w:r>
            <w:r>
              <w:rPr>
                <w:b/>
                <w:szCs w:val="21"/>
              </w:rPr>
              <w:t>。</w:t>
            </w:r>
          </w:p>
          <w:p w14:paraId="33CF4A85">
            <w:pPr>
              <w:spacing w:line="480" w:lineRule="atLeas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答：公司的高压变频器已实现批量交付。高压变频器主要应用于矿用机械、建材设备、钢铁冶金、电力设备、石油化工等行业。同时公司通过引进研发和销售人才，持续加强研发投入、销售拓展等，进一步提升了产品的市场竞争力。该系列产品有望未来</w:t>
            </w:r>
            <w:r>
              <w:rPr>
                <w:rFonts w:hint="eastAsia"/>
                <w:bCs/>
                <w:szCs w:val="21"/>
              </w:rPr>
              <w:t>成为</w:t>
            </w:r>
            <w:r>
              <w:rPr>
                <w:bCs/>
                <w:szCs w:val="21"/>
              </w:rPr>
              <w:t>公司新的收入增长点。</w:t>
            </w:r>
          </w:p>
          <w:p w14:paraId="6313C48D">
            <w:pPr>
              <w:spacing w:line="480" w:lineRule="atLeast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问题4.</w:t>
            </w:r>
            <w:r>
              <w:rPr>
                <w:b/>
                <w:szCs w:val="21"/>
              </w:rPr>
              <w:t>公司</w:t>
            </w:r>
            <w:r>
              <w:rPr>
                <w:rFonts w:hint="eastAsia"/>
                <w:b/>
                <w:szCs w:val="21"/>
              </w:rPr>
              <w:t>售后优势主要体现在哪些方面</w:t>
            </w:r>
            <w:r>
              <w:rPr>
                <w:b/>
                <w:szCs w:val="21"/>
              </w:rPr>
              <w:t>？</w:t>
            </w:r>
          </w:p>
          <w:p w14:paraId="481BCF6E">
            <w:pPr>
              <w:spacing w:line="480" w:lineRule="atLeas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答：</w:t>
            </w:r>
            <w:r>
              <w:rPr>
                <w:bCs/>
                <w:szCs w:val="21"/>
              </w:rPr>
              <w:t>公司拥有专业的售后服务团队，建立了覆盖面广泛的服务网络，技术支持团队能够直接对接终端用户，深入了解设备运行场景和实际需求，确保服务精准到位，为客户提供解决方案、技术培训、服务支持等在内的多项周到的本地化售后服务。</w:t>
            </w:r>
          </w:p>
          <w:p w14:paraId="20048541">
            <w:pPr>
              <w:spacing w:line="480" w:lineRule="atLeas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公司</w:t>
            </w:r>
            <w:r>
              <w:rPr>
                <w:bCs/>
                <w:szCs w:val="21"/>
              </w:rPr>
              <w:t>通过及时响应、专业服务和持续优化，公司与客户建立了长期稳定的合作关系，</w:t>
            </w:r>
            <w:r>
              <w:rPr>
                <w:rFonts w:hint="eastAsia"/>
                <w:bCs/>
                <w:szCs w:val="21"/>
              </w:rPr>
              <w:t>增强客户粘性，</w:t>
            </w:r>
            <w:r>
              <w:rPr>
                <w:bCs/>
                <w:szCs w:val="21"/>
              </w:rPr>
              <w:t>产品复购率和配套份额持续提升，形成了良好的品牌口碑。</w:t>
            </w:r>
          </w:p>
          <w:p w14:paraId="4AF94E12">
            <w:pPr>
              <w:spacing w:line="480" w:lineRule="atLeas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公司不断提高客户服务质量，提供从设备安装调试、操作培训到</w:t>
            </w:r>
            <w:r>
              <w:rPr>
                <w:rFonts w:hint="eastAsia"/>
                <w:bCs/>
                <w:szCs w:val="21"/>
              </w:rPr>
              <w:t>售后保障</w:t>
            </w:r>
            <w:r>
              <w:rPr>
                <w:bCs/>
                <w:szCs w:val="21"/>
              </w:rPr>
              <w:t>的全周期服务，建立了完善的客户满意度跟踪体系，持续优化服务体验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bCs/>
                <w:szCs w:val="21"/>
              </w:rPr>
              <w:t>全面提升客户满意度。对客户反馈的技术问题和需求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bCs/>
                <w:szCs w:val="21"/>
              </w:rPr>
              <w:t>建立24小时响应机制，快速研判、精准定位，并通过标准化流程确保信息高效传递至研发和生产环节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bCs/>
                <w:szCs w:val="21"/>
              </w:rPr>
              <w:t>有效保障公司与市场的同步提升。</w:t>
            </w:r>
          </w:p>
          <w:p w14:paraId="46F475A8">
            <w:pPr>
              <w:spacing w:line="480" w:lineRule="atLeast"/>
              <w:ind w:firstLine="422" w:firstLineChars="200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问题5.</w:t>
            </w:r>
            <w:r>
              <w:rPr>
                <w:b/>
                <w:bCs/>
                <w:szCs w:val="21"/>
              </w:rPr>
              <w:t>公司</w:t>
            </w:r>
            <w:r>
              <w:rPr>
                <w:rFonts w:hint="eastAsia"/>
                <w:b/>
                <w:bCs/>
                <w:szCs w:val="21"/>
              </w:rPr>
              <w:t>订单交货周期平均多久</w:t>
            </w:r>
            <w:r>
              <w:rPr>
                <w:b/>
                <w:bCs/>
                <w:szCs w:val="21"/>
              </w:rPr>
              <w:t>？</w:t>
            </w:r>
          </w:p>
          <w:p w14:paraId="414F9862">
            <w:pPr>
              <w:spacing w:line="480" w:lineRule="atLeast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答：公司订单交货周期根据产品类型与定制化需求有所不同，交货周期一般为1-2周，最长不超过1个月。公司通过优化生产计划与供应链管理，持续提升交付效率，确保订单按时交付。</w:t>
            </w:r>
          </w:p>
        </w:tc>
      </w:tr>
      <w:tr w14:paraId="4876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vAlign w:val="center"/>
          </w:tcPr>
          <w:p w14:paraId="4B9085C3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</w:tcPr>
          <w:p w14:paraId="492409B8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无</w:t>
            </w:r>
          </w:p>
        </w:tc>
      </w:tr>
      <w:tr w14:paraId="7F50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vAlign w:val="center"/>
          </w:tcPr>
          <w:p w14:paraId="200518C6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</w:tcPr>
          <w:p w14:paraId="2D5C90DC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/>
                <w:bCs/>
                <w:iCs/>
                <w:sz w:val="24"/>
                <w:szCs w:val="24"/>
              </w:rPr>
              <w:t>11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</w:rPr>
              <w:t>30</w:t>
            </w:r>
            <w:r>
              <w:rPr>
                <w:bCs/>
                <w:iCs/>
                <w:sz w:val="24"/>
                <w:szCs w:val="24"/>
              </w:rPr>
              <w:t>日</w:t>
            </w:r>
          </w:p>
        </w:tc>
      </w:tr>
    </w:tbl>
    <w:p w14:paraId="39E6324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D9D2">
    <w:pPr>
      <w:pStyle w:val="7"/>
      <w:jc w:val="right"/>
    </w:pPr>
    <w:r>
      <w:t>上海众辰电子科技股份有限公司 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2f356e8-add8-4349-8ff1-b4dc8bdfd79c"/>
  </w:docVars>
  <w:rsids>
    <w:rsidRoot w:val="00172A27"/>
    <w:rsid w:val="000565DC"/>
    <w:rsid w:val="00092053"/>
    <w:rsid w:val="00166557"/>
    <w:rsid w:val="00172A27"/>
    <w:rsid w:val="0018312A"/>
    <w:rsid w:val="001D4ADB"/>
    <w:rsid w:val="00214593"/>
    <w:rsid w:val="003E04AD"/>
    <w:rsid w:val="00402F61"/>
    <w:rsid w:val="00411A75"/>
    <w:rsid w:val="0046506B"/>
    <w:rsid w:val="0049616B"/>
    <w:rsid w:val="004F0A61"/>
    <w:rsid w:val="005F7279"/>
    <w:rsid w:val="00653D79"/>
    <w:rsid w:val="00680E7F"/>
    <w:rsid w:val="0068296C"/>
    <w:rsid w:val="006B0E6C"/>
    <w:rsid w:val="006D1231"/>
    <w:rsid w:val="007B407F"/>
    <w:rsid w:val="008920C5"/>
    <w:rsid w:val="008E2BC5"/>
    <w:rsid w:val="009A4CA5"/>
    <w:rsid w:val="009B7193"/>
    <w:rsid w:val="009C7866"/>
    <w:rsid w:val="00A001CA"/>
    <w:rsid w:val="00AC58D7"/>
    <w:rsid w:val="00AF6C6D"/>
    <w:rsid w:val="00B2505B"/>
    <w:rsid w:val="00B30337"/>
    <w:rsid w:val="00B540CC"/>
    <w:rsid w:val="00C42A9B"/>
    <w:rsid w:val="00C546F9"/>
    <w:rsid w:val="00CA6687"/>
    <w:rsid w:val="00D06850"/>
    <w:rsid w:val="00E206D7"/>
    <w:rsid w:val="00E60C15"/>
    <w:rsid w:val="00EB1B10"/>
    <w:rsid w:val="00F61AF7"/>
    <w:rsid w:val="00F675BC"/>
    <w:rsid w:val="00F720A8"/>
    <w:rsid w:val="00F95FEB"/>
    <w:rsid w:val="00FA3AAA"/>
    <w:rsid w:val="00FC21CF"/>
    <w:rsid w:val="00FF0C19"/>
    <w:rsid w:val="01093B6E"/>
    <w:rsid w:val="011E18ED"/>
    <w:rsid w:val="02EA163C"/>
    <w:rsid w:val="03FA51FB"/>
    <w:rsid w:val="04436C46"/>
    <w:rsid w:val="05BB1BD7"/>
    <w:rsid w:val="05C30D61"/>
    <w:rsid w:val="068211CF"/>
    <w:rsid w:val="06B222FA"/>
    <w:rsid w:val="080C703A"/>
    <w:rsid w:val="087501C3"/>
    <w:rsid w:val="0A7F3435"/>
    <w:rsid w:val="0B470434"/>
    <w:rsid w:val="0B8A7D10"/>
    <w:rsid w:val="0BCD125C"/>
    <w:rsid w:val="0C34090D"/>
    <w:rsid w:val="0CC92A71"/>
    <w:rsid w:val="0D183D8B"/>
    <w:rsid w:val="0D3A2F31"/>
    <w:rsid w:val="0D452E2D"/>
    <w:rsid w:val="0E595BC6"/>
    <w:rsid w:val="0E5B7130"/>
    <w:rsid w:val="10C7426A"/>
    <w:rsid w:val="115C4482"/>
    <w:rsid w:val="11F64B82"/>
    <w:rsid w:val="13604754"/>
    <w:rsid w:val="13C8383F"/>
    <w:rsid w:val="14602C66"/>
    <w:rsid w:val="149F423A"/>
    <w:rsid w:val="14F72CE0"/>
    <w:rsid w:val="15B34AF1"/>
    <w:rsid w:val="1627271C"/>
    <w:rsid w:val="16D70D7D"/>
    <w:rsid w:val="16DE2BC4"/>
    <w:rsid w:val="17012C29"/>
    <w:rsid w:val="19391F6F"/>
    <w:rsid w:val="19E90F59"/>
    <w:rsid w:val="1A672A67"/>
    <w:rsid w:val="1B102525"/>
    <w:rsid w:val="1B261D69"/>
    <w:rsid w:val="1C76287C"/>
    <w:rsid w:val="1D14408D"/>
    <w:rsid w:val="1D282FCB"/>
    <w:rsid w:val="1D3F34AD"/>
    <w:rsid w:val="202B49F4"/>
    <w:rsid w:val="21EB0D61"/>
    <w:rsid w:val="22160D89"/>
    <w:rsid w:val="22421B7E"/>
    <w:rsid w:val="24B84E11"/>
    <w:rsid w:val="24F82837"/>
    <w:rsid w:val="26C542A8"/>
    <w:rsid w:val="2706257E"/>
    <w:rsid w:val="2737217F"/>
    <w:rsid w:val="283A6E54"/>
    <w:rsid w:val="2A7F631A"/>
    <w:rsid w:val="2AE03121"/>
    <w:rsid w:val="2BC04A6E"/>
    <w:rsid w:val="2C7C1ECF"/>
    <w:rsid w:val="2C7E555C"/>
    <w:rsid w:val="2C821659"/>
    <w:rsid w:val="2D1A7DEE"/>
    <w:rsid w:val="2DA35A77"/>
    <w:rsid w:val="2E047BD1"/>
    <w:rsid w:val="2E27684E"/>
    <w:rsid w:val="2E8B02C4"/>
    <w:rsid w:val="30425E49"/>
    <w:rsid w:val="31BD2FCF"/>
    <w:rsid w:val="321734B9"/>
    <w:rsid w:val="32426A3D"/>
    <w:rsid w:val="32984AAC"/>
    <w:rsid w:val="32F23EFC"/>
    <w:rsid w:val="333F7FD5"/>
    <w:rsid w:val="34022063"/>
    <w:rsid w:val="34B54432"/>
    <w:rsid w:val="34D62501"/>
    <w:rsid w:val="356D0CEC"/>
    <w:rsid w:val="373508A1"/>
    <w:rsid w:val="37612D27"/>
    <w:rsid w:val="379A61BC"/>
    <w:rsid w:val="37E22162"/>
    <w:rsid w:val="38D91782"/>
    <w:rsid w:val="391E6CF1"/>
    <w:rsid w:val="394C6185"/>
    <w:rsid w:val="3A234D07"/>
    <w:rsid w:val="3A2F2590"/>
    <w:rsid w:val="3A913796"/>
    <w:rsid w:val="3A9711BE"/>
    <w:rsid w:val="3AB47BB5"/>
    <w:rsid w:val="3ADB0022"/>
    <w:rsid w:val="3CC26B75"/>
    <w:rsid w:val="3DC21304"/>
    <w:rsid w:val="3E045AE2"/>
    <w:rsid w:val="3E68661E"/>
    <w:rsid w:val="3F4723C7"/>
    <w:rsid w:val="3F9E5416"/>
    <w:rsid w:val="41DD74CB"/>
    <w:rsid w:val="44B41139"/>
    <w:rsid w:val="450D1447"/>
    <w:rsid w:val="461D4D99"/>
    <w:rsid w:val="47C24987"/>
    <w:rsid w:val="48EB6B27"/>
    <w:rsid w:val="490B1212"/>
    <w:rsid w:val="49505D45"/>
    <w:rsid w:val="4968007F"/>
    <w:rsid w:val="4A7A6712"/>
    <w:rsid w:val="4B8802B7"/>
    <w:rsid w:val="4BA6349A"/>
    <w:rsid w:val="4BC15244"/>
    <w:rsid w:val="4D2B1F73"/>
    <w:rsid w:val="4E193FE2"/>
    <w:rsid w:val="4F396D3B"/>
    <w:rsid w:val="4FE70DC0"/>
    <w:rsid w:val="500B2A9A"/>
    <w:rsid w:val="50357D7D"/>
    <w:rsid w:val="516218D8"/>
    <w:rsid w:val="517E5198"/>
    <w:rsid w:val="51EF0470"/>
    <w:rsid w:val="52347D05"/>
    <w:rsid w:val="54C11A5A"/>
    <w:rsid w:val="553B5E36"/>
    <w:rsid w:val="56B57E6A"/>
    <w:rsid w:val="57501673"/>
    <w:rsid w:val="57F35B2F"/>
    <w:rsid w:val="57F4061B"/>
    <w:rsid w:val="583668F7"/>
    <w:rsid w:val="586821D1"/>
    <w:rsid w:val="58AB0605"/>
    <w:rsid w:val="5B9B6887"/>
    <w:rsid w:val="5C07178B"/>
    <w:rsid w:val="5CAC147C"/>
    <w:rsid w:val="5D5A52C7"/>
    <w:rsid w:val="5D6B6F1D"/>
    <w:rsid w:val="5DD44657"/>
    <w:rsid w:val="5DD84D9A"/>
    <w:rsid w:val="5E5A354E"/>
    <w:rsid w:val="5EBA2D29"/>
    <w:rsid w:val="5F557F50"/>
    <w:rsid w:val="5FBA73F7"/>
    <w:rsid w:val="608A3882"/>
    <w:rsid w:val="61B43F40"/>
    <w:rsid w:val="61F5760A"/>
    <w:rsid w:val="624F4E02"/>
    <w:rsid w:val="62665D49"/>
    <w:rsid w:val="62861214"/>
    <w:rsid w:val="628E43A4"/>
    <w:rsid w:val="62B018AC"/>
    <w:rsid w:val="63051288"/>
    <w:rsid w:val="630B6247"/>
    <w:rsid w:val="65167D25"/>
    <w:rsid w:val="65FF07B9"/>
    <w:rsid w:val="667F74FA"/>
    <w:rsid w:val="66B2554E"/>
    <w:rsid w:val="672B05D7"/>
    <w:rsid w:val="674029B8"/>
    <w:rsid w:val="67605F69"/>
    <w:rsid w:val="67BF03B8"/>
    <w:rsid w:val="684A2553"/>
    <w:rsid w:val="6A48145B"/>
    <w:rsid w:val="6A9B0A1F"/>
    <w:rsid w:val="6C7A22BA"/>
    <w:rsid w:val="6CE2041F"/>
    <w:rsid w:val="6F02719B"/>
    <w:rsid w:val="6F36762E"/>
    <w:rsid w:val="6F982034"/>
    <w:rsid w:val="6F9F63A2"/>
    <w:rsid w:val="7029650C"/>
    <w:rsid w:val="702B30AF"/>
    <w:rsid w:val="709B74C7"/>
    <w:rsid w:val="70DE7F6D"/>
    <w:rsid w:val="750B1D3C"/>
    <w:rsid w:val="75D51F38"/>
    <w:rsid w:val="75DC0CF0"/>
    <w:rsid w:val="75F578B3"/>
    <w:rsid w:val="760065B4"/>
    <w:rsid w:val="7654746C"/>
    <w:rsid w:val="78553271"/>
    <w:rsid w:val="78561B30"/>
    <w:rsid w:val="798B570F"/>
    <w:rsid w:val="79A14880"/>
    <w:rsid w:val="7A096F1C"/>
    <w:rsid w:val="7A3F777B"/>
    <w:rsid w:val="7ACF3CD9"/>
    <w:rsid w:val="7B2C3ACF"/>
    <w:rsid w:val="7B51340D"/>
    <w:rsid w:val="7B85578D"/>
    <w:rsid w:val="7C546FA5"/>
    <w:rsid w:val="7C9D7B59"/>
    <w:rsid w:val="7CE56941"/>
    <w:rsid w:val="7DA71A0B"/>
    <w:rsid w:val="7DE619CF"/>
    <w:rsid w:val="7EA026FF"/>
    <w:rsid w:val="7F9041E2"/>
    <w:rsid w:val="7FD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0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005正文"/>
    <w:basedOn w:val="1"/>
    <w:qFormat/>
    <w:uiPriority w:val="0"/>
    <w:pPr>
      <w:spacing w:before="50" w:beforeLines="50" w:line="360" w:lineRule="auto"/>
      <w:ind w:firstLine="200" w:firstLineChars="200"/>
    </w:pPr>
    <w:rPr>
      <w:sz w:val="24"/>
    </w:rPr>
  </w:style>
  <w:style w:type="paragraph" w:customStyle="1" w:styleId="2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">
    <w:name w:val="批注文字 字符"/>
    <w:basedOn w:val="11"/>
    <w:link w:val="4"/>
    <w:qFormat/>
    <w:uiPriority w:val="0"/>
    <w:rPr>
      <w:kern w:val="2"/>
      <w:sz w:val="21"/>
    </w:rPr>
  </w:style>
  <w:style w:type="character" w:customStyle="1" w:styleId="25">
    <w:name w:val="批注主题 字符"/>
    <w:basedOn w:val="24"/>
    <w:link w:val="9"/>
    <w:semiHidden/>
    <w:qFormat/>
    <w:uiPriority w:val="99"/>
    <w:rPr>
      <w:b/>
      <w:bCs/>
      <w:kern w:val="2"/>
      <w:sz w:val="21"/>
    </w:rPr>
  </w:style>
  <w:style w:type="paragraph" w:customStyle="1" w:styleId="2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1265</Words>
  <Characters>1315</Characters>
  <Lines>10</Lines>
  <Paragraphs>3</Paragraphs>
  <TotalTime>22</TotalTime>
  <ScaleCrop>false</ScaleCrop>
  <LinksUpToDate>false</LinksUpToDate>
  <CharactersWithSpaces>1429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2025-11-28T08:53:00Z</dcterms:created>
  <dc:creator>张园园</dc:creator>
  <cp:lastModifiedBy>wd</cp:lastModifiedBy>
  <dcterms:modified xsi:type="dcterms:W3CDTF">2025-11-29T08:47:48Z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2D8051E2A42A495F9DC661CB5FDC06B5_13</vt:lpwstr>
  </property>
  <property fmtid="{D5CDD505-2E9C-101B-9397-08002B2CF9AE}" pid="4" name="KSOTemplateDocerSaveRecord">
    <vt:lpwstr>eyJoZGlkIjoiZTZkOWVkNGViZTk0YjQxODI0Y2FjM2RlNDdhODg2MWEifQ==</vt:lpwstr>
  </property>
</Properties>
</file>