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6E3C0">
      <w:pPr>
        <w:autoSpaceDE w:val="0"/>
        <w:autoSpaceDN w:val="0"/>
        <w:adjustRightInd w:val="0"/>
        <w:snapToGrid w:val="0"/>
        <w:spacing w:line="288" w:lineRule="auto"/>
        <w:rPr>
          <w:rFonts w:ascii="宋体" w:hAnsi="宋体" w:cs="宋体"/>
          <w:kern w:val="0"/>
          <w:sz w:val="28"/>
          <w:szCs w:val="28"/>
          <w:lang w:val="zh-CN" w:bidi="zh-CN"/>
        </w:rPr>
      </w:pPr>
      <w:r>
        <w:rPr>
          <w:rFonts w:hint="eastAsia" w:ascii="宋体" w:hAnsi="宋体" w:cs="宋体"/>
          <w:kern w:val="0"/>
          <w:sz w:val="28"/>
          <w:szCs w:val="28"/>
          <w:lang w:val="zh-CN" w:bidi="zh-CN"/>
        </w:rPr>
        <w:t>证券代码：603977                         证券简称：国泰集团</w:t>
      </w:r>
    </w:p>
    <w:p w14:paraId="1BFE780E">
      <w:pPr>
        <w:adjustRightInd w:val="0"/>
        <w:snapToGrid w:val="0"/>
        <w:spacing w:before="312" w:beforeLines="100" w:line="480" w:lineRule="exact"/>
        <w:jc w:val="center"/>
        <w:rPr>
          <w:rFonts w:ascii="黑体" w:hAnsi="黑体" w:eastAsia="黑体"/>
          <w:b/>
          <w:bCs/>
          <w:color w:val="FF0000"/>
          <w:sz w:val="32"/>
          <w:szCs w:val="36"/>
        </w:rPr>
      </w:pPr>
      <w:r>
        <w:rPr>
          <w:rFonts w:hint="eastAsia" w:ascii="黑体" w:hAnsi="黑体" w:eastAsia="黑体"/>
          <w:b/>
          <w:bCs/>
          <w:color w:val="FF0000"/>
          <w:sz w:val="32"/>
          <w:szCs w:val="36"/>
        </w:rPr>
        <w:t>江西国泰集团股份有限公司</w:t>
      </w:r>
    </w:p>
    <w:p w14:paraId="53D26FB5">
      <w:pPr>
        <w:adjustRightInd w:val="0"/>
        <w:snapToGrid w:val="0"/>
        <w:spacing w:before="156" w:beforeLines="50" w:after="156" w:afterLines="50" w:line="480" w:lineRule="exact"/>
        <w:jc w:val="center"/>
        <w:rPr>
          <w:rFonts w:ascii="等线" w:hAnsi="等线"/>
          <w:b/>
          <w:bCs/>
          <w:color w:val="FF0000"/>
          <w:sz w:val="32"/>
          <w:szCs w:val="36"/>
        </w:rPr>
      </w:pPr>
      <w:r>
        <w:rPr>
          <w:rFonts w:hint="eastAsia" w:ascii="黑体" w:hAnsi="黑体" w:eastAsia="黑体"/>
          <w:b/>
          <w:bCs/>
          <w:color w:val="FF0000"/>
          <w:sz w:val="32"/>
          <w:szCs w:val="36"/>
        </w:rPr>
        <w:t>投资者关系活动记录表</w:t>
      </w:r>
    </w:p>
    <w:p w14:paraId="581B38A0">
      <w:pPr>
        <w:jc w:val="right"/>
        <w:rPr>
          <w:rFonts w:ascii="宋体" w:hAnsi="宋体"/>
        </w:rPr>
      </w:pPr>
      <w:r>
        <w:rPr>
          <w:rFonts w:hint="eastAsia" w:ascii="宋体" w:hAnsi="宋体"/>
        </w:rPr>
        <w:t>编号：2025-008</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14:paraId="5985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526" w:type="dxa"/>
            <w:vAlign w:val="center"/>
          </w:tcPr>
          <w:p w14:paraId="2FBFB89B">
            <w:pPr>
              <w:pStyle w:val="25"/>
              <w:adjustRightInd w:val="0"/>
              <w:snapToGrid w:val="0"/>
              <w:spacing w:line="360" w:lineRule="auto"/>
              <w:rPr>
                <w:b/>
                <w:bCs/>
                <w:iCs/>
                <w:sz w:val="24"/>
              </w:rPr>
            </w:pPr>
            <w:r>
              <w:rPr>
                <w:b/>
                <w:bCs/>
                <w:iCs/>
                <w:sz w:val="24"/>
              </w:rPr>
              <w:t>投资者关系活动类别</w:t>
            </w:r>
          </w:p>
        </w:tc>
        <w:tc>
          <w:tcPr>
            <w:tcW w:w="6996" w:type="dxa"/>
            <w:vAlign w:val="center"/>
          </w:tcPr>
          <w:p w14:paraId="27B2D59F">
            <w:pPr>
              <w:adjustRightInd w:val="0"/>
              <w:snapToGrid w:val="0"/>
              <w:spacing w:line="360" w:lineRule="auto"/>
              <w:rPr>
                <w:bCs/>
                <w:iCs/>
                <w:sz w:val="24"/>
                <w:szCs w:val="24"/>
              </w:rPr>
            </w:pPr>
            <w:r>
              <w:rPr>
                <w:bCs/>
                <w:iCs/>
                <w:sz w:val="24"/>
                <w:szCs w:val="24"/>
              </w:rPr>
              <w:sym w:font="Wingdings 2" w:char="0052"/>
            </w:r>
            <w:r>
              <w:rPr>
                <w:sz w:val="24"/>
                <w:szCs w:val="24"/>
              </w:rPr>
              <w:t xml:space="preserve">特定对象调研       </w:t>
            </w:r>
            <w:r>
              <w:rPr>
                <w:bCs/>
                <w:iCs/>
                <w:sz w:val="24"/>
                <w:szCs w:val="24"/>
              </w:rPr>
              <w:sym w:font="Wingdings 2" w:char="00A3"/>
            </w:r>
            <w:r>
              <w:rPr>
                <w:sz w:val="24"/>
                <w:szCs w:val="24"/>
              </w:rPr>
              <w:t>分析师会议</w:t>
            </w:r>
          </w:p>
          <w:p w14:paraId="1D2EE9E1">
            <w:pPr>
              <w:pStyle w:val="25"/>
              <w:adjustRightInd w:val="0"/>
              <w:snapToGrid w:val="0"/>
              <w:spacing w:line="360" w:lineRule="auto"/>
              <w:rPr>
                <w:bCs/>
                <w:iCs/>
                <w:sz w:val="24"/>
              </w:rPr>
            </w:pPr>
            <w:r>
              <w:rPr>
                <w:bCs/>
                <w:iCs/>
                <w:sz w:val="24"/>
              </w:rPr>
              <w:sym w:font="Wingdings 2" w:char="00A3"/>
            </w:r>
            <w:r>
              <w:rPr>
                <w:sz w:val="24"/>
              </w:rPr>
              <w:t xml:space="preserve">媒体采访           </w:t>
            </w:r>
            <w:r>
              <w:rPr>
                <w:bCs/>
                <w:iCs/>
                <w:sz w:val="24"/>
              </w:rPr>
              <w:sym w:font="Wingdings 2" w:char="00A3"/>
            </w:r>
            <w:r>
              <w:rPr>
                <w:sz w:val="24"/>
              </w:rPr>
              <w:t>业绩说明会</w:t>
            </w:r>
          </w:p>
          <w:p w14:paraId="478C16E3">
            <w:pPr>
              <w:pStyle w:val="25"/>
              <w:adjustRightInd w:val="0"/>
              <w:snapToGrid w:val="0"/>
              <w:spacing w:line="360" w:lineRule="auto"/>
              <w:rPr>
                <w:bCs/>
                <w:iCs/>
                <w:sz w:val="24"/>
              </w:rPr>
            </w:pPr>
            <w:r>
              <w:rPr>
                <w:bCs/>
                <w:iCs/>
                <w:sz w:val="24"/>
              </w:rPr>
              <w:sym w:font="Wingdings 2" w:char="00A3"/>
            </w:r>
            <w:r>
              <w:rPr>
                <w:sz w:val="24"/>
              </w:rPr>
              <w:t xml:space="preserve">新闻发布会         </w:t>
            </w:r>
            <w:r>
              <w:rPr>
                <w:bCs/>
                <w:iCs/>
                <w:sz w:val="24"/>
              </w:rPr>
              <w:sym w:font="Wingdings 2" w:char="00A3"/>
            </w:r>
            <w:r>
              <w:rPr>
                <w:sz w:val="24"/>
              </w:rPr>
              <w:t>路演活动</w:t>
            </w:r>
          </w:p>
          <w:p w14:paraId="66EAD172">
            <w:pPr>
              <w:adjustRightInd w:val="0"/>
              <w:snapToGrid w:val="0"/>
              <w:spacing w:line="360" w:lineRule="auto"/>
              <w:rPr>
                <w:bCs/>
                <w:iCs/>
                <w:sz w:val="24"/>
                <w:szCs w:val="24"/>
              </w:rPr>
            </w:pPr>
            <w:r>
              <w:rPr>
                <w:sz w:val="24"/>
                <w:szCs w:val="24"/>
              </w:rPr>
              <w:sym w:font="Wingdings 2" w:char="00A3"/>
            </w:r>
            <w:r>
              <w:rPr>
                <w:sz w:val="24"/>
                <w:szCs w:val="24"/>
              </w:rPr>
              <w:t>电话会议</w:t>
            </w:r>
          </w:p>
          <w:p w14:paraId="3F9F99B1">
            <w:pPr>
              <w:pStyle w:val="25"/>
              <w:tabs>
                <w:tab w:val="center" w:pos="3199"/>
              </w:tabs>
              <w:adjustRightInd w:val="0"/>
              <w:snapToGrid w:val="0"/>
              <w:spacing w:line="360" w:lineRule="auto"/>
              <w:rPr>
                <w:bCs/>
                <w:iCs/>
                <w:sz w:val="24"/>
                <w:u w:val="single"/>
              </w:rPr>
            </w:pPr>
            <w:r>
              <w:rPr>
                <w:bCs/>
                <w:iCs/>
                <w:sz w:val="24"/>
              </w:rPr>
              <w:sym w:font="Wingdings 2" w:char="00A3"/>
            </w:r>
            <w:r>
              <w:rPr>
                <w:sz w:val="24"/>
              </w:rPr>
              <w:t>其他</w:t>
            </w:r>
            <w:r>
              <w:rPr>
                <w:rFonts w:hint="eastAsia"/>
                <w:sz w:val="24"/>
                <w:u w:val="single"/>
              </w:rPr>
              <w:t xml:space="preserve">           </w:t>
            </w:r>
          </w:p>
        </w:tc>
      </w:tr>
      <w:tr w14:paraId="627C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526" w:type="dxa"/>
            <w:vAlign w:val="center"/>
          </w:tcPr>
          <w:p w14:paraId="0E25491F">
            <w:pPr>
              <w:pStyle w:val="25"/>
              <w:adjustRightInd w:val="0"/>
              <w:snapToGrid w:val="0"/>
              <w:spacing w:line="360" w:lineRule="auto"/>
              <w:rPr>
                <w:b/>
                <w:bCs/>
                <w:iCs/>
                <w:sz w:val="24"/>
              </w:rPr>
            </w:pPr>
            <w:r>
              <w:rPr>
                <w:b/>
                <w:bCs/>
                <w:iCs/>
                <w:sz w:val="24"/>
              </w:rPr>
              <w:t>参与单位名称及人员姓名</w:t>
            </w:r>
          </w:p>
        </w:tc>
        <w:tc>
          <w:tcPr>
            <w:tcW w:w="6996" w:type="dxa"/>
            <w:vAlign w:val="center"/>
          </w:tcPr>
          <w:p w14:paraId="1520240D">
            <w:pPr>
              <w:adjustRightInd w:val="0"/>
              <w:snapToGrid w:val="0"/>
              <w:spacing w:line="360" w:lineRule="auto"/>
              <w:textAlignment w:val="baseline"/>
              <w:rPr>
                <w:rFonts w:ascii="Times New Roman" w:hAnsi="Times New Roman"/>
                <w:sz w:val="24"/>
                <w:szCs w:val="24"/>
              </w:rPr>
            </w:pPr>
            <w:r>
              <w:rPr>
                <w:rFonts w:hint="eastAsia" w:ascii="Times New Roman" w:hAnsi="Times New Roman"/>
                <w:sz w:val="24"/>
                <w:szCs w:val="24"/>
              </w:rPr>
              <w:t>信达澳亚基金 陈一博</w:t>
            </w:r>
          </w:p>
          <w:p w14:paraId="40BFE73A">
            <w:pPr>
              <w:adjustRightInd w:val="0"/>
              <w:snapToGrid w:val="0"/>
              <w:spacing w:line="360" w:lineRule="auto"/>
              <w:textAlignment w:val="baseline"/>
              <w:rPr>
                <w:rFonts w:ascii="Times New Roman" w:hAnsi="Times New Roman"/>
                <w:sz w:val="24"/>
                <w:szCs w:val="24"/>
              </w:rPr>
            </w:pPr>
            <w:r>
              <w:rPr>
                <w:rFonts w:hint="eastAsia" w:ascii="Times New Roman" w:hAnsi="Times New Roman"/>
                <w:sz w:val="24"/>
                <w:szCs w:val="24"/>
              </w:rPr>
              <w:t>农银汇理基金 汤砚卿</w:t>
            </w:r>
          </w:p>
          <w:p w14:paraId="7C9F8FCE">
            <w:pPr>
              <w:adjustRightInd w:val="0"/>
              <w:snapToGrid w:val="0"/>
              <w:spacing w:line="360" w:lineRule="auto"/>
              <w:textAlignment w:val="baseline"/>
              <w:rPr>
                <w:rFonts w:ascii="Times New Roman" w:hAnsi="Times New Roman"/>
                <w:sz w:val="24"/>
                <w:szCs w:val="24"/>
              </w:rPr>
            </w:pPr>
            <w:r>
              <w:rPr>
                <w:rFonts w:hint="eastAsia" w:ascii="Times New Roman" w:hAnsi="Times New Roman"/>
                <w:sz w:val="24"/>
                <w:szCs w:val="24"/>
              </w:rPr>
              <w:t>国泰海通证券 周明頔</w:t>
            </w:r>
          </w:p>
          <w:p w14:paraId="10AC8A8B">
            <w:pPr>
              <w:adjustRightInd w:val="0"/>
              <w:snapToGrid w:val="0"/>
              <w:spacing w:line="360" w:lineRule="auto"/>
              <w:textAlignment w:val="baseline"/>
              <w:rPr>
                <w:rFonts w:ascii="Times New Roman" w:hAnsi="Times New Roman"/>
                <w:sz w:val="24"/>
                <w:szCs w:val="24"/>
              </w:rPr>
            </w:pPr>
            <w:r>
              <w:rPr>
                <w:rFonts w:hint="eastAsia" w:ascii="Times New Roman" w:hAnsi="Times New Roman"/>
                <w:sz w:val="24"/>
                <w:szCs w:val="24"/>
              </w:rPr>
              <w:t>华源证券 郦悦轩</w:t>
            </w:r>
          </w:p>
          <w:p w14:paraId="4EA62ABE">
            <w:pPr>
              <w:adjustRightInd w:val="0"/>
              <w:snapToGrid w:val="0"/>
              <w:spacing w:line="360" w:lineRule="auto"/>
              <w:textAlignment w:val="baseline"/>
              <w:rPr>
                <w:rFonts w:ascii="Times New Roman" w:hAnsi="Times New Roman"/>
                <w:sz w:val="24"/>
                <w:szCs w:val="24"/>
              </w:rPr>
            </w:pPr>
            <w:r>
              <w:rPr>
                <w:rFonts w:hint="eastAsia" w:ascii="Times New Roman" w:hAnsi="Times New Roman"/>
                <w:sz w:val="24"/>
                <w:szCs w:val="24"/>
              </w:rPr>
              <w:t xml:space="preserve">申万宏源 </w:t>
            </w:r>
            <w:r>
              <w:rPr>
                <w:rFonts w:ascii="Times New Roman" w:hAnsi="Times New Roman"/>
                <w:sz w:val="24"/>
                <w:szCs w:val="24"/>
              </w:rPr>
              <w:t>达邵炜</w:t>
            </w:r>
          </w:p>
          <w:p w14:paraId="50333085">
            <w:pPr>
              <w:adjustRightInd w:val="0"/>
              <w:snapToGrid w:val="0"/>
              <w:spacing w:line="360" w:lineRule="auto"/>
              <w:textAlignment w:val="baseline"/>
              <w:rPr>
                <w:rFonts w:ascii="Times New Roman" w:hAnsi="Times New Roman"/>
                <w:sz w:val="24"/>
                <w:szCs w:val="24"/>
              </w:rPr>
            </w:pPr>
            <w:r>
              <w:rPr>
                <w:rFonts w:hint="eastAsia" w:ascii="Times New Roman" w:hAnsi="Times New Roman"/>
                <w:sz w:val="24"/>
                <w:szCs w:val="24"/>
              </w:rPr>
              <w:t>中信证券 张清源</w:t>
            </w:r>
          </w:p>
          <w:p w14:paraId="7B78ADB6">
            <w:pPr>
              <w:adjustRightInd w:val="0"/>
              <w:snapToGrid w:val="0"/>
              <w:spacing w:line="360" w:lineRule="auto"/>
              <w:textAlignment w:val="baseline"/>
              <w:rPr>
                <w:rFonts w:ascii="Times New Roman" w:hAnsi="Times New Roman"/>
                <w:sz w:val="24"/>
                <w:szCs w:val="24"/>
              </w:rPr>
            </w:pPr>
            <w:r>
              <w:rPr>
                <w:rFonts w:hint="eastAsia" w:ascii="Times New Roman" w:hAnsi="Times New Roman"/>
                <w:sz w:val="24"/>
                <w:szCs w:val="24"/>
              </w:rPr>
              <w:t>东吴证券 许  牧</w:t>
            </w:r>
          </w:p>
          <w:p w14:paraId="3E89951F">
            <w:pPr>
              <w:adjustRightInd w:val="0"/>
              <w:snapToGrid w:val="0"/>
              <w:spacing w:line="360" w:lineRule="auto"/>
              <w:textAlignment w:val="baseline"/>
              <w:rPr>
                <w:rFonts w:ascii="Times New Roman" w:hAnsi="Times New Roman"/>
                <w:sz w:val="24"/>
                <w:szCs w:val="24"/>
              </w:rPr>
            </w:pPr>
            <w:r>
              <w:rPr>
                <w:rFonts w:hint="eastAsia" w:ascii="Times New Roman" w:hAnsi="Times New Roman"/>
                <w:sz w:val="24"/>
                <w:szCs w:val="24"/>
              </w:rPr>
              <w:t>华西证券 陆  洲 林  熹</w:t>
            </w:r>
          </w:p>
          <w:p w14:paraId="4FC2EA26">
            <w:pPr>
              <w:adjustRightInd w:val="0"/>
              <w:snapToGrid w:val="0"/>
              <w:spacing w:line="360" w:lineRule="auto"/>
              <w:textAlignment w:val="baseline"/>
              <w:rPr>
                <w:rFonts w:ascii="Times New Roman" w:hAnsi="Times New Roman"/>
                <w:sz w:val="24"/>
                <w:szCs w:val="24"/>
              </w:rPr>
            </w:pPr>
            <w:r>
              <w:rPr>
                <w:rFonts w:hint="eastAsia" w:ascii="Times New Roman" w:hAnsi="Times New Roman"/>
                <w:sz w:val="24"/>
                <w:szCs w:val="24"/>
              </w:rPr>
              <w:t>西部证券 李雨泉</w:t>
            </w:r>
          </w:p>
          <w:p w14:paraId="520CA64A">
            <w:pPr>
              <w:adjustRightInd w:val="0"/>
              <w:snapToGrid w:val="0"/>
              <w:spacing w:line="360" w:lineRule="auto"/>
              <w:textAlignment w:val="baseline"/>
              <w:rPr>
                <w:rFonts w:ascii="Times New Roman" w:hAnsi="Times New Roman"/>
                <w:sz w:val="24"/>
                <w:szCs w:val="24"/>
              </w:rPr>
            </w:pPr>
            <w:r>
              <w:rPr>
                <w:rFonts w:hint="eastAsia" w:ascii="Times New Roman" w:hAnsi="Times New Roman"/>
                <w:sz w:val="24"/>
                <w:szCs w:val="24"/>
              </w:rPr>
              <w:t>泰润投资 朱晓东</w:t>
            </w:r>
          </w:p>
          <w:p w14:paraId="22C4D83F">
            <w:pPr>
              <w:adjustRightInd w:val="0"/>
              <w:snapToGrid w:val="0"/>
              <w:spacing w:line="360" w:lineRule="auto"/>
              <w:textAlignment w:val="baseline"/>
              <w:rPr>
                <w:rFonts w:ascii="Times New Roman" w:hAnsi="Times New Roman"/>
                <w:sz w:val="24"/>
                <w:szCs w:val="24"/>
              </w:rPr>
            </w:pPr>
            <w:r>
              <w:rPr>
                <w:rFonts w:hint="eastAsia" w:ascii="Times New Roman" w:hAnsi="Times New Roman"/>
                <w:sz w:val="24"/>
                <w:szCs w:val="24"/>
              </w:rPr>
              <w:t>金科投资 张  诚</w:t>
            </w:r>
          </w:p>
          <w:p w14:paraId="3052F18A">
            <w:pPr>
              <w:adjustRightInd w:val="0"/>
              <w:snapToGrid w:val="0"/>
              <w:spacing w:line="360" w:lineRule="auto"/>
              <w:textAlignment w:val="baseline"/>
              <w:rPr>
                <w:rFonts w:hint="eastAsia" w:ascii="Times New Roman" w:hAnsi="Times New Roman" w:eastAsia="宋体"/>
                <w:sz w:val="24"/>
                <w:szCs w:val="24"/>
                <w:lang w:val="en-US" w:eastAsia="zh-CN"/>
              </w:rPr>
            </w:pPr>
            <w:r>
              <w:rPr>
                <w:rFonts w:hint="eastAsia" w:ascii="Times New Roman" w:hAnsi="Times New Roman"/>
                <w:sz w:val="24"/>
                <w:szCs w:val="24"/>
              </w:rPr>
              <w:t>福建汉石基金 慕</w:t>
            </w:r>
            <w:r>
              <w:rPr>
                <w:rFonts w:hint="eastAsia" w:ascii="Times New Roman" w:hAnsi="Times New Roman"/>
                <w:sz w:val="24"/>
                <w:szCs w:val="24"/>
                <w:lang w:val="en-US" w:eastAsia="zh-CN"/>
              </w:rPr>
              <w:t xml:space="preserve">  陶</w:t>
            </w:r>
          </w:p>
          <w:p w14:paraId="2D642436">
            <w:pPr>
              <w:adjustRightInd w:val="0"/>
              <w:snapToGrid w:val="0"/>
              <w:spacing w:line="360" w:lineRule="auto"/>
              <w:textAlignment w:val="baseline"/>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苏州格外投资</w:t>
            </w:r>
            <w:r>
              <w:rPr>
                <w:rFonts w:hint="eastAsia" w:ascii="Times New Roman" w:hAnsi="Times New Roman"/>
                <w:sz w:val="24"/>
                <w:szCs w:val="24"/>
              </w:rPr>
              <w:t xml:space="preserve"> </w:t>
            </w:r>
            <w:r>
              <w:rPr>
                <w:rFonts w:hint="eastAsia" w:ascii="Times New Roman" w:hAnsi="Times New Roman"/>
                <w:sz w:val="24"/>
                <w:szCs w:val="24"/>
                <w:lang w:val="en-US" w:eastAsia="zh-CN"/>
              </w:rPr>
              <w:t>帅建红</w:t>
            </w:r>
          </w:p>
        </w:tc>
      </w:tr>
      <w:tr w14:paraId="3F79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6" w:type="dxa"/>
            <w:vAlign w:val="center"/>
          </w:tcPr>
          <w:p w14:paraId="7FF0A426">
            <w:pPr>
              <w:pStyle w:val="25"/>
              <w:adjustRightInd w:val="0"/>
              <w:snapToGrid w:val="0"/>
              <w:spacing w:line="360" w:lineRule="auto"/>
              <w:jc w:val="both"/>
              <w:rPr>
                <w:rFonts w:ascii="Times New Roman" w:hAnsi="Times New Roman"/>
                <w:b/>
                <w:bCs/>
                <w:iCs/>
                <w:sz w:val="24"/>
              </w:rPr>
            </w:pPr>
            <w:r>
              <w:rPr>
                <w:rFonts w:ascii="Times New Roman" w:hAnsi="Times New Roman"/>
                <w:b/>
                <w:bCs/>
                <w:iCs/>
                <w:sz w:val="24"/>
              </w:rPr>
              <w:t>时间</w:t>
            </w:r>
          </w:p>
        </w:tc>
        <w:tc>
          <w:tcPr>
            <w:tcW w:w="6996" w:type="dxa"/>
            <w:vAlign w:val="center"/>
          </w:tcPr>
          <w:p w14:paraId="340A4CCB">
            <w:pPr>
              <w:pStyle w:val="25"/>
              <w:adjustRightInd w:val="0"/>
              <w:snapToGrid w:val="0"/>
              <w:spacing w:line="360" w:lineRule="auto"/>
              <w:jc w:val="both"/>
              <w:rPr>
                <w:rFonts w:ascii="Times New Roman" w:hAnsi="Times New Roman"/>
                <w:iCs/>
                <w:sz w:val="24"/>
              </w:rPr>
            </w:pPr>
            <w:r>
              <w:rPr>
                <w:rFonts w:hint="eastAsia" w:ascii="Times New Roman" w:hAnsi="Times New Roman"/>
                <w:iCs/>
                <w:sz w:val="24"/>
              </w:rPr>
              <w:t>2025年12</w:t>
            </w:r>
            <w:r>
              <w:rPr>
                <w:rFonts w:ascii="Times New Roman" w:hAnsi="Times New Roman"/>
                <w:iCs/>
                <w:sz w:val="24"/>
              </w:rPr>
              <w:t>月</w:t>
            </w:r>
          </w:p>
        </w:tc>
      </w:tr>
      <w:tr w14:paraId="69A4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26" w:type="dxa"/>
            <w:vAlign w:val="center"/>
          </w:tcPr>
          <w:p w14:paraId="4FA6DA8B">
            <w:pPr>
              <w:pStyle w:val="25"/>
              <w:adjustRightInd w:val="0"/>
              <w:snapToGrid w:val="0"/>
              <w:spacing w:line="360" w:lineRule="auto"/>
              <w:jc w:val="both"/>
              <w:rPr>
                <w:rFonts w:ascii="Times New Roman" w:hAnsi="Times New Roman"/>
                <w:b/>
                <w:bCs/>
                <w:iCs/>
                <w:sz w:val="24"/>
              </w:rPr>
            </w:pPr>
            <w:r>
              <w:rPr>
                <w:rFonts w:ascii="Times New Roman" w:hAnsi="Times New Roman"/>
                <w:b/>
                <w:bCs/>
                <w:iCs/>
                <w:sz w:val="24"/>
              </w:rPr>
              <w:t>地点</w:t>
            </w:r>
          </w:p>
        </w:tc>
        <w:tc>
          <w:tcPr>
            <w:tcW w:w="6996" w:type="dxa"/>
            <w:vAlign w:val="center"/>
          </w:tcPr>
          <w:p w14:paraId="54081CE4">
            <w:pPr>
              <w:pStyle w:val="25"/>
              <w:adjustRightInd w:val="0"/>
              <w:snapToGrid w:val="0"/>
              <w:spacing w:line="360" w:lineRule="auto"/>
              <w:jc w:val="both"/>
              <w:rPr>
                <w:rFonts w:ascii="Times New Roman" w:hAnsi="Times New Roman"/>
                <w:iCs/>
                <w:sz w:val="24"/>
              </w:rPr>
            </w:pPr>
            <w:r>
              <w:rPr>
                <w:rFonts w:hint="eastAsia" w:ascii="Times New Roman" w:hAnsi="Times New Roman"/>
                <w:iCs/>
                <w:sz w:val="24"/>
              </w:rPr>
              <w:t>江西省南昌市高新开发区高新大道699号国泰集团会议室</w:t>
            </w:r>
          </w:p>
        </w:tc>
      </w:tr>
      <w:tr w14:paraId="52A9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526" w:type="dxa"/>
            <w:vAlign w:val="center"/>
          </w:tcPr>
          <w:p w14:paraId="785888F6">
            <w:pPr>
              <w:pStyle w:val="25"/>
              <w:adjustRightInd w:val="0"/>
              <w:snapToGrid w:val="0"/>
              <w:spacing w:line="360" w:lineRule="auto"/>
              <w:rPr>
                <w:rFonts w:ascii="Times New Roman" w:hAnsi="Times New Roman"/>
                <w:b/>
                <w:bCs/>
                <w:iCs/>
                <w:sz w:val="24"/>
              </w:rPr>
            </w:pPr>
            <w:r>
              <w:rPr>
                <w:rFonts w:ascii="Times New Roman" w:hAnsi="Times New Roman"/>
                <w:b/>
                <w:bCs/>
                <w:iCs/>
                <w:sz w:val="24"/>
              </w:rPr>
              <w:t>上市公司接待人员姓名</w:t>
            </w:r>
          </w:p>
        </w:tc>
        <w:tc>
          <w:tcPr>
            <w:tcW w:w="6996" w:type="dxa"/>
            <w:vAlign w:val="center"/>
          </w:tcPr>
          <w:p w14:paraId="7BD3907A">
            <w:pPr>
              <w:adjustRightInd w:val="0"/>
              <w:snapToGrid w:val="0"/>
              <w:spacing w:line="360" w:lineRule="auto"/>
              <w:rPr>
                <w:rFonts w:ascii="Times New Roman" w:hAnsi="Times New Roman"/>
                <w:sz w:val="24"/>
                <w:szCs w:val="24"/>
              </w:rPr>
            </w:pPr>
            <w:r>
              <w:rPr>
                <w:rFonts w:hint="eastAsia" w:ascii="Times New Roman" w:hAnsi="Times New Roman"/>
                <w:sz w:val="24"/>
                <w:szCs w:val="24"/>
              </w:rPr>
              <w:t xml:space="preserve">副总经理、法务总监、董事会秘书 何骥 </w:t>
            </w:r>
          </w:p>
        </w:tc>
      </w:tr>
      <w:tr w14:paraId="0127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526" w:type="dxa"/>
            <w:vAlign w:val="center"/>
          </w:tcPr>
          <w:p w14:paraId="6DF7EBE0">
            <w:pPr>
              <w:pStyle w:val="25"/>
              <w:adjustRightInd w:val="0"/>
              <w:snapToGrid w:val="0"/>
              <w:spacing w:line="360" w:lineRule="auto"/>
              <w:rPr>
                <w:b/>
                <w:bCs/>
                <w:iCs/>
                <w:sz w:val="24"/>
              </w:rPr>
            </w:pPr>
            <w:r>
              <w:rPr>
                <w:rFonts w:hint="eastAsia"/>
                <w:b/>
                <w:bCs/>
                <w:iCs/>
                <w:sz w:val="24"/>
              </w:rPr>
              <w:t>投资者关系活动主要内容介绍</w:t>
            </w:r>
          </w:p>
        </w:tc>
        <w:tc>
          <w:tcPr>
            <w:tcW w:w="6996" w:type="dxa"/>
          </w:tcPr>
          <w:p w14:paraId="659160BC">
            <w:p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首先向投资者简要介绍公司近期经营状况，民爆业务、军工新材料业务情况，随后针对投资者关心的重点问题作了具体交流如下：</w:t>
            </w:r>
          </w:p>
          <w:p w14:paraId="5AEF63AE">
            <w:pPr>
              <w:adjustRightInd w:val="0"/>
              <w:snapToGrid w:val="0"/>
              <w:spacing w:line="360" w:lineRule="auto"/>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1、请介绍民爆行业近期运行情况？</w:t>
            </w:r>
          </w:p>
          <w:p w14:paraId="313B5953">
            <w:pPr>
              <w:pStyle w:val="10"/>
              <w:adjustRightInd w:val="0"/>
              <w:snapToGrid w:val="0"/>
              <w:spacing w:before="0" w:beforeAutospacing="0" w:after="0" w:afterAutospacing="0" w:line="360" w:lineRule="auto"/>
              <w:ind w:right="-42" w:firstLine="420"/>
              <w:rPr>
                <w:rFonts w:asciiTheme="minorEastAsia" w:hAnsiTheme="minorEastAsia" w:eastAsiaTheme="minorEastAsia" w:cstheme="minorEastAsia"/>
              </w:rPr>
            </w:pPr>
            <w:r>
              <w:rPr>
                <w:rFonts w:hint="eastAsia" w:asciiTheme="minorEastAsia" w:hAnsiTheme="minorEastAsia" w:eastAsiaTheme="minorEastAsia" w:cstheme="minorEastAsia"/>
              </w:rPr>
              <w:t>答：根据中国爆破器材行业协会发布的《2025年10月民爆行业运行情况》，2025年10月以来，我国民爆行业经济运行下行态势加快。2025年1-10月，我国民爆生产企业累计完成生产、销售总值分别为318.60亿元和317.02亿元，同比分别下降5.22%和4.35%；累计实现主营业务收入342.50亿元，同比下降4.32%；累计实现利润总额75.28亿元，同比下降5.13%；累计实现爆破服务收入315.02亿元，同比增长16.96%。</w:t>
            </w:r>
          </w:p>
          <w:p w14:paraId="3F35C1D8">
            <w:pPr>
              <w:pStyle w:val="10"/>
              <w:adjustRightInd w:val="0"/>
              <w:snapToGrid w:val="0"/>
              <w:spacing w:before="0" w:beforeAutospacing="0" w:after="0" w:afterAutospacing="0" w:line="360" w:lineRule="auto"/>
              <w:ind w:right="-42" w:firstLine="420"/>
              <w:rPr>
                <w:rFonts w:asciiTheme="minorEastAsia" w:hAnsiTheme="minorEastAsia" w:eastAsiaTheme="minorEastAsia" w:cstheme="minorEastAsia"/>
              </w:rPr>
            </w:pPr>
            <w:r>
              <w:rPr>
                <w:rFonts w:hint="eastAsia" w:asciiTheme="minorEastAsia" w:hAnsiTheme="minorEastAsia" w:eastAsiaTheme="minorEastAsia" w:cstheme="minorEastAsia"/>
              </w:rPr>
              <w:t>2025年</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10月，</w:t>
            </w:r>
            <w:r>
              <w:rPr>
                <w:rFonts w:hint="eastAsia" w:asciiTheme="minorEastAsia" w:hAnsiTheme="minorEastAsia" w:eastAsiaTheme="minorEastAsia" w:cstheme="minorEastAsia"/>
                <w:lang w:val="en-US" w:eastAsia="zh-CN"/>
              </w:rPr>
              <w:t>江西省</w:t>
            </w:r>
            <w:r>
              <w:rPr>
                <w:rFonts w:hint="eastAsia" w:asciiTheme="minorEastAsia" w:hAnsiTheme="minorEastAsia" w:eastAsiaTheme="minorEastAsia" w:cstheme="minorEastAsia"/>
              </w:rPr>
              <w:t>民爆生产企业</w:t>
            </w:r>
            <w:r>
              <w:rPr>
                <w:rFonts w:hint="eastAsia" w:asciiTheme="minorEastAsia" w:hAnsiTheme="minorEastAsia" w:eastAsiaTheme="minorEastAsia" w:cstheme="minorEastAsia"/>
                <w:lang w:val="en-US" w:eastAsia="zh-CN"/>
              </w:rPr>
              <w:t>累计</w:t>
            </w:r>
            <w:r>
              <w:rPr>
                <w:rFonts w:hint="eastAsia" w:asciiTheme="minorEastAsia" w:hAnsiTheme="minorEastAsia" w:eastAsiaTheme="minorEastAsia" w:cstheme="minorEastAsia"/>
              </w:rPr>
              <w:t>实现</w:t>
            </w:r>
            <w:r>
              <w:rPr>
                <w:rFonts w:hint="eastAsia" w:asciiTheme="minorEastAsia" w:hAnsiTheme="minorEastAsia" w:eastAsiaTheme="minorEastAsia" w:cstheme="minorEastAsia"/>
                <w:lang w:val="en-US" w:eastAsia="zh-CN"/>
              </w:rPr>
              <w:t>生产总值13</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56</w:t>
            </w:r>
            <w:r>
              <w:rPr>
                <w:rFonts w:hint="eastAsia" w:asciiTheme="minorEastAsia" w:hAnsiTheme="minorEastAsia" w:eastAsiaTheme="minorEastAsia" w:cstheme="minorEastAsia"/>
              </w:rPr>
              <w:t>亿元，在全国排</w:t>
            </w:r>
            <w:r>
              <w:rPr>
                <w:rFonts w:hint="eastAsia" w:asciiTheme="minorEastAsia" w:hAnsiTheme="minorEastAsia" w:eastAsiaTheme="minorEastAsia" w:cstheme="minorEastAsia"/>
                <w:lang w:val="en-US" w:eastAsia="zh-CN"/>
              </w:rPr>
              <w:t>名</w:t>
            </w:r>
            <w:bookmarkStart w:id="1" w:name="_GoBack"/>
            <w:bookmarkEnd w:id="1"/>
            <w:r>
              <w:rPr>
                <w:rFonts w:hint="eastAsia" w:asciiTheme="minorEastAsia" w:hAnsiTheme="minorEastAsia" w:eastAsiaTheme="minorEastAsia" w:cstheme="minorEastAsia"/>
              </w:rPr>
              <w:t>第八</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同比</w:t>
            </w:r>
            <w:r>
              <w:rPr>
                <w:rFonts w:hint="eastAsia" w:asciiTheme="minorEastAsia" w:hAnsiTheme="minorEastAsia" w:eastAsiaTheme="minorEastAsia" w:cstheme="minorEastAsia"/>
                <w:lang w:val="en-US" w:eastAsia="zh-CN"/>
              </w:rPr>
              <w:t>增长11</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8%；</w:t>
            </w:r>
            <w:r>
              <w:rPr>
                <w:rFonts w:hint="eastAsia" w:asciiTheme="minorEastAsia" w:hAnsiTheme="minorEastAsia" w:eastAsiaTheme="minorEastAsia" w:cstheme="minorEastAsia"/>
                <w:lang w:val="en-US" w:eastAsia="zh-CN"/>
              </w:rPr>
              <w:t>累计</w:t>
            </w:r>
            <w:r>
              <w:rPr>
                <w:rFonts w:hint="eastAsia" w:asciiTheme="minorEastAsia" w:hAnsiTheme="minorEastAsia" w:eastAsiaTheme="minorEastAsia" w:cstheme="minorEastAsia"/>
              </w:rPr>
              <w:t>实现</w:t>
            </w:r>
            <w:r>
              <w:rPr>
                <w:rFonts w:hint="eastAsia" w:asciiTheme="minorEastAsia" w:hAnsiTheme="minorEastAsia" w:eastAsiaTheme="minorEastAsia" w:cstheme="minorEastAsia"/>
                <w:lang w:val="en-US" w:eastAsia="zh-CN"/>
              </w:rPr>
              <w:t>销售总值13</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亿元，同比</w:t>
            </w:r>
            <w:r>
              <w:rPr>
                <w:rFonts w:hint="eastAsia" w:asciiTheme="minorEastAsia" w:hAnsiTheme="minorEastAsia" w:eastAsiaTheme="minorEastAsia" w:cstheme="minorEastAsia"/>
                <w:lang w:val="en-US" w:eastAsia="zh-CN"/>
              </w:rPr>
              <w:t>增长12</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91</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工业炸药累计销量13.31万吨</w:t>
            </w:r>
            <w:r>
              <w:rPr>
                <w:rFonts w:hint="eastAsia" w:asciiTheme="minorEastAsia" w:hAnsiTheme="minorEastAsia" w:eastAsiaTheme="minorEastAsia" w:cstheme="minorEastAsia"/>
              </w:rPr>
              <w:t>，同比</w:t>
            </w:r>
            <w:r>
              <w:rPr>
                <w:rFonts w:hint="eastAsia" w:asciiTheme="minorEastAsia" w:hAnsiTheme="minorEastAsia" w:eastAsiaTheme="minorEastAsia" w:cstheme="minorEastAsia"/>
                <w:lang w:val="en-US" w:eastAsia="zh-CN"/>
              </w:rPr>
              <w:t>增长3</w:t>
            </w:r>
            <w:r>
              <w:rPr>
                <w:rFonts w:hint="eastAsia" w:asciiTheme="minorEastAsia" w:hAnsiTheme="minorEastAsia" w:eastAsiaTheme="minorEastAsia" w:cstheme="minorEastAsia"/>
              </w:rPr>
              <w:t>.7</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%；工业</w:t>
            </w:r>
            <w:r>
              <w:rPr>
                <w:rFonts w:hint="eastAsia" w:asciiTheme="minorEastAsia" w:hAnsiTheme="minorEastAsia" w:eastAsiaTheme="minorEastAsia" w:cstheme="minorEastAsia"/>
                <w:lang w:val="en-US" w:eastAsia="zh-CN"/>
              </w:rPr>
              <w:t>雷管累计</w:t>
            </w:r>
            <w:r>
              <w:rPr>
                <w:rFonts w:hint="eastAsia" w:asciiTheme="minorEastAsia" w:hAnsiTheme="minorEastAsia" w:eastAsiaTheme="minorEastAsia" w:cstheme="minorEastAsia"/>
              </w:rPr>
              <w:t>销量</w:t>
            </w:r>
            <w:r>
              <w:rPr>
                <w:rFonts w:hint="eastAsia" w:asciiTheme="minorEastAsia" w:hAnsiTheme="minorEastAsia" w:eastAsiaTheme="minorEastAsia" w:cstheme="minorEastAsia"/>
                <w:lang w:eastAsia="zh-CN"/>
              </w:rPr>
              <w:t>0</w:t>
            </w:r>
            <w:r>
              <w:rPr>
                <w:rFonts w:hint="eastAsia" w:asciiTheme="minorEastAsia" w:hAnsiTheme="minorEastAsia" w:eastAsiaTheme="minorEastAsia" w:cstheme="minorEastAsia"/>
                <w:lang w:val="en-US" w:eastAsia="zh-CN"/>
              </w:rPr>
              <w:t>.20亿发</w:t>
            </w:r>
            <w:r>
              <w:rPr>
                <w:rFonts w:hint="eastAsia" w:asciiTheme="minorEastAsia" w:hAnsiTheme="minorEastAsia" w:eastAsiaTheme="minorEastAsia" w:cstheme="minorEastAsia"/>
              </w:rPr>
              <w:t>，同比</w:t>
            </w:r>
            <w:r>
              <w:rPr>
                <w:rFonts w:hint="eastAsia" w:asciiTheme="minorEastAsia" w:hAnsiTheme="minorEastAsia" w:eastAsiaTheme="minorEastAsia" w:cstheme="minorEastAsia"/>
                <w:lang w:val="en-US" w:eastAsia="zh-CN"/>
              </w:rPr>
              <w:t>下降</w:t>
            </w:r>
            <w:r>
              <w:rPr>
                <w:rFonts w:hint="eastAsia" w:asciiTheme="minorEastAsia" w:hAnsiTheme="minorEastAsia" w:eastAsiaTheme="minorEastAsia" w:cstheme="minorEastAsia"/>
                <w:lang w:eastAsia="zh-CN"/>
              </w:rPr>
              <w:t>8</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0</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w:t>
            </w:r>
          </w:p>
          <w:p w14:paraId="381098A1">
            <w:pPr>
              <w:pStyle w:val="10"/>
              <w:adjustRightInd w:val="0"/>
              <w:snapToGrid w:val="0"/>
              <w:spacing w:before="0" w:beforeAutospacing="0" w:after="0" w:afterAutospacing="0" w:line="360" w:lineRule="auto"/>
              <w:ind w:right="-42" w:firstLine="420"/>
              <w:rPr>
                <w:rFonts w:asciiTheme="minorEastAsia" w:hAnsiTheme="minorEastAsia" w:eastAsiaTheme="minorEastAsia" w:cstheme="minorEastAsia"/>
              </w:rPr>
            </w:pPr>
          </w:p>
          <w:p w14:paraId="46E94F47">
            <w:pPr>
              <w:pStyle w:val="10"/>
              <w:adjustRightInd w:val="0"/>
              <w:snapToGrid w:val="0"/>
              <w:spacing w:before="0" w:beforeAutospacing="0" w:after="0" w:afterAutospacing="0" w:line="360" w:lineRule="auto"/>
              <w:ind w:right="-42"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、请介绍公司钽铌业务发展情况？</w:t>
            </w:r>
          </w:p>
          <w:p w14:paraId="51CB83C5">
            <w:pPr>
              <w:pStyle w:val="10"/>
              <w:adjustRightInd w:val="0"/>
              <w:snapToGrid w:val="0"/>
              <w:spacing w:before="0" w:beforeAutospacing="0" w:after="0" w:afterAutospacing="0" w:line="360" w:lineRule="auto"/>
              <w:ind w:right="-42"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答：公司依托下属子公司拓泓新材、三石有色开展钽铌业务，其主要从事钽铌稀有有色金属湿法冶炼加工销售。拓泓新材年产能500吨钽铌化合物，主要生产冶金级氧化钽、氟钽酸钾和普通氧化铌，具备独石氧化铌生产能力。三石有色年产能1000吨钽铌化合物，除冶金级钽铌产品外，主要定位于钽铌高纯氧化物以及超高纯氧化物等高附加值产品，是国内产能较大、产线较多、品种较齐全、设备较先进、自动化程度较高的国内一流钽铌湿法冶炼龙头企业。</w:t>
            </w:r>
          </w:p>
          <w:p w14:paraId="173E3F53">
            <w:pPr>
              <w:pStyle w:val="10"/>
              <w:adjustRightInd w:val="0"/>
              <w:snapToGrid w:val="0"/>
              <w:spacing w:before="0" w:beforeAutospacing="0" w:after="0" w:afterAutospacing="0" w:line="360" w:lineRule="auto"/>
              <w:ind w:right="-42"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下属子公司拓泓新材和三石有色生产的钽铌氧化物，经过下游火法冶金加工后大多进入军工航天、特种合金等领域。目前，三石有色废水增建系统试运行稳定，实现4条生产线贯通，提炼出高纯氢氧化铌实验品，进一步助推高纯钽铌氧化产品达产达标</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经过下游加工环节后终端产品有望进入超导腔、光模块等领域</w:t>
            </w:r>
            <w:r>
              <w:rPr>
                <w:rFonts w:hint="eastAsia" w:asciiTheme="minorEastAsia" w:hAnsiTheme="minorEastAsia" w:eastAsiaTheme="minorEastAsia" w:cstheme="minorEastAsia"/>
              </w:rPr>
              <w:t>。</w:t>
            </w:r>
          </w:p>
          <w:p w14:paraId="4C58084B">
            <w:pPr>
              <w:pStyle w:val="10"/>
              <w:adjustRightInd w:val="0"/>
              <w:snapToGrid w:val="0"/>
              <w:spacing w:before="0" w:beforeAutospacing="0" w:after="0" w:afterAutospacing="0" w:line="360" w:lineRule="auto"/>
              <w:ind w:right="-40" w:firstLine="480" w:firstLineChars="200"/>
              <w:rPr>
                <w:rFonts w:asciiTheme="minorEastAsia" w:hAnsiTheme="minorEastAsia" w:eastAsiaTheme="minorEastAsia" w:cstheme="minorEastAsia"/>
              </w:rPr>
            </w:pPr>
          </w:p>
          <w:p w14:paraId="1D2B1695">
            <w:pPr>
              <w:pStyle w:val="10"/>
              <w:adjustRightInd w:val="0"/>
              <w:snapToGrid w:val="0"/>
              <w:spacing w:before="0" w:beforeAutospacing="0" w:after="0" w:afterAutospacing="0" w:line="360" w:lineRule="auto"/>
              <w:ind w:right="-4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、请介绍长赣高铁项目最新进展，对公司民爆业务有何影响？</w:t>
            </w:r>
          </w:p>
          <w:p w14:paraId="2C66C275">
            <w:pPr>
              <w:pStyle w:val="10"/>
              <w:adjustRightInd w:val="0"/>
              <w:snapToGrid w:val="0"/>
              <w:spacing w:before="0" w:beforeAutospacing="0" w:after="0" w:afterAutospacing="0" w:line="360" w:lineRule="auto"/>
              <w:ind w:right="-4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答：长赣高铁西起湖南长沙，途经江西萍乡、吉安至终点赣州，全长429.5公里，设计时速350公里。其中，江西段正线全长297.6公里，新建桥梁176座、隧道83座，桥隧比达88.24%。此项目是国家高速铁路网“八纵八横”之一厦渝通道的重要组成部分，是国家“十四五”铁路发展规划的重要客运专线。据官方报道，2025年12月8日长赣高铁江西段首座隧道莲花隧道开工，标志着长赣高铁江西段主体工程开工，项目进入全面建设阶段。</w:t>
            </w:r>
          </w:p>
          <w:p w14:paraId="3EE16314">
            <w:pPr>
              <w:pStyle w:val="10"/>
              <w:adjustRightInd w:val="0"/>
              <w:snapToGrid w:val="0"/>
              <w:spacing w:before="0" w:beforeAutospacing="0" w:after="0" w:afterAutospacing="0" w:line="360" w:lineRule="auto"/>
              <w:ind w:right="-4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公司作为江西省唯一的民爆器材生产企业，民爆器材产品在江西省内全覆盖。公司正积极与有关方面接洽，争取项目建设中的民爆产品供应及爆破服务业务，项目全面建设将有利于公司工业炸药、雷管等产品销售及爆破工程业务开拓，有助于提升公司整体盈利能力。</w:t>
            </w:r>
          </w:p>
          <w:p w14:paraId="60505197">
            <w:pPr>
              <w:pStyle w:val="10"/>
              <w:adjustRightInd w:val="0"/>
              <w:snapToGrid w:val="0"/>
              <w:spacing w:before="0" w:beforeAutospacing="0" w:after="0" w:afterAutospacing="0" w:line="360" w:lineRule="auto"/>
              <w:ind w:right="-40" w:firstLine="480" w:firstLineChars="200"/>
              <w:rPr>
                <w:rFonts w:asciiTheme="minorEastAsia" w:hAnsiTheme="minorEastAsia" w:eastAsiaTheme="minorEastAsia" w:cstheme="minorEastAsia"/>
              </w:rPr>
            </w:pPr>
          </w:p>
          <w:p w14:paraId="21ED97A3">
            <w:pPr>
              <w:pStyle w:val="10"/>
              <w:adjustRightInd w:val="0"/>
              <w:snapToGrid w:val="0"/>
              <w:spacing w:before="0" w:beforeAutospacing="0" w:after="0" w:afterAutospacing="0" w:line="360" w:lineRule="auto"/>
              <w:ind w:right="-40"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、请介绍公司</w:t>
            </w:r>
            <w:bookmarkStart w:id="0" w:name="OLE_LINK1"/>
            <w:r>
              <w:rPr>
                <w:rFonts w:hint="eastAsia" w:asciiTheme="minorEastAsia" w:hAnsiTheme="minorEastAsia" w:eastAsiaTheme="minorEastAsia" w:cstheme="minorEastAsia"/>
              </w:rPr>
              <w:t>小型固体火箭发动机</w:t>
            </w:r>
            <w:bookmarkEnd w:id="0"/>
            <w:r>
              <w:rPr>
                <w:rFonts w:hint="eastAsia" w:asciiTheme="minorEastAsia" w:hAnsiTheme="minorEastAsia" w:eastAsiaTheme="minorEastAsia" w:cstheme="minorEastAsia"/>
              </w:rPr>
              <w:t>业务发展情况？</w:t>
            </w:r>
          </w:p>
          <w:p w14:paraId="03AC9B35">
            <w:pPr>
              <w:pStyle w:val="10"/>
              <w:adjustRightInd w:val="0"/>
              <w:snapToGrid w:val="0"/>
              <w:spacing w:before="0" w:beforeAutospacing="0" w:after="0" w:afterAutospacing="0" w:line="360" w:lineRule="auto"/>
              <w:ind w:right="-42"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答：公司全资子公司新余国泰自主研发生产的小型固体火箭发动机应用于固定翼无人靶机的发射，使其迅速飞离发射器并加速达到预定飞行速度。该产品具备结构紧凑、体积小、推力大、操作简单、响应快速等特点。其发射技术和产品已经系列化，需求量呈逐年上升趋势，市场前景广阔。</w:t>
            </w:r>
          </w:p>
          <w:p w14:paraId="0A0BA925">
            <w:pPr>
              <w:pStyle w:val="10"/>
              <w:adjustRightInd w:val="0"/>
              <w:snapToGrid w:val="0"/>
              <w:spacing w:before="0" w:beforeAutospacing="0" w:after="0" w:afterAutospacing="0" w:line="360" w:lineRule="auto"/>
              <w:ind w:right="-42" w:firstLine="480" w:firstLineChars="200"/>
            </w:pPr>
            <w:r>
              <w:rPr>
                <w:rFonts w:hint="eastAsia" w:asciiTheme="minorEastAsia" w:hAnsiTheme="minorEastAsia" w:eastAsiaTheme="minorEastAsia" w:cstheme="minorEastAsia"/>
              </w:rPr>
              <w:t>新余国泰小型固体火箭发动机助推器产品型号齐全，已研制并稳定量产</w:t>
            </w:r>
            <w:r>
              <w:rPr>
                <w:rFonts w:hint="eastAsia" w:asciiTheme="minorEastAsia" w:hAnsiTheme="minorEastAsia" w:eastAsiaTheme="minorEastAsia" w:cstheme="minorEastAsia"/>
                <w:lang w:val="en-US" w:eastAsia="zh-CN"/>
              </w:rPr>
              <w:t>十三种</w:t>
            </w:r>
            <w:r>
              <w:rPr>
                <w:rFonts w:hint="eastAsia" w:asciiTheme="minorEastAsia" w:hAnsiTheme="minorEastAsia" w:eastAsiaTheme="minorEastAsia" w:cstheme="minorEastAsia"/>
              </w:rPr>
              <w:t>型号，可满足不同型号的无人靶机发射需求。新余国泰已建设自动化生产线用于小型固体火箭发动机生产，进一步增强产品供给能力</w:t>
            </w:r>
            <w:r>
              <w:rPr>
                <w:rFonts w:hint="eastAsia" w:asciiTheme="minorEastAsia" w:hAnsiTheme="minorEastAsia" w:eastAsiaTheme="minorEastAsia" w:cstheme="minorEastAsia"/>
                <w:lang w:val="en-US" w:eastAsia="zh-CN"/>
              </w:rPr>
              <w:t>，拓宽更多应用领域。</w:t>
            </w:r>
          </w:p>
        </w:tc>
      </w:tr>
      <w:tr w14:paraId="3393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526" w:type="dxa"/>
            <w:vAlign w:val="center"/>
          </w:tcPr>
          <w:p w14:paraId="2D3B9F8F">
            <w:pPr>
              <w:pStyle w:val="25"/>
              <w:adjustRightInd w:val="0"/>
              <w:snapToGrid w:val="0"/>
              <w:spacing w:line="360" w:lineRule="auto"/>
              <w:rPr>
                <w:rFonts w:ascii="Times New Roman" w:hAnsi="Times New Roman"/>
                <w:b/>
                <w:bCs/>
                <w:iCs/>
                <w:sz w:val="24"/>
              </w:rPr>
            </w:pPr>
            <w:r>
              <w:rPr>
                <w:rFonts w:ascii="Times New Roman" w:hAnsi="Times New Roman"/>
                <w:b/>
                <w:bCs/>
                <w:iCs/>
                <w:sz w:val="24"/>
              </w:rPr>
              <w:t>附件清单</w:t>
            </w:r>
          </w:p>
        </w:tc>
        <w:tc>
          <w:tcPr>
            <w:tcW w:w="6996" w:type="dxa"/>
            <w:vAlign w:val="center"/>
          </w:tcPr>
          <w:p w14:paraId="604BF607">
            <w:pPr>
              <w:pStyle w:val="25"/>
              <w:adjustRightInd w:val="0"/>
              <w:snapToGrid w:val="0"/>
              <w:spacing w:line="360" w:lineRule="auto"/>
              <w:rPr>
                <w:rFonts w:ascii="Times New Roman" w:hAnsi="Times New Roman"/>
                <w:bCs/>
                <w:iCs/>
                <w:sz w:val="24"/>
              </w:rPr>
            </w:pPr>
            <w:r>
              <w:rPr>
                <w:rFonts w:ascii="Times New Roman" w:hAnsi="Times New Roman"/>
                <w:bCs/>
                <w:iCs/>
                <w:sz w:val="24"/>
              </w:rPr>
              <w:t>无。</w:t>
            </w:r>
          </w:p>
        </w:tc>
      </w:tr>
      <w:tr w14:paraId="5310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526" w:type="dxa"/>
            <w:vAlign w:val="center"/>
          </w:tcPr>
          <w:p w14:paraId="2BF69DFE">
            <w:pPr>
              <w:pStyle w:val="25"/>
              <w:adjustRightInd w:val="0"/>
              <w:snapToGrid w:val="0"/>
              <w:spacing w:line="360" w:lineRule="auto"/>
              <w:rPr>
                <w:rFonts w:ascii="Times New Roman" w:hAnsi="Times New Roman"/>
                <w:b/>
                <w:bCs/>
                <w:iCs/>
                <w:sz w:val="24"/>
              </w:rPr>
            </w:pPr>
            <w:r>
              <w:rPr>
                <w:rFonts w:ascii="Times New Roman" w:hAnsi="Times New Roman"/>
                <w:b/>
                <w:bCs/>
                <w:iCs/>
                <w:sz w:val="24"/>
              </w:rPr>
              <w:t>日期</w:t>
            </w:r>
          </w:p>
        </w:tc>
        <w:tc>
          <w:tcPr>
            <w:tcW w:w="6996" w:type="dxa"/>
            <w:vAlign w:val="center"/>
          </w:tcPr>
          <w:p w14:paraId="425B4162">
            <w:pPr>
              <w:pStyle w:val="25"/>
              <w:adjustRightInd w:val="0"/>
              <w:snapToGrid w:val="0"/>
              <w:spacing w:line="360" w:lineRule="auto"/>
              <w:rPr>
                <w:rFonts w:ascii="Times New Roman" w:hAnsi="Times New Roman"/>
                <w:bCs/>
                <w:iCs/>
                <w:sz w:val="24"/>
              </w:rPr>
            </w:pPr>
            <w:r>
              <w:rPr>
                <w:rFonts w:hint="eastAsia" w:ascii="Times New Roman" w:hAnsi="Times New Roman"/>
                <w:bCs/>
                <w:iCs/>
                <w:sz w:val="24"/>
              </w:rPr>
              <w:t>2025年12月11日</w:t>
            </w:r>
          </w:p>
        </w:tc>
      </w:tr>
    </w:tbl>
    <w:p w14:paraId="62001F62">
      <w:pPr>
        <w:adjustRightInd w:val="0"/>
        <w:snapToGrid w:val="0"/>
        <w:rPr>
          <w:rFonts w:ascii="Times New Roman" w:hAnsi="Times New Roman"/>
          <w:sz w:val="28"/>
          <w:szCs w:val="28"/>
        </w:rPr>
      </w:pPr>
    </w:p>
    <w:sectPr>
      <w:footerReference r:id="rId3" w:type="default"/>
      <w:pgSz w:w="11906" w:h="16838"/>
      <w:pgMar w:top="1406" w:right="1797" w:bottom="1406"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816A8">
    <w:pPr>
      <w:pStyle w:val="8"/>
      <w:jc w:val="center"/>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ZmYwNDIwMGE1YjNjMWQ2NTVmOWQxZjQ4NmVkZjQifQ=="/>
  </w:docVars>
  <w:rsids>
    <w:rsidRoot w:val="00913BBF"/>
    <w:rsid w:val="00290258"/>
    <w:rsid w:val="0079081C"/>
    <w:rsid w:val="00913BBF"/>
    <w:rsid w:val="00974524"/>
    <w:rsid w:val="00B5546E"/>
    <w:rsid w:val="00C07B21"/>
    <w:rsid w:val="079813C2"/>
    <w:rsid w:val="12E123B3"/>
    <w:rsid w:val="13B75003"/>
    <w:rsid w:val="156C4E32"/>
    <w:rsid w:val="20D56675"/>
    <w:rsid w:val="25B150E7"/>
    <w:rsid w:val="25D17563"/>
    <w:rsid w:val="35963395"/>
    <w:rsid w:val="479B5ECC"/>
    <w:rsid w:val="479D7445"/>
    <w:rsid w:val="49E50EBD"/>
    <w:rsid w:val="4BA32DDE"/>
    <w:rsid w:val="4C010575"/>
    <w:rsid w:val="4C9170DB"/>
    <w:rsid w:val="534244A5"/>
    <w:rsid w:val="53C116A7"/>
    <w:rsid w:val="5796769B"/>
    <w:rsid w:val="57A53A3A"/>
    <w:rsid w:val="593E4146"/>
    <w:rsid w:val="5C1B0B14"/>
    <w:rsid w:val="5E8A4304"/>
    <w:rsid w:val="60275934"/>
    <w:rsid w:val="61A57681"/>
    <w:rsid w:val="63D26769"/>
    <w:rsid w:val="6E0A56D7"/>
    <w:rsid w:val="71881FAB"/>
    <w:rsid w:val="74466952"/>
    <w:rsid w:val="74E92D60"/>
    <w:rsid w:val="7A5A514E"/>
    <w:rsid w:val="7D3D0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line="560" w:lineRule="exact"/>
      <w:ind w:firstLine="880" w:firstLineChars="200"/>
      <w:outlineLvl w:val="1"/>
    </w:pPr>
    <w:rPr>
      <w:rFonts w:ascii="Arial" w:hAnsi="Arial" w:eastAsia="黑体" w:cs="宋体"/>
      <w:sz w:val="32"/>
      <w:szCs w:val="22"/>
    </w:rPr>
  </w:style>
  <w:style w:type="paragraph" w:styleId="4">
    <w:name w:val="heading 3"/>
    <w:basedOn w:val="1"/>
    <w:next w:val="1"/>
    <w:qFormat/>
    <w:uiPriority w:val="0"/>
    <w:pPr>
      <w:snapToGrid w:val="0"/>
      <w:spacing w:line="580" w:lineRule="exact"/>
      <w:ind w:firstLine="560" w:firstLineChars="200"/>
      <w:jc w:val="left"/>
      <w:outlineLvl w:val="2"/>
    </w:pPr>
    <w:rPr>
      <w:rFonts w:hint="eastAsia" w:ascii="宋体" w:hAnsi="宋体" w:eastAsia="楷体"/>
      <w:kern w:val="0"/>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qFormat/>
    <w:uiPriority w:val="0"/>
    <w:pPr>
      <w:jc w:val="left"/>
    </w:pPr>
  </w:style>
  <w:style w:type="paragraph" w:styleId="6">
    <w:name w:val="Body Text Indent"/>
    <w:qFormat/>
    <w:uiPriority w:val="99"/>
    <w:pPr>
      <w:spacing w:after="120"/>
      <w:ind w:left="420" w:leftChars="200"/>
    </w:pPr>
    <w:rPr>
      <w:rFonts w:ascii="Calibri" w:hAnsi="Calibri" w:eastAsia="宋体" w:cs="Times New Roman"/>
      <w:lang w:val="en-US" w:eastAsia="zh-CN" w:bidi="ar-SA"/>
    </w:rPr>
  </w:style>
  <w:style w:type="paragraph" w:styleId="7">
    <w:name w:val="Balloon Text"/>
    <w:basedOn w:val="1"/>
    <w:link w:val="20"/>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link w:val="21"/>
    <w:qFormat/>
    <w:uiPriority w:val="0"/>
    <w:rPr>
      <w:b/>
      <w:bCs/>
    </w:rPr>
  </w:style>
  <w:style w:type="character" w:styleId="14">
    <w:name w:val="Strong"/>
    <w:basedOn w:val="13"/>
    <w:qFormat/>
    <w:uiPriority w:val="22"/>
    <w:rPr>
      <w:b/>
    </w:rPr>
  </w:style>
  <w:style w:type="character" w:styleId="15">
    <w:name w:val="annotation reference"/>
    <w:qFormat/>
    <w:uiPriority w:val="0"/>
    <w:rPr>
      <w:sz w:val="21"/>
      <w:szCs w:val="21"/>
    </w:rPr>
  </w:style>
  <w:style w:type="character" w:customStyle="1" w:styleId="16">
    <w:name w:val="页脚 Char"/>
    <w:link w:val="8"/>
    <w:qFormat/>
    <w:uiPriority w:val="99"/>
    <w:rPr>
      <w:kern w:val="2"/>
      <w:sz w:val="18"/>
    </w:rPr>
  </w:style>
  <w:style w:type="character" w:customStyle="1" w:styleId="17">
    <w:name w:val="页码 New"/>
    <w:basedOn w:val="13"/>
    <w:qFormat/>
    <w:uiPriority w:val="0"/>
  </w:style>
  <w:style w:type="character" w:customStyle="1" w:styleId="18">
    <w:name w:val="页码 New New"/>
    <w:basedOn w:val="13"/>
    <w:qFormat/>
    <w:uiPriority w:val="0"/>
  </w:style>
  <w:style w:type="character" w:customStyle="1" w:styleId="19">
    <w:name w:val="页码 New New New"/>
    <w:basedOn w:val="13"/>
    <w:qFormat/>
    <w:uiPriority w:val="0"/>
  </w:style>
  <w:style w:type="character" w:customStyle="1" w:styleId="20">
    <w:name w:val="批注框文本 Char"/>
    <w:link w:val="7"/>
    <w:qFormat/>
    <w:uiPriority w:val="0"/>
    <w:rPr>
      <w:kern w:val="2"/>
      <w:sz w:val="18"/>
      <w:szCs w:val="18"/>
    </w:rPr>
  </w:style>
  <w:style w:type="character" w:customStyle="1" w:styleId="21">
    <w:name w:val="批注主题 Char"/>
    <w:link w:val="11"/>
    <w:qFormat/>
    <w:uiPriority w:val="0"/>
    <w:rPr>
      <w:b/>
      <w:bCs/>
      <w:kern w:val="2"/>
      <w:sz w:val="21"/>
    </w:rPr>
  </w:style>
  <w:style w:type="character" w:customStyle="1" w:styleId="22">
    <w:name w:val="批注文字 Char"/>
    <w:link w:val="5"/>
    <w:qFormat/>
    <w:uiPriority w:val="0"/>
    <w:rPr>
      <w:kern w:val="2"/>
      <w:sz w:val="21"/>
    </w:rPr>
  </w:style>
  <w:style w:type="character" w:customStyle="1" w:styleId="23">
    <w:name w:val="页码 New New New New"/>
    <w:basedOn w:val="13"/>
    <w:qFormat/>
    <w:uiPriority w:val="0"/>
  </w:style>
  <w:style w:type="paragraph" w:customStyle="1" w:styleId="24">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25">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页眉1"/>
    <w:basedOn w:val="1"/>
    <w:qFormat/>
    <w:uiPriority w:val="99"/>
    <w:pPr>
      <w:pBdr>
        <w:bottom w:val="single" w:color="auto" w:sz="6" w:space="1"/>
      </w:pBdr>
      <w:tabs>
        <w:tab w:val="center" w:pos="4153"/>
        <w:tab w:val="right" w:pos="8306"/>
      </w:tabs>
      <w:snapToGrid w:val="0"/>
      <w:jc w:val="right"/>
    </w:pPr>
    <w:rPr>
      <w:rFonts w:hint="eastAsia"/>
    </w:rPr>
  </w:style>
  <w:style w:type="paragraph" w:customStyle="1" w:styleId="28">
    <w:name w:val="页眉 New"/>
    <w:basedOn w:val="2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9">
    <w:name w:val="页脚 New New New"/>
    <w:basedOn w:val="30"/>
    <w:qFormat/>
    <w:uiPriority w:val="0"/>
    <w:pPr>
      <w:tabs>
        <w:tab w:val="center" w:pos="4153"/>
        <w:tab w:val="right" w:pos="8306"/>
      </w:tabs>
      <w:snapToGrid w:val="0"/>
      <w:jc w:val="left"/>
    </w:pPr>
    <w:rPr>
      <w:sz w:val="18"/>
    </w:rPr>
  </w:style>
  <w:style w:type="paragraph" w:customStyle="1" w:styleId="30">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31">
    <w:name w:val="页眉 New New"/>
    <w:basedOn w:val="3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2">
    <w:name w:val="正文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
    <w:name w:val="正文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
    <w:name w:val="页脚 New"/>
    <w:basedOn w:val="25"/>
    <w:qFormat/>
    <w:uiPriority w:val="0"/>
    <w:pPr>
      <w:tabs>
        <w:tab w:val="center" w:pos="4153"/>
        <w:tab w:val="right" w:pos="8306"/>
      </w:tabs>
      <w:snapToGrid w:val="0"/>
      <w:jc w:val="left"/>
    </w:pPr>
    <w:rPr>
      <w:sz w:val="18"/>
      <w:szCs w:val="18"/>
    </w:rPr>
  </w:style>
  <w:style w:type="paragraph" w:customStyle="1" w:styleId="35">
    <w:name w:val="页脚1"/>
    <w:basedOn w:val="1"/>
    <w:qFormat/>
    <w:uiPriority w:val="99"/>
    <w:pPr>
      <w:tabs>
        <w:tab w:val="center" w:pos="4153"/>
        <w:tab w:val="right" w:pos="8306"/>
      </w:tabs>
      <w:snapToGrid w:val="0"/>
      <w:jc w:val="right"/>
    </w:pPr>
    <w:rPr>
      <w:rFonts w:hint="eastAsia"/>
    </w:rPr>
  </w:style>
  <w:style w:type="paragraph" w:customStyle="1" w:styleId="36">
    <w:name w:val="正文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7">
    <w:name w:val="页脚 New New"/>
    <w:basedOn w:val="24"/>
    <w:qFormat/>
    <w:uiPriority w:val="0"/>
    <w:pPr>
      <w:tabs>
        <w:tab w:val="center" w:pos="4153"/>
        <w:tab w:val="right" w:pos="8306"/>
      </w:tabs>
      <w:snapToGrid w:val="0"/>
      <w:jc w:val="left"/>
    </w:pPr>
    <w:rPr>
      <w:sz w:val="18"/>
    </w:rPr>
  </w:style>
  <w:style w:type="paragraph" w:customStyle="1" w:styleId="38">
    <w:name w:val="页脚 New New New New"/>
    <w:basedOn w:val="39"/>
    <w:qFormat/>
    <w:uiPriority w:val="0"/>
    <w:pPr>
      <w:tabs>
        <w:tab w:val="center" w:pos="4153"/>
        <w:tab w:val="right" w:pos="8306"/>
      </w:tabs>
      <w:snapToGrid w:val="0"/>
      <w:jc w:val="left"/>
    </w:pPr>
    <w:rPr>
      <w:sz w:val="18"/>
      <w:szCs w:val="18"/>
    </w:rPr>
  </w:style>
  <w:style w:type="paragraph" w:customStyle="1" w:styleId="39">
    <w:name w:val="正文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styleId="40">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41">
    <w:name w:val="修订1"/>
    <w:qFormat/>
    <w:uiPriority w:val="99"/>
    <w:rPr>
      <w:rFonts w:ascii="Calibri" w:hAnsi="Calibri" w:eastAsia="宋体" w:cs="Times New Roman"/>
      <w:kern w:val="2"/>
      <w:sz w:val="21"/>
      <w:lang w:val="en-US" w:eastAsia="zh-CN" w:bidi="ar-SA"/>
    </w:rPr>
  </w:style>
  <w:style w:type="paragraph" w:customStyle="1" w:styleId="42">
    <w:name w:val="正文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3">
    <w:name w:val="正文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4">
    <w:name w:val="正文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5">
    <w:name w:val="正文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6">
    <w:name w:val="正文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7">
    <w:name w:val="正文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8">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49">
    <w:name w:val="标题 2 Char"/>
    <w:basedOn w:val="13"/>
    <w:link w:val="3"/>
    <w:qFormat/>
    <w:uiPriority w:val="0"/>
    <w:rPr>
      <w:rFonts w:ascii="Arial" w:hAnsi="Arial" w:eastAsia="黑体" w:cs="宋体"/>
      <w:kern w:val="2"/>
      <w:sz w:val="32"/>
      <w:szCs w:val="22"/>
    </w:rPr>
  </w:style>
  <w:style w:type="character" w:customStyle="1" w:styleId="50">
    <w:name w:val="标题 1 Char"/>
    <w:basedOn w:val="13"/>
    <w:link w:val="2"/>
    <w:qFormat/>
    <w:uiPriority w:val="9"/>
    <w:rPr>
      <w:rFonts w:ascii="Calibri" w:hAnsi="Calibri"/>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ccdf083d-8660-4c33-82d2-ce929faf7bd5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5AEF63AE</paraID>
      <start>0</start>
      <end>2</end>
      <status>unmodified</status>
      <modifiedWord/>
      <trackRevisions>false</trackRevisions>
    </reviewItem>
    <reviewItem>
      <errorID>00f97056-d7e8-4437-a1d7-18b5875663fd</errorID>
      <errorWord>:</errorWord>
      <group>L1_Format</group>
      <groupName>格式问题</groupName>
      <ability>L2_HalfPunc</ability>
      <abilityName>全半角检查</abilityName>
      <candidateList>
        <item>：</item>
      </candidateList>
      <explain>文本全半角错误。</explain>
      <paraID>5AEF63AE</paraID>
      <start>3</start>
      <end>4</end>
      <status>modified</status>
      <modifiedWord>：</modifiedWord>
      <trackRevisions>false</trackRevisions>
    </reviewItem>
    <reviewItem>
      <errorID>0c972ab1-b550-43f2-bc16-1b15e02a006b</errorID>
      <errorWord>:</errorWord>
      <group>L1_Format</group>
      <groupName>格式问题</groupName>
      <ability>L2_HalfPunc</ability>
      <abilityName>全半角检查</abilityName>
      <candidateList>
        <item>：</item>
      </candidateList>
      <explain>文本全半角错误。</explain>
      <paraID>313B5953</paraID>
      <start>1</start>
      <end>2</end>
      <status>modified</status>
      <modifiedWord>：</modifiedWord>
      <trackRevisions>false</trackRevisions>
    </reviewItem>
    <reviewItem>
      <errorID>eeca59ab-f420-4820-9568-1a49be7f9d46</errorID>
      <errorWord>根据中国民爆信息网数据显示</errorWord>
      <group>L1_Word</group>
      <groupName>字词问题</groupName>
      <ability>L2_Typo</ability>
      <abilityName>字词错误</abilityName>
      <candidateList>
        <item>根据中国民爆信息网数据</item>
      </candidateList>
      <explain/>
      <paraID>313B5953</paraID>
      <start>5</start>
      <end>16</end>
      <status>modified</status>
      <modifiedWord>根据中国民爆信息网数据</modifiedWord>
      <trackRevisions>false</trackRevisions>
    </reviewItem>
    <reviewItem>
      <errorID>2fd2c2e4-f355-44b2-a47f-57a7a33b6c97</errorID>
      <errorWord>供电控制系统</errorWord>
      <group>L1_Knowledge</group>
      <groupName>知识性问题</groupName>
      <ability>L2_Term</ability>
      <abilityName>专业术语</abilityName>
      <candidateList>
        <item>继电控制系统</item>
      </candidateList>
      <explain/>
      <paraID>744EAE40</paraID>
      <start>182</start>
      <end>188</end>
      <status>unmodified</status>
      <modifiedWord/>
      <trackRevisions>false</trackRevisions>
    </reviewItem>
    <reviewItem>
      <errorID>37862fbc-0fdc-4eab-8b28-23b745796720</errorID>
      <errorWord>、和</errorWord>
      <group>L1_Punc</group>
      <groupName>标点问题</groupName>
      <ability>L2_Punc</ability>
      <abilityName>标点符号检查</abilityName>
      <candidateList>
        <item>和</item>
      </candidateList>
      <explain>“及”“和”“等”连词前不宜使用顿号，建议删除（或使用逗号）。</explain>
      <paraID>46E94F47</paraID>
      <start>12</start>
      <end>13</end>
      <status>modified</status>
      <modifiedWord>和</modifiedWord>
      <trackRevisions>false</trackRevisions>
    </reviewItem>
    <reviewItem>
      <errorID>7759b776-3447-4957-bafc-2681105571ba</errorID>
      <errorWord>:</errorWord>
      <group>L1_Format</group>
      <groupName>格式问题</groupName>
      <ability>L2_HalfPunc</ability>
      <abilityName>全半角检查</abilityName>
      <candidateList>
        <item>：</item>
      </candidateList>
      <explain>文本全半角错误。</explain>
      <paraID>58BE0DEC</paraID>
      <start>1</start>
      <end>2</end>
      <status>modified</status>
      <modifiedWord>：</modifiedWord>
      <trackRevisions>false</trackRevisions>
    </reviewItem>
    <reviewItem>
      <errorID>02730641-5c4b-411c-a764-003e4874d250</errorID>
      <errorWord>:</errorWord>
      <group>L1_Format</group>
      <groupName>格式问题</groupName>
      <ability>L2_HalfPunc</ability>
      <abilityName>全半角检查</abilityName>
      <candidateList>
        <item>：</item>
      </candidateList>
      <explain>文本全半角错误。</explain>
      <paraID>690272D2</paraID>
      <start>1</start>
      <end>2</end>
      <status>modified</status>
      <modifiedWord>：</modifiedWord>
      <trackRevisions>false</trackRevisions>
    </reviewItem>
    <reviewItem>
      <errorID>4cc94453-dd87-44d0-ba2e-bd9bda303aad</errorID>
      <errorWord>:</errorWord>
      <group>L1_Format</group>
      <groupName>格式问题</groupName>
      <ability>L2_HalfPunc</ability>
      <abilityName>全半角检查</abilityName>
      <candidateList>
        <item>：</item>
      </candidateList>
      <explain>文本全半角错误。</explain>
      <paraID>1B6FCCF3</paraID>
      <start>1</start>
      <end>2</end>
      <status>modified</status>
      <modifiedWord>：</modifiedWord>
      <trackRevisions>false</trackRevisions>
    </reviewItem>
    <reviewItem>
      <errorID>27a22fd9-9d05-416c-9427-347fbf263c52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3EE16314</paraID>
      <start>146</start>
      <end>147</end>
      <status>modified</status>
      <modifiedWord>地</modifiedWord>
      <trackRevisions>false</trackRevisions>
    </reviewItem>
    <reviewItem>
      <errorID>e21e0259-9a46-4118-881a-f459cbc1b494</errorID>
      <errorWord>，</errorWord>
      <group>L1_Word</group>
      <groupName>字词问题</groupName>
      <ability>L2_Typo</ability>
      <abilityName>字词错误</abilityName>
      <candidateList>
        <item>，有</item>
      </candidateList>
      <explain/>
      <paraID>3EE16314</paraID>
      <start>170</start>
      <end>172</end>
      <status>modified</status>
      <modifiedWord>，有</modifiedWord>
      <trackRevisions>false</trackRevisions>
    </reviewItem>
    <reviewItem>
      <errorID>7875d294-96f2-4bc2-bf19-1c6c9f796957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21ED97A3</paraID>
      <start>0</start>
      <end>2</end>
      <status>modified</status>
      <modifiedWord>6.</modifiedWord>
      <trackRevisions>false</trackRevisions>
    </reviewItem>
    <reviewItem>
      <errorID>4419aece-aa29-4ccd-9a50-2ff5208b1ed6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77CD6ACC</paraID>
      <start>0</start>
      <end>2</end>
      <status>modified</status>
      <modifiedWord>7.</modifiedWord>
      <trackRevisions>false</trackRevisions>
    </reviewItem>
    <reviewItem>
      <errorID>4acfe244-ac9e-4961-a053-06fd31c39767</errorID>
      <errorWord>:</errorWord>
      <group>L1_Format</group>
      <groupName>格式问题</groupName>
      <ability>L2_HalfPunc</ability>
      <abilityName>全半角检查</abilityName>
      <candidateList>
        <item>：</item>
      </candidateList>
      <explain>文本全半角错误。</explain>
      <paraID>77CD6ACC</paraID>
      <start>3</start>
      <end>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5A11199F-0219-4489-8C69-34542BDA800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1550</Words>
  <Characters>1698</Characters>
  <Lines>15</Lines>
  <Paragraphs>4</Paragraphs>
  <TotalTime>43</TotalTime>
  <ScaleCrop>false</ScaleCrop>
  <LinksUpToDate>false</LinksUpToDate>
  <CharactersWithSpaces>1787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2025-12-10T05:08:00Z</dcterms:created>
  <dc:creator>Administrator</dc:creator>
  <cp:lastModifiedBy>郭辉</cp:lastModifiedBy>
  <cp:lastPrinted>2025-12-11T08:00:00Z</cp:lastPrinted>
  <dcterms:modified xsi:type="dcterms:W3CDTF">2025-12-11T10:06:10Z</dcterms:modified>
  <dc:title>投资者关系活动记录表</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050133940BE641939D4B8903B85C468E_13</vt:lpwstr>
  </property>
  <property fmtid="{D5CDD505-2E9C-101B-9397-08002B2CF9AE}" pid="4" name="KSOTemplateDocerSaveRecord">
    <vt:lpwstr>eyJoZGlkIjoiOTYzYjg5NzJmMjE3YWM3NWQ2Mzg1MDAyNjc5MjRlMDMiLCJ1c2VySWQiOiIxNjE4NDcyNzA4In0=</vt:lpwstr>
  </property>
</Properties>
</file>