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7E82" w14:textId="77777777" w:rsidR="00C70D4B" w:rsidRDefault="00000000">
      <w:pPr>
        <w:spacing w:afterLines="50" w:after="156" w:line="400" w:lineRule="exact"/>
        <w:jc w:val="center"/>
        <w:rPr>
          <w:rFonts w:cs="方正小标宋_GBK"/>
          <w:b/>
          <w:bCs/>
          <w:iCs/>
          <w:color w:val="000000"/>
          <w:sz w:val="24"/>
        </w:rPr>
      </w:pPr>
      <w:r>
        <w:rPr>
          <w:rFonts w:cs="方正小标宋_GBK" w:hint="eastAsia"/>
          <w:b/>
          <w:bCs/>
          <w:iCs/>
          <w:color w:val="000000"/>
          <w:sz w:val="24"/>
        </w:rPr>
        <w:t>证券代码：</w:t>
      </w:r>
      <w:r>
        <w:rPr>
          <w:rFonts w:cs="方正小标宋_GBK" w:hint="eastAsia"/>
          <w:b/>
          <w:bCs/>
          <w:iCs/>
          <w:color w:val="000000"/>
          <w:sz w:val="24"/>
        </w:rPr>
        <w:t>60</w:t>
      </w:r>
      <w:r>
        <w:rPr>
          <w:rFonts w:cs="方正小标宋_GBK"/>
          <w:b/>
          <w:bCs/>
          <w:iCs/>
          <w:color w:val="000000"/>
          <w:sz w:val="24"/>
        </w:rPr>
        <w:t>0970</w:t>
      </w:r>
      <w:r>
        <w:rPr>
          <w:rFonts w:cs="方正小标宋_GBK" w:hint="eastAsia"/>
          <w:b/>
          <w:bCs/>
          <w:iCs/>
          <w:color w:val="000000"/>
          <w:sz w:val="24"/>
        </w:rPr>
        <w:t xml:space="preserve">                                    </w:t>
      </w:r>
      <w:r>
        <w:rPr>
          <w:rFonts w:cs="方正小标宋_GBK" w:hint="eastAsia"/>
          <w:b/>
          <w:bCs/>
          <w:iCs/>
          <w:color w:val="000000"/>
          <w:sz w:val="24"/>
        </w:rPr>
        <w:t>证券简称：中材国际</w:t>
      </w:r>
    </w:p>
    <w:p w14:paraId="34822149" w14:textId="77777777" w:rsidR="00C70D4B" w:rsidRDefault="00000000">
      <w:pPr>
        <w:spacing w:beforeLines="150" w:before="468" w:afterLines="50" w:after="156" w:line="400" w:lineRule="exact"/>
        <w:jc w:val="center"/>
        <w:rPr>
          <w:rFonts w:ascii="方正小标宋_GBK" w:eastAsia="方正小标宋_GBK" w:hAnsi="方正小标宋_GBK" w:cs="方正小标宋_GBK" w:hint="eastAsia"/>
          <w:bCs/>
          <w:iCs/>
          <w:color w:val="000000"/>
          <w:sz w:val="32"/>
          <w:szCs w:val="32"/>
        </w:rPr>
      </w:pPr>
      <w:r>
        <w:rPr>
          <w:rFonts w:ascii="方正小标宋_GBK" w:eastAsia="方正小标宋_GBK" w:hAnsi="方正小标宋_GBK" w:cs="方正小标宋_GBK" w:hint="eastAsia"/>
          <w:bCs/>
          <w:iCs/>
          <w:color w:val="000000"/>
          <w:sz w:val="32"/>
          <w:szCs w:val="32"/>
        </w:rPr>
        <w:t>中国中</w:t>
      </w:r>
      <w:proofErr w:type="gramStart"/>
      <w:r>
        <w:rPr>
          <w:rFonts w:ascii="方正小标宋_GBK" w:eastAsia="方正小标宋_GBK" w:hAnsi="方正小标宋_GBK" w:cs="方正小标宋_GBK" w:hint="eastAsia"/>
          <w:bCs/>
          <w:iCs/>
          <w:color w:val="000000"/>
          <w:sz w:val="32"/>
          <w:szCs w:val="32"/>
        </w:rPr>
        <w:t>材国际</w:t>
      </w:r>
      <w:proofErr w:type="gramEnd"/>
      <w:r>
        <w:rPr>
          <w:rFonts w:ascii="方正小标宋_GBK" w:eastAsia="方正小标宋_GBK" w:hAnsi="方正小标宋_GBK" w:cs="方正小标宋_GBK" w:hint="eastAsia"/>
          <w:bCs/>
          <w:iCs/>
          <w:color w:val="000000"/>
          <w:sz w:val="32"/>
          <w:szCs w:val="32"/>
        </w:rPr>
        <w:t>工程股份有限公司投资者沟通情况</w:t>
      </w:r>
    </w:p>
    <w:p w14:paraId="7F43C21C" w14:textId="77777777" w:rsidR="00C70D4B" w:rsidRDefault="00C70D4B">
      <w:pPr>
        <w:rPr>
          <w:sz w:val="15"/>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8363"/>
      </w:tblGrid>
      <w:tr w:rsidR="00C70D4B" w14:paraId="356530FA" w14:textId="77777777">
        <w:trPr>
          <w:trHeight w:val="1071"/>
          <w:jc w:val="center"/>
        </w:trPr>
        <w:tc>
          <w:tcPr>
            <w:tcW w:w="1814" w:type="dxa"/>
            <w:vAlign w:val="center"/>
          </w:tcPr>
          <w:p w14:paraId="657AAF25" w14:textId="77777777" w:rsidR="00C70D4B" w:rsidRDefault="00000000">
            <w:pPr>
              <w:snapToGrid w:val="0"/>
              <w:rPr>
                <w:rFonts w:cs="方正黑体_GBK"/>
                <w:bCs/>
                <w:iCs/>
                <w:color w:val="000000"/>
                <w:sz w:val="24"/>
              </w:rPr>
            </w:pPr>
            <w:r>
              <w:rPr>
                <w:rFonts w:cs="方正黑体_GBK" w:hint="eastAsia"/>
                <w:bCs/>
                <w:iCs/>
                <w:color w:val="000000"/>
                <w:sz w:val="24"/>
              </w:rPr>
              <w:t>活动类别</w:t>
            </w:r>
          </w:p>
        </w:tc>
        <w:tc>
          <w:tcPr>
            <w:tcW w:w="8363" w:type="dxa"/>
            <w:tcBorders>
              <w:bottom w:val="single" w:sz="4" w:space="0" w:color="auto"/>
            </w:tcBorders>
            <w:vAlign w:val="center"/>
          </w:tcPr>
          <w:p w14:paraId="2E9E0BC3" w14:textId="77777777" w:rsidR="00C70D4B" w:rsidRDefault="00000000">
            <w:pPr>
              <w:autoSpaceDE w:val="0"/>
              <w:autoSpaceDN w:val="0"/>
              <w:adjustRightInd w:val="0"/>
              <w:snapToGrid w:val="0"/>
              <w:spacing w:line="440" w:lineRule="exact"/>
              <w:rPr>
                <w:rFonts w:cs="MS Mincho"/>
                <w:sz w:val="24"/>
              </w:rPr>
            </w:pPr>
            <w:r>
              <w:rPr>
                <w:rFonts w:cs="MS Mincho" w:hint="eastAsia"/>
                <w:sz w:val="24"/>
              </w:rPr>
              <w:t>□特定对象调研</w:t>
            </w:r>
            <w:r>
              <w:rPr>
                <w:rFonts w:cs="MS Mincho"/>
                <w:sz w:val="24"/>
              </w:rPr>
              <w:t xml:space="preserve">      </w:t>
            </w:r>
            <w:r>
              <w:rPr>
                <w:rFonts w:cs="MS Mincho" w:hint="eastAsia"/>
                <w:sz w:val="24"/>
              </w:rPr>
              <w:t>□现场参观</w:t>
            </w:r>
            <w:r>
              <w:rPr>
                <w:rFonts w:cs="MS Mincho" w:hint="eastAsia"/>
                <w:sz w:val="24"/>
              </w:rPr>
              <w:t xml:space="preserve">        </w:t>
            </w:r>
            <w:r>
              <w:rPr>
                <w:rFonts w:cs="MS Mincho" w:hint="eastAsia"/>
                <w:sz w:val="24"/>
              </w:rPr>
              <w:t>□媒体采访</w:t>
            </w:r>
            <w:r>
              <w:rPr>
                <w:rFonts w:cs="MS Mincho"/>
                <w:sz w:val="24"/>
              </w:rPr>
              <w:t xml:space="preserve">     </w:t>
            </w:r>
            <w:r>
              <w:rPr>
                <w:rFonts w:cs="MS Mincho" w:hint="eastAsia"/>
                <w:sz w:val="24"/>
              </w:rPr>
              <w:sym w:font="Wingdings" w:char="F0FE"/>
            </w:r>
            <w:r>
              <w:rPr>
                <w:rFonts w:cs="MS Mincho" w:hint="eastAsia"/>
                <w:sz w:val="24"/>
              </w:rPr>
              <w:t>券商策略会</w:t>
            </w:r>
          </w:p>
          <w:p w14:paraId="00361235" w14:textId="77777777" w:rsidR="00C70D4B" w:rsidRDefault="00000000">
            <w:pPr>
              <w:autoSpaceDE w:val="0"/>
              <w:autoSpaceDN w:val="0"/>
              <w:adjustRightInd w:val="0"/>
              <w:snapToGrid w:val="0"/>
              <w:spacing w:line="440" w:lineRule="exact"/>
              <w:rPr>
                <w:bCs/>
                <w:iCs/>
                <w:color w:val="000000"/>
                <w:sz w:val="24"/>
              </w:rPr>
            </w:pPr>
            <w:r>
              <w:rPr>
                <w:rFonts w:cs="MS Mincho" w:hint="eastAsia"/>
                <w:sz w:val="24"/>
              </w:rPr>
              <w:t>□业绩说明会</w:t>
            </w:r>
            <w:r>
              <w:rPr>
                <w:rFonts w:cs="MS Mincho" w:hint="eastAsia"/>
                <w:sz w:val="24"/>
              </w:rPr>
              <w:t xml:space="preserve">        </w:t>
            </w:r>
            <w:r>
              <w:rPr>
                <w:rFonts w:cs="MS Mincho" w:hint="eastAsia"/>
                <w:sz w:val="24"/>
              </w:rPr>
              <w:t>□新闻发布会</w:t>
            </w:r>
            <w:r>
              <w:rPr>
                <w:rFonts w:cs="MS Mincho"/>
                <w:sz w:val="24"/>
              </w:rPr>
              <w:t xml:space="preserve">      </w:t>
            </w:r>
            <w:r>
              <w:rPr>
                <w:rFonts w:cs="MS Mincho" w:hint="eastAsia"/>
                <w:sz w:val="24"/>
              </w:rPr>
              <w:sym w:font="Wingdings" w:char="F0FE"/>
            </w:r>
            <w:r>
              <w:rPr>
                <w:rFonts w:cs="MS Mincho" w:hint="eastAsia"/>
                <w:sz w:val="24"/>
              </w:rPr>
              <w:t>路演活动</w:t>
            </w:r>
            <w:r>
              <w:rPr>
                <w:rFonts w:cs="MS Mincho"/>
                <w:sz w:val="24"/>
              </w:rPr>
              <w:t xml:space="preserve">     </w:t>
            </w:r>
            <w:r>
              <w:rPr>
                <w:rFonts w:cs="MS Mincho" w:hint="eastAsia"/>
                <w:sz w:val="24"/>
              </w:rPr>
              <w:t>□电话会议</w:t>
            </w:r>
          </w:p>
        </w:tc>
      </w:tr>
      <w:tr w:rsidR="00C70D4B" w14:paraId="1AE38A82" w14:textId="77777777">
        <w:trPr>
          <w:trHeight w:val="855"/>
          <w:jc w:val="center"/>
        </w:trPr>
        <w:tc>
          <w:tcPr>
            <w:tcW w:w="1814" w:type="dxa"/>
            <w:vAlign w:val="center"/>
          </w:tcPr>
          <w:p w14:paraId="0614C9BB" w14:textId="77777777" w:rsidR="00C70D4B" w:rsidRDefault="00000000">
            <w:pPr>
              <w:snapToGrid w:val="0"/>
              <w:rPr>
                <w:rFonts w:ascii="宋体" w:hAnsi="宋体" w:cs="方正黑体_GBK" w:hint="eastAsia"/>
                <w:bCs/>
                <w:iCs/>
                <w:color w:val="000000"/>
                <w:sz w:val="24"/>
              </w:rPr>
            </w:pPr>
            <w:r>
              <w:rPr>
                <w:rFonts w:ascii="宋体" w:hAnsi="宋体" w:cs="方正黑体_GBK" w:hint="eastAsia"/>
                <w:bCs/>
                <w:iCs/>
                <w:color w:val="000000"/>
                <w:sz w:val="24"/>
              </w:rPr>
              <w:t>活动时间</w:t>
            </w:r>
          </w:p>
        </w:tc>
        <w:tc>
          <w:tcPr>
            <w:tcW w:w="8363" w:type="dxa"/>
            <w:tcBorders>
              <w:top w:val="single" w:sz="4" w:space="0" w:color="auto"/>
            </w:tcBorders>
            <w:vAlign w:val="center"/>
          </w:tcPr>
          <w:p w14:paraId="668BC3CD" w14:textId="77777777" w:rsidR="00C70D4B" w:rsidRDefault="00000000">
            <w:pPr>
              <w:autoSpaceDE w:val="0"/>
              <w:autoSpaceDN w:val="0"/>
              <w:adjustRightInd w:val="0"/>
              <w:snapToGrid w:val="0"/>
              <w:rPr>
                <w:rFonts w:ascii="宋体" w:hAnsi="宋体" w:hint="eastAsia"/>
                <w:bCs/>
                <w:iCs/>
                <w:color w:val="000000"/>
                <w:sz w:val="24"/>
              </w:rPr>
            </w:pPr>
            <w:r>
              <w:rPr>
                <w:rFonts w:ascii="宋体" w:hAnsi="宋体" w:cs="MS Mincho" w:hint="eastAsia"/>
                <w:sz w:val="24"/>
              </w:rPr>
              <w:t>2025年11月3日-2025年11月28日</w:t>
            </w:r>
          </w:p>
        </w:tc>
      </w:tr>
      <w:tr w:rsidR="00C70D4B" w14:paraId="48E393FD" w14:textId="77777777">
        <w:trPr>
          <w:trHeight w:val="852"/>
          <w:jc w:val="center"/>
        </w:trPr>
        <w:tc>
          <w:tcPr>
            <w:tcW w:w="1814" w:type="dxa"/>
            <w:vAlign w:val="center"/>
          </w:tcPr>
          <w:p w14:paraId="26455A72" w14:textId="77777777" w:rsidR="00C70D4B" w:rsidRDefault="00000000">
            <w:pPr>
              <w:autoSpaceDE w:val="0"/>
              <w:autoSpaceDN w:val="0"/>
              <w:adjustRightInd w:val="0"/>
              <w:snapToGrid w:val="0"/>
              <w:rPr>
                <w:rFonts w:ascii="宋体" w:hAnsi="宋体" w:cs="MS Mincho" w:hint="eastAsia"/>
                <w:sz w:val="24"/>
              </w:rPr>
            </w:pPr>
            <w:r>
              <w:rPr>
                <w:rFonts w:ascii="宋体" w:hAnsi="宋体" w:cs="MS Mincho" w:hint="eastAsia"/>
                <w:sz w:val="24"/>
              </w:rPr>
              <w:t>公司接待人员</w:t>
            </w:r>
          </w:p>
        </w:tc>
        <w:tc>
          <w:tcPr>
            <w:tcW w:w="8363" w:type="dxa"/>
            <w:vAlign w:val="center"/>
          </w:tcPr>
          <w:p w14:paraId="4DAB8A40" w14:textId="77777777" w:rsidR="00C70D4B" w:rsidRDefault="00000000">
            <w:pPr>
              <w:autoSpaceDE w:val="0"/>
              <w:autoSpaceDN w:val="0"/>
              <w:adjustRightInd w:val="0"/>
              <w:snapToGrid w:val="0"/>
              <w:spacing w:beforeLines="50" w:before="156" w:afterLines="50" w:after="156"/>
              <w:rPr>
                <w:rFonts w:ascii="宋体" w:hAnsi="宋体" w:cs="MS Mincho" w:hint="eastAsia"/>
                <w:sz w:val="24"/>
              </w:rPr>
            </w:pPr>
            <w:r>
              <w:rPr>
                <w:rFonts w:ascii="宋体" w:hAnsi="宋体" w:cs="MS Mincho" w:hint="eastAsia"/>
                <w:sz w:val="24"/>
              </w:rPr>
              <w:t>副总裁、董事会秘书曾暄及相关人员</w:t>
            </w:r>
          </w:p>
        </w:tc>
      </w:tr>
      <w:tr w:rsidR="00C70D4B" w14:paraId="0511D57D" w14:textId="77777777">
        <w:trPr>
          <w:trHeight w:val="1044"/>
          <w:jc w:val="center"/>
        </w:trPr>
        <w:tc>
          <w:tcPr>
            <w:tcW w:w="1814" w:type="dxa"/>
            <w:vAlign w:val="center"/>
          </w:tcPr>
          <w:p w14:paraId="5DB12979" w14:textId="77777777" w:rsidR="00C70D4B" w:rsidRDefault="00000000">
            <w:pPr>
              <w:autoSpaceDE w:val="0"/>
              <w:autoSpaceDN w:val="0"/>
              <w:adjustRightInd w:val="0"/>
              <w:snapToGrid w:val="0"/>
              <w:rPr>
                <w:rFonts w:ascii="宋体" w:hAnsi="宋体" w:cs="MS Mincho" w:hint="eastAsia"/>
                <w:sz w:val="24"/>
              </w:rPr>
            </w:pPr>
            <w:r>
              <w:rPr>
                <w:rFonts w:ascii="宋体" w:hAnsi="宋体" w:cs="MS Mincho" w:hint="eastAsia"/>
                <w:sz w:val="24"/>
              </w:rPr>
              <w:t>参与单位名称及人员</w:t>
            </w:r>
          </w:p>
        </w:tc>
        <w:tc>
          <w:tcPr>
            <w:tcW w:w="8363" w:type="dxa"/>
            <w:vAlign w:val="center"/>
          </w:tcPr>
          <w:p w14:paraId="7090FB9E" w14:textId="77777777" w:rsidR="00C70D4B" w:rsidRDefault="00000000">
            <w:pPr>
              <w:autoSpaceDE w:val="0"/>
              <w:autoSpaceDN w:val="0"/>
              <w:adjustRightInd w:val="0"/>
              <w:snapToGrid w:val="0"/>
              <w:spacing w:beforeLines="100" w:before="312" w:afterLines="50" w:after="156" w:line="360" w:lineRule="auto"/>
              <w:rPr>
                <w:rFonts w:ascii="宋体" w:hAnsi="宋体" w:cs="MS Mincho" w:hint="eastAsia"/>
                <w:sz w:val="24"/>
              </w:rPr>
            </w:pPr>
            <w:r>
              <w:rPr>
                <w:rFonts w:ascii="宋体" w:hAnsi="宋体" w:cs="MS Mincho" w:hint="eastAsia"/>
                <w:sz w:val="24"/>
              </w:rPr>
              <w:t>光大证券、国盛证券、中金公司、广发证券、</w:t>
            </w:r>
            <w:proofErr w:type="gramStart"/>
            <w:r>
              <w:rPr>
                <w:rFonts w:ascii="宋体" w:hAnsi="宋体" w:cs="MS Mincho" w:hint="eastAsia"/>
                <w:sz w:val="24"/>
              </w:rPr>
              <w:t>汇添富</w:t>
            </w:r>
            <w:proofErr w:type="gramEnd"/>
            <w:r>
              <w:rPr>
                <w:rFonts w:ascii="宋体" w:hAnsi="宋体" w:cs="MS Mincho" w:hint="eastAsia"/>
                <w:sz w:val="24"/>
              </w:rPr>
              <w:t>基金、平安养老、</w:t>
            </w:r>
            <w:proofErr w:type="gramStart"/>
            <w:r>
              <w:rPr>
                <w:rFonts w:ascii="宋体" w:hAnsi="宋体" w:cs="MS Mincho" w:hint="eastAsia"/>
                <w:sz w:val="24"/>
              </w:rPr>
              <w:t>睿</w:t>
            </w:r>
            <w:proofErr w:type="gramEnd"/>
            <w:r>
              <w:rPr>
                <w:rFonts w:ascii="宋体" w:hAnsi="宋体" w:cs="MS Mincho" w:hint="eastAsia"/>
                <w:sz w:val="24"/>
              </w:rPr>
              <w:t>远基金、财通基金、招商基金、中欧基金、东方红、华能贵诚信托、华夏久盈、大家资产、阳光资产、农银人寿、</w:t>
            </w:r>
            <w:proofErr w:type="gramStart"/>
            <w:r>
              <w:rPr>
                <w:rFonts w:ascii="宋体" w:hAnsi="宋体" w:cs="MS Mincho" w:hint="eastAsia"/>
                <w:sz w:val="24"/>
              </w:rPr>
              <w:t>天弘基金</w:t>
            </w:r>
            <w:proofErr w:type="gramEnd"/>
            <w:r>
              <w:rPr>
                <w:rFonts w:ascii="宋体" w:hAnsi="宋体" w:cs="MS Mincho" w:hint="eastAsia"/>
                <w:sz w:val="24"/>
              </w:rPr>
              <w:t>、光大永</w:t>
            </w:r>
            <w:proofErr w:type="gramStart"/>
            <w:r>
              <w:rPr>
                <w:rFonts w:ascii="宋体" w:hAnsi="宋体" w:cs="MS Mincho" w:hint="eastAsia"/>
                <w:sz w:val="24"/>
              </w:rPr>
              <w:t>明资管、招商信</w:t>
            </w:r>
            <w:proofErr w:type="gramEnd"/>
            <w:r>
              <w:rPr>
                <w:rFonts w:ascii="宋体" w:hAnsi="宋体" w:cs="MS Mincho" w:hint="eastAsia"/>
                <w:sz w:val="24"/>
              </w:rPr>
              <w:t>诺、新华资产、国寿资产、Robeco、GIC、广发基金、南方基金、宝盈基金、鹏华基金、大成基金、长城基金、景顺长城基金、国联基金、博时基金</w:t>
            </w:r>
          </w:p>
        </w:tc>
      </w:tr>
      <w:tr w:rsidR="00C70D4B" w14:paraId="3D9D3E91" w14:textId="77777777">
        <w:trPr>
          <w:jc w:val="center"/>
        </w:trPr>
        <w:tc>
          <w:tcPr>
            <w:tcW w:w="1814" w:type="dxa"/>
            <w:vAlign w:val="center"/>
          </w:tcPr>
          <w:p w14:paraId="1837BDE8" w14:textId="77777777" w:rsidR="00C70D4B" w:rsidRDefault="00000000">
            <w:pPr>
              <w:spacing w:line="440" w:lineRule="exact"/>
              <w:rPr>
                <w:rFonts w:ascii="宋体" w:hAnsi="宋体" w:cs="方正黑体_GBK" w:hint="eastAsia"/>
                <w:bCs/>
                <w:iCs/>
                <w:color w:val="000000"/>
                <w:sz w:val="24"/>
              </w:rPr>
            </w:pPr>
            <w:r>
              <w:rPr>
                <w:rFonts w:ascii="宋体" w:hAnsi="宋体" w:cs="方正黑体_GBK" w:hint="eastAsia"/>
                <w:bCs/>
                <w:iCs/>
                <w:color w:val="000000"/>
                <w:sz w:val="24"/>
              </w:rPr>
              <w:t>主要内容</w:t>
            </w:r>
          </w:p>
        </w:tc>
        <w:tc>
          <w:tcPr>
            <w:tcW w:w="8363" w:type="dxa"/>
          </w:tcPr>
          <w:p w14:paraId="2D7D282D" w14:textId="77777777" w:rsidR="00C70D4B" w:rsidRDefault="00000000">
            <w:pPr>
              <w:autoSpaceDE w:val="0"/>
              <w:autoSpaceDN w:val="0"/>
              <w:adjustRightInd w:val="0"/>
              <w:snapToGrid w:val="0"/>
              <w:spacing w:beforeLines="100" w:before="312" w:afterLines="50" w:after="156" w:line="360" w:lineRule="auto"/>
              <w:rPr>
                <w:rFonts w:ascii="宋体" w:hAnsi="宋体" w:cs="MS Mincho" w:hint="eastAsia"/>
                <w:sz w:val="24"/>
              </w:rPr>
            </w:pPr>
            <w:r>
              <w:rPr>
                <w:rFonts w:ascii="宋体" w:hAnsi="宋体" w:cs="Arial" w:hint="eastAsia"/>
                <w:b/>
                <w:sz w:val="24"/>
              </w:rPr>
              <w:t>一</w:t>
            </w:r>
            <w:r>
              <w:rPr>
                <w:rFonts w:ascii="宋体" w:hAnsi="宋体" w:cs="MS Mincho" w:hint="eastAsia"/>
                <w:sz w:val="24"/>
              </w:rPr>
              <w:t>、介绍公司2025年前三季度经营情况及未来展望</w:t>
            </w:r>
          </w:p>
          <w:p w14:paraId="67D91478" w14:textId="77777777" w:rsidR="00C70D4B" w:rsidRDefault="00000000">
            <w:pPr>
              <w:autoSpaceDE w:val="0"/>
              <w:autoSpaceDN w:val="0"/>
              <w:adjustRightInd w:val="0"/>
              <w:snapToGrid w:val="0"/>
              <w:spacing w:beforeLines="100" w:before="312" w:afterLines="50" w:after="156" w:line="360" w:lineRule="auto"/>
              <w:rPr>
                <w:rFonts w:ascii="宋体" w:hAnsi="宋体" w:cs="MS Mincho" w:hint="eastAsia"/>
                <w:sz w:val="24"/>
              </w:rPr>
            </w:pPr>
            <w:r>
              <w:rPr>
                <w:rFonts w:ascii="宋体" w:hAnsi="宋体" w:cs="MS Mincho" w:hint="eastAsia"/>
                <w:sz w:val="24"/>
              </w:rPr>
              <w:t>2025年前三季度，中</w:t>
            </w:r>
            <w:proofErr w:type="gramStart"/>
            <w:r>
              <w:rPr>
                <w:rFonts w:ascii="宋体" w:hAnsi="宋体" w:cs="MS Mincho" w:hint="eastAsia"/>
                <w:sz w:val="24"/>
              </w:rPr>
              <w:t>材国际</w:t>
            </w:r>
            <w:proofErr w:type="gramEnd"/>
            <w:r>
              <w:rPr>
                <w:rFonts w:ascii="宋体" w:hAnsi="宋体" w:cs="MS Mincho" w:hint="eastAsia"/>
                <w:sz w:val="24"/>
              </w:rPr>
              <w:t>实现营业收入329.98亿元，同比增长3.99%；实现归属于上市公司股东的净利润20.74亿元，同比增长0.68%；新签合同总额598.82亿元，同比增长13%；截至2025年9月末，未完合同额为668.56亿元，为公司持续发展提供有力支撑。</w:t>
            </w:r>
          </w:p>
          <w:p w14:paraId="16C2E5D4" w14:textId="77777777" w:rsidR="00C70D4B" w:rsidRDefault="00000000">
            <w:pPr>
              <w:autoSpaceDE w:val="0"/>
              <w:autoSpaceDN w:val="0"/>
              <w:adjustRightInd w:val="0"/>
              <w:snapToGrid w:val="0"/>
              <w:spacing w:beforeLines="100" w:before="312" w:afterLines="50" w:after="156" w:line="360" w:lineRule="auto"/>
              <w:rPr>
                <w:rFonts w:ascii="宋体" w:hAnsi="宋体" w:cs="MS Mincho" w:hint="eastAsia"/>
                <w:sz w:val="24"/>
              </w:rPr>
            </w:pPr>
            <w:r>
              <w:rPr>
                <w:rFonts w:ascii="宋体" w:hAnsi="宋体" w:cs="MS Mincho" w:hint="eastAsia"/>
                <w:sz w:val="24"/>
              </w:rPr>
              <w:t>公司将坚持“稳中求进、以进促稳”工作总基调，紧盯“</w:t>
            </w:r>
            <w:proofErr w:type="gramStart"/>
            <w:r>
              <w:rPr>
                <w:rFonts w:ascii="宋体" w:hAnsi="宋体" w:cs="MS Mincho" w:hint="eastAsia"/>
                <w:sz w:val="24"/>
              </w:rPr>
              <w:t>一利五率</w:t>
            </w:r>
            <w:proofErr w:type="gramEnd"/>
            <w:r>
              <w:rPr>
                <w:rFonts w:ascii="宋体" w:hAnsi="宋体" w:cs="MS Mincho" w:hint="eastAsia"/>
                <w:sz w:val="24"/>
              </w:rPr>
              <w:t>”，锚定“一增一稳四提升”目标不动摇，在转方式、调结构、提质量、增效益上积极进取，持续增强核心功能、提高核心竞争力，推动科技创新和产业创新融合发展，夯实穿越周期能力，调动一切积极因素，创造一切有利条件，全力以赴打赢十四五收官“攻坚战”，为“十五五”良好开局奠定坚实基础。</w:t>
            </w:r>
          </w:p>
          <w:p w14:paraId="599F7376" w14:textId="77777777" w:rsidR="00C70D4B" w:rsidRDefault="00000000">
            <w:pPr>
              <w:autoSpaceDE w:val="0"/>
              <w:autoSpaceDN w:val="0"/>
              <w:adjustRightInd w:val="0"/>
              <w:snapToGrid w:val="0"/>
              <w:spacing w:beforeLines="100" w:before="312" w:afterLines="50" w:after="156" w:line="360" w:lineRule="auto"/>
              <w:rPr>
                <w:rFonts w:ascii="宋体" w:hAnsi="宋体" w:cs="MS Mincho" w:hint="eastAsia"/>
                <w:sz w:val="24"/>
              </w:rPr>
            </w:pPr>
            <w:r>
              <w:rPr>
                <w:rFonts w:ascii="宋体" w:hAnsi="宋体" w:cs="MS Mincho" w:hint="eastAsia"/>
                <w:sz w:val="24"/>
              </w:rPr>
              <w:lastRenderedPageBreak/>
              <w:t>二、互动交流</w:t>
            </w:r>
          </w:p>
          <w:p w14:paraId="6FC0262F"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1.中</w:t>
            </w:r>
            <w:proofErr w:type="gramStart"/>
            <w:r>
              <w:rPr>
                <w:rFonts w:ascii="宋体" w:hAnsi="宋体" w:cs="MS Mincho" w:hint="eastAsia"/>
                <w:sz w:val="24"/>
              </w:rPr>
              <w:t>材国际</w:t>
            </w:r>
            <w:proofErr w:type="gramEnd"/>
            <w:r>
              <w:rPr>
                <w:rFonts w:ascii="宋体" w:hAnsi="宋体" w:cs="MS Mincho" w:hint="eastAsia"/>
                <w:sz w:val="24"/>
              </w:rPr>
              <w:t>有布局核反应堆所需特种水泥的生产线吗？</w:t>
            </w:r>
          </w:p>
          <w:p w14:paraId="62483AFA"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答：中</w:t>
            </w:r>
            <w:proofErr w:type="gramStart"/>
            <w:r>
              <w:rPr>
                <w:rFonts w:ascii="宋体" w:hAnsi="宋体" w:cs="MS Mincho" w:hint="eastAsia"/>
                <w:sz w:val="24"/>
              </w:rPr>
              <w:t>材国际</w:t>
            </w:r>
            <w:proofErr w:type="gramEnd"/>
            <w:r>
              <w:rPr>
                <w:rFonts w:ascii="宋体" w:hAnsi="宋体" w:cs="MS Mincho" w:hint="eastAsia"/>
                <w:sz w:val="24"/>
              </w:rPr>
              <w:t>是全球水泥技术装备与工程服务领域规模领先的集成服务商，也是业内唯一具备完整产业链布局的企业。公司业务贯穿矿山开采、水泥生产线技术研发、数字设计、智能制造、智慧建设、智慧运维及售后服务等全流程，构建了集专业人才、产业</w:t>
            </w:r>
            <w:proofErr w:type="gramStart"/>
            <w:r>
              <w:rPr>
                <w:rFonts w:ascii="宋体" w:hAnsi="宋体" w:cs="MS Mincho" w:hint="eastAsia"/>
                <w:sz w:val="24"/>
              </w:rPr>
              <w:t>链资源</w:t>
            </w:r>
            <w:proofErr w:type="gramEnd"/>
            <w:r>
              <w:rPr>
                <w:rFonts w:ascii="宋体" w:hAnsi="宋体" w:cs="MS Mincho" w:hint="eastAsia"/>
                <w:sz w:val="24"/>
              </w:rPr>
              <w:t>与系统解决方案于一体的综合服务体系，持续为全球水泥生产企业提供全方位支持。公司有为特种水泥企业提供服务的专业能力和经验，未来也将积极跟进和拓展机会。</w:t>
            </w:r>
          </w:p>
          <w:p w14:paraId="4321B3B2"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2.请问公司海外订单高增长是否可以持续？</w:t>
            </w:r>
          </w:p>
          <w:p w14:paraId="48A5A27F" w14:textId="1D2B6240"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答：根据相关机构预测，2025年全球水泥市场（除中国外）将呈现量价齐升态势，需求量与价格预计分别增长1.7%和3.3%。</w:t>
            </w:r>
            <w:proofErr w:type="gramStart"/>
            <w:r>
              <w:rPr>
                <w:rFonts w:ascii="宋体" w:hAnsi="宋体" w:cs="MS Mincho" w:hint="eastAsia"/>
                <w:sz w:val="24"/>
              </w:rPr>
              <w:t>据正略咨询</w:t>
            </w:r>
            <w:proofErr w:type="gramEnd"/>
            <w:r>
              <w:rPr>
                <w:rFonts w:ascii="宋体" w:hAnsi="宋体" w:cs="MS Mincho" w:hint="eastAsia"/>
                <w:sz w:val="24"/>
              </w:rPr>
              <w:t>测算，2026至2030年，境外水泥工程服务市场年均规模预计可达323亿元。市场增长呈现二元格局：一方面，非洲、中东、南亚等“一带一路”沿线国家的新建需求，是境外增量的主要来源；另一方面，欧洲等成熟市场在脱碳政策驱动下，正催生巨大的存量技改需求。公司2025年前三季度的境外订单同比增长37%，境外工程和境外装备订单持续高增。</w:t>
            </w:r>
          </w:p>
          <w:p w14:paraId="786B83E1"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3.请问公司对中材水泥这块业务未来有何规划？</w:t>
            </w:r>
          </w:p>
          <w:p w14:paraId="3D67D055"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答：中材水泥作为公司与天山共同打造的海外投资运营平台，将充分整合双方优势资源，依托公司在国际化发展方面的丰富经验、全球本地化运营能力、国际化人才队伍、市场前沿信息获取能力，以及在工程、改造、运维、备件供应及物流等领域的综合服务能力，结合天山在产业长期经营中积累的管理经验、人才基础和灵活机制，协同发力，共同保障海外业务高质量发展。</w:t>
            </w:r>
          </w:p>
          <w:p w14:paraId="16F21A11"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4.请介绍前三季度生产运营服务业务新签订单下滑的主要原因。</w:t>
            </w:r>
          </w:p>
          <w:p w14:paraId="2043A10E"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答：公司水泥运</w:t>
            </w:r>
            <w:proofErr w:type="gramStart"/>
            <w:r>
              <w:rPr>
                <w:rFonts w:ascii="宋体" w:hAnsi="宋体" w:cs="MS Mincho" w:hint="eastAsia"/>
                <w:sz w:val="24"/>
              </w:rPr>
              <w:t>维整体</w:t>
            </w:r>
            <w:proofErr w:type="gramEnd"/>
            <w:r>
              <w:rPr>
                <w:rFonts w:ascii="宋体" w:hAnsi="宋体" w:cs="MS Mincho" w:hint="eastAsia"/>
                <w:sz w:val="24"/>
              </w:rPr>
              <w:t>业务量保持稳定。受部分运维合同进入续签周期影响，续签存在时间差，短期内显示新签合同量有所下降。尽管如此，截至2025年上半年，公司生产运营服务营业收入仍实现同比增长9.92%。</w:t>
            </w:r>
          </w:p>
          <w:p w14:paraId="080B680F"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5.请介绍公司未来三年规划。</w:t>
            </w:r>
          </w:p>
          <w:p w14:paraId="2324602E"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lastRenderedPageBreak/>
              <w:t>答：公司从2024年底开始谋划部署“十五五”规划，并召开战略规划系列研讨会，集团和股份领导多次莅临指导，外部董事、独立董事积极建言献策，外部专业咨询机构保驾护航。经过多方充分研讨，已经形成了初步发展思路：公司会继续秉持稳中求进工作总基调，推动业绩向上、结构向优、</w:t>
            </w:r>
            <w:proofErr w:type="gramStart"/>
            <w:r>
              <w:rPr>
                <w:rFonts w:ascii="宋体" w:hAnsi="宋体" w:cs="MS Mincho" w:hint="eastAsia"/>
                <w:sz w:val="24"/>
              </w:rPr>
              <w:t>质效向好</w:t>
            </w:r>
            <w:proofErr w:type="gramEnd"/>
            <w:r>
              <w:rPr>
                <w:rFonts w:ascii="宋体" w:hAnsi="宋体" w:cs="MS Mincho" w:hint="eastAsia"/>
                <w:sz w:val="24"/>
              </w:rPr>
              <w:t>，全面融入集团产业布局，在集团海外再造中发挥更大的作用；建强“十五五”战略科技力量，增加高质量科技供给，扎实推动科技创新和产业创新深度融合，以新产业、新市场打开增量空间；坚持发展速度与发展质量并重，强基固本，夯实高质量发展根基，以务实担当的作风，奋力实现新一轮跨越发展。</w:t>
            </w:r>
          </w:p>
          <w:p w14:paraId="6D594EE8"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目前公司“十五五”战略仍在讨论制定中，正式发布后会再向资本市场进行全面解读，欢迎广大投资者持续关注。</w:t>
            </w:r>
          </w:p>
          <w:p w14:paraId="03B76B81"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6.公司前三季度信用减值损失的主要原因是什么？未来如何管</w:t>
            </w:r>
            <w:proofErr w:type="gramStart"/>
            <w:r>
              <w:rPr>
                <w:rFonts w:ascii="宋体" w:hAnsi="宋体" w:cs="MS Mincho" w:hint="eastAsia"/>
                <w:sz w:val="24"/>
              </w:rPr>
              <w:t>控相关</w:t>
            </w:r>
            <w:proofErr w:type="gramEnd"/>
            <w:r>
              <w:rPr>
                <w:rFonts w:ascii="宋体" w:hAnsi="宋体" w:cs="MS Mincho" w:hint="eastAsia"/>
                <w:sz w:val="24"/>
              </w:rPr>
              <w:t>风险？</w:t>
            </w:r>
          </w:p>
          <w:p w14:paraId="0612006E"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答：公司严格按照企业会计准则的规定，以预期信用损失为基础进行减值会计处理并确认损失准备，公司基于单项和组合评估应收账款与合同资产的预期信用损失。受行业特点、业务模式及客户结算周期等多种因素影响，国内下游行业景气度及部分业主融资进度一定程度上影响了收入结算进度，公司应收账款及合同资产呈上升趋势。公司管理层高度重视，并确立了以下七项重点管控举措：</w:t>
            </w:r>
          </w:p>
          <w:p w14:paraId="7BA72279"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一是强化组织保障：公司已成立由董事长为第一责任人，相关领导和部门共同组成的“两金”压降工作组牵头“两金”压降工作。</w:t>
            </w:r>
          </w:p>
          <w:p w14:paraId="55E263BB"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二是严格考核机制：公司管理制度将“两金”压降成效与所属企业领导班子薪酬相挂钩、强匹配，并将“两金”压降目标纳入各单位考核目标，实现全级次100%覆盖，并严格落实考核机制，推动挖潜增效。</w:t>
            </w:r>
          </w:p>
          <w:p w14:paraId="6918ECCD"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三是持续跟踪通报：在月度会上持续对所属单位压降情况进行通报，适时召开专题会议、对压降不力的单位进行专题调研，剖析原因、制定措施、督导落实。</w:t>
            </w:r>
          </w:p>
          <w:p w14:paraId="7C415594"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四是开展内部协同：</w:t>
            </w:r>
            <w:proofErr w:type="gramStart"/>
            <w:r>
              <w:rPr>
                <w:rFonts w:ascii="宋体" w:hAnsi="宋体" w:cs="MS Mincho" w:hint="eastAsia"/>
                <w:sz w:val="24"/>
              </w:rPr>
              <w:t>对于长账龄</w:t>
            </w:r>
            <w:proofErr w:type="gramEnd"/>
            <w:r>
              <w:rPr>
                <w:rFonts w:ascii="宋体" w:hAnsi="宋体" w:cs="MS Mincho" w:hint="eastAsia"/>
                <w:sz w:val="24"/>
              </w:rPr>
              <w:t>、回收难度较大的款项，后续公司会进一步利用好司库等系统，发挥内部协同作用，重点梳理应收应付双挂的情况，协</w:t>
            </w:r>
            <w:r>
              <w:rPr>
                <w:rFonts w:ascii="宋体" w:hAnsi="宋体" w:cs="MS Mincho" w:hint="eastAsia"/>
                <w:sz w:val="24"/>
              </w:rPr>
              <w:lastRenderedPageBreak/>
              <w:t>调相关单位探索通过三方抵债等方式进行压降。</w:t>
            </w:r>
          </w:p>
          <w:p w14:paraId="717CF830"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五是保持“三务”联动：公司已建立了业务、法</w:t>
            </w:r>
            <w:proofErr w:type="gramStart"/>
            <w:r>
              <w:rPr>
                <w:rFonts w:ascii="宋体" w:hAnsi="宋体" w:cs="MS Mincho" w:hint="eastAsia"/>
                <w:sz w:val="24"/>
              </w:rPr>
              <w:t>务</w:t>
            </w:r>
            <w:proofErr w:type="gramEnd"/>
            <w:r>
              <w:rPr>
                <w:rFonts w:ascii="宋体" w:hAnsi="宋体" w:cs="MS Mincho" w:hint="eastAsia"/>
                <w:sz w:val="24"/>
              </w:rPr>
              <w:t>、财务“三务”联动机制，持续强化客户信用分级管理、严控高风险业务以及强化法律清收等回款管理，下半年还将持续保持“三务”联动，共享信息、共商措施。</w:t>
            </w:r>
          </w:p>
          <w:p w14:paraId="624A3927"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六是各单位具体落实：根据实际业务情况制定针对性的压降目标与措施，重点跟踪关键客户，强化动态监测和预警，制定催收计划，加强沟通协作，及时落实结算、收款工作。</w:t>
            </w:r>
          </w:p>
          <w:p w14:paraId="547F86C7" w14:textId="77777777" w:rsidR="00C70D4B" w:rsidRDefault="00000000">
            <w:pPr>
              <w:autoSpaceDE w:val="0"/>
              <w:autoSpaceDN w:val="0"/>
              <w:adjustRightInd w:val="0"/>
              <w:snapToGrid w:val="0"/>
              <w:spacing w:line="360" w:lineRule="auto"/>
              <w:ind w:firstLineChars="200" w:firstLine="480"/>
              <w:rPr>
                <w:rFonts w:ascii="宋体" w:hAnsi="宋体" w:cs="MS Mincho" w:hint="eastAsia"/>
                <w:sz w:val="24"/>
              </w:rPr>
            </w:pPr>
            <w:r>
              <w:rPr>
                <w:rFonts w:ascii="宋体" w:hAnsi="宋体" w:cs="MS Mincho" w:hint="eastAsia"/>
                <w:sz w:val="24"/>
              </w:rPr>
              <w:t>七是纪委审计监督：公司审计</w:t>
            </w:r>
            <w:proofErr w:type="gramStart"/>
            <w:r>
              <w:rPr>
                <w:rFonts w:ascii="宋体" w:hAnsi="宋体" w:cs="MS Mincho" w:hint="eastAsia"/>
                <w:sz w:val="24"/>
              </w:rPr>
              <w:t>部持续</w:t>
            </w:r>
            <w:proofErr w:type="gramEnd"/>
            <w:r>
              <w:rPr>
                <w:rFonts w:ascii="宋体" w:hAnsi="宋体" w:cs="MS Mincho" w:hint="eastAsia"/>
                <w:sz w:val="24"/>
              </w:rPr>
              <w:t>加强对重点子企业“两金”压降的审计检查，纪委巡察部门继续发挥监督作用。</w:t>
            </w:r>
          </w:p>
          <w:p w14:paraId="2F5A7DEA" w14:textId="77777777" w:rsidR="00C70D4B"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MS Mincho" w:hint="eastAsia"/>
                <w:sz w:val="24"/>
              </w:rPr>
              <w:t>公司会持续将应收账款与合同资产管控作为重点工作，为公司高质量发展</w:t>
            </w:r>
            <w:r w:rsidRPr="00C03DA7">
              <w:rPr>
                <w:rFonts w:ascii="宋体" w:hAnsi="宋体" w:cs="MS Mincho" w:hint="eastAsia"/>
                <w:sz w:val="24"/>
              </w:rPr>
              <w:t>保驾护航。</w:t>
            </w:r>
          </w:p>
        </w:tc>
      </w:tr>
    </w:tbl>
    <w:p w14:paraId="5843CB05" w14:textId="77777777" w:rsidR="00C70D4B" w:rsidRDefault="00C70D4B"/>
    <w:sectPr w:rsidR="00C70D4B">
      <w:footerReference w:type="default" r:id="rId6"/>
      <w:pgSz w:w="11906" w:h="16838"/>
      <w:pgMar w:top="1758" w:right="1701" w:bottom="175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1BEF" w14:textId="77777777" w:rsidR="009F2927" w:rsidRDefault="009F2927">
      <w:r>
        <w:separator/>
      </w:r>
    </w:p>
  </w:endnote>
  <w:endnote w:type="continuationSeparator" w:id="0">
    <w:p w14:paraId="17CDB68C" w14:textId="77777777" w:rsidR="009F2927" w:rsidRDefault="009F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27457"/>
      <w:docPartObj>
        <w:docPartGallery w:val="AutoText"/>
      </w:docPartObj>
    </w:sdtPr>
    <w:sdtContent>
      <w:p w14:paraId="4D8E706B" w14:textId="77777777" w:rsidR="00C70D4B" w:rsidRDefault="00000000">
        <w:pPr>
          <w:pStyle w:val="a5"/>
          <w:jc w:val="center"/>
        </w:pPr>
        <w:r>
          <w:fldChar w:fldCharType="begin"/>
        </w:r>
        <w:r>
          <w:instrText>PAGE   \* MERGEFORMAT</w:instrText>
        </w:r>
        <w:r>
          <w:fldChar w:fldCharType="separate"/>
        </w:r>
        <w:r>
          <w:rPr>
            <w:lang w:val="zh-CN"/>
          </w:rPr>
          <w:t>2</w:t>
        </w:r>
        <w:r>
          <w:fldChar w:fldCharType="end"/>
        </w:r>
      </w:p>
    </w:sdtContent>
  </w:sdt>
  <w:p w14:paraId="7BC9AC1B" w14:textId="77777777" w:rsidR="00C70D4B" w:rsidRDefault="00C70D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5BB3" w14:textId="77777777" w:rsidR="009F2927" w:rsidRDefault="009F2927">
      <w:r>
        <w:separator/>
      </w:r>
    </w:p>
  </w:footnote>
  <w:footnote w:type="continuationSeparator" w:id="0">
    <w:p w14:paraId="505A9AB3" w14:textId="77777777" w:rsidR="009F2927" w:rsidRDefault="009F2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0"/>
    <w:rsid w:val="00002802"/>
    <w:rsid w:val="00002B34"/>
    <w:rsid w:val="00004FA5"/>
    <w:rsid w:val="00014D5D"/>
    <w:rsid w:val="000171D8"/>
    <w:rsid w:val="000202D2"/>
    <w:rsid w:val="000249B8"/>
    <w:rsid w:val="00030675"/>
    <w:rsid w:val="00033235"/>
    <w:rsid w:val="00033C3B"/>
    <w:rsid w:val="00042EB9"/>
    <w:rsid w:val="000439F0"/>
    <w:rsid w:val="000449D9"/>
    <w:rsid w:val="000450F8"/>
    <w:rsid w:val="00047D57"/>
    <w:rsid w:val="00050320"/>
    <w:rsid w:val="00050AB4"/>
    <w:rsid w:val="00051294"/>
    <w:rsid w:val="000530B9"/>
    <w:rsid w:val="00053205"/>
    <w:rsid w:val="00054525"/>
    <w:rsid w:val="00060D1F"/>
    <w:rsid w:val="000648F5"/>
    <w:rsid w:val="0006603F"/>
    <w:rsid w:val="000677D1"/>
    <w:rsid w:val="000704E5"/>
    <w:rsid w:val="00071E86"/>
    <w:rsid w:val="00077B27"/>
    <w:rsid w:val="00081816"/>
    <w:rsid w:val="000852AE"/>
    <w:rsid w:val="00090204"/>
    <w:rsid w:val="000912CF"/>
    <w:rsid w:val="00091E04"/>
    <w:rsid w:val="00092EBF"/>
    <w:rsid w:val="0009357A"/>
    <w:rsid w:val="0009369E"/>
    <w:rsid w:val="0009501C"/>
    <w:rsid w:val="000A340E"/>
    <w:rsid w:val="000B4496"/>
    <w:rsid w:val="000B44EA"/>
    <w:rsid w:val="000B6016"/>
    <w:rsid w:val="000C13B3"/>
    <w:rsid w:val="000C3B04"/>
    <w:rsid w:val="000C56EA"/>
    <w:rsid w:val="000C6DA3"/>
    <w:rsid w:val="000D049A"/>
    <w:rsid w:val="000D4A48"/>
    <w:rsid w:val="000D5F17"/>
    <w:rsid w:val="000D618E"/>
    <w:rsid w:val="000D6D81"/>
    <w:rsid w:val="000E0B5C"/>
    <w:rsid w:val="000E18BE"/>
    <w:rsid w:val="000E3D9C"/>
    <w:rsid w:val="000E4B96"/>
    <w:rsid w:val="000E5F86"/>
    <w:rsid w:val="000F1028"/>
    <w:rsid w:val="000F41A3"/>
    <w:rsid w:val="000F4FF1"/>
    <w:rsid w:val="000F51A5"/>
    <w:rsid w:val="000F6CA4"/>
    <w:rsid w:val="00100CBC"/>
    <w:rsid w:val="00100FAC"/>
    <w:rsid w:val="001024E0"/>
    <w:rsid w:val="00102BAA"/>
    <w:rsid w:val="001035A8"/>
    <w:rsid w:val="00104B43"/>
    <w:rsid w:val="001061C9"/>
    <w:rsid w:val="00107518"/>
    <w:rsid w:val="00110E91"/>
    <w:rsid w:val="00111420"/>
    <w:rsid w:val="0011782C"/>
    <w:rsid w:val="00117ACA"/>
    <w:rsid w:val="00121FEF"/>
    <w:rsid w:val="0012287B"/>
    <w:rsid w:val="00122BB5"/>
    <w:rsid w:val="00123486"/>
    <w:rsid w:val="00124774"/>
    <w:rsid w:val="00133438"/>
    <w:rsid w:val="0013395B"/>
    <w:rsid w:val="00135ABC"/>
    <w:rsid w:val="00137148"/>
    <w:rsid w:val="001443BB"/>
    <w:rsid w:val="00147D08"/>
    <w:rsid w:val="00147FE2"/>
    <w:rsid w:val="0015217D"/>
    <w:rsid w:val="00153724"/>
    <w:rsid w:val="00153D49"/>
    <w:rsid w:val="00154687"/>
    <w:rsid w:val="0015750F"/>
    <w:rsid w:val="0016015D"/>
    <w:rsid w:val="00161B34"/>
    <w:rsid w:val="00163D5D"/>
    <w:rsid w:val="0016463E"/>
    <w:rsid w:val="0016626E"/>
    <w:rsid w:val="00166CEF"/>
    <w:rsid w:val="00167EB5"/>
    <w:rsid w:val="001814DF"/>
    <w:rsid w:val="00183C63"/>
    <w:rsid w:val="0018673B"/>
    <w:rsid w:val="00190C09"/>
    <w:rsid w:val="001915D7"/>
    <w:rsid w:val="0019287F"/>
    <w:rsid w:val="001949C4"/>
    <w:rsid w:val="00197C1A"/>
    <w:rsid w:val="001A1767"/>
    <w:rsid w:val="001A75ED"/>
    <w:rsid w:val="001B0B7B"/>
    <w:rsid w:val="001B0ED8"/>
    <w:rsid w:val="001B1490"/>
    <w:rsid w:val="001C17E5"/>
    <w:rsid w:val="001C23A6"/>
    <w:rsid w:val="001C5D80"/>
    <w:rsid w:val="001D1D9B"/>
    <w:rsid w:val="001D2933"/>
    <w:rsid w:val="001E23BF"/>
    <w:rsid w:val="001E52ED"/>
    <w:rsid w:val="001E71B8"/>
    <w:rsid w:val="001F1036"/>
    <w:rsid w:val="001F55DE"/>
    <w:rsid w:val="002027C3"/>
    <w:rsid w:val="00203D04"/>
    <w:rsid w:val="00210E3E"/>
    <w:rsid w:val="00212713"/>
    <w:rsid w:val="002129AA"/>
    <w:rsid w:val="00213A48"/>
    <w:rsid w:val="0021400E"/>
    <w:rsid w:val="0021577E"/>
    <w:rsid w:val="002168A6"/>
    <w:rsid w:val="002169D4"/>
    <w:rsid w:val="002219F8"/>
    <w:rsid w:val="00225743"/>
    <w:rsid w:val="00225D84"/>
    <w:rsid w:val="0022622A"/>
    <w:rsid w:val="002270E7"/>
    <w:rsid w:val="00233A74"/>
    <w:rsid w:val="002416A8"/>
    <w:rsid w:val="00244F89"/>
    <w:rsid w:val="002467DD"/>
    <w:rsid w:val="00251D06"/>
    <w:rsid w:val="00254747"/>
    <w:rsid w:val="00256421"/>
    <w:rsid w:val="002571BC"/>
    <w:rsid w:val="002573D7"/>
    <w:rsid w:val="0026156D"/>
    <w:rsid w:val="00264F6D"/>
    <w:rsid w:val="002671AE"/>
    <w:rsid w:val="00271024"/>
    <w:rsid w:val="00271A48"/>
    <w:rsid w:val="00272B64"/>
    <w:rsid w:val="00281E85"/>
    <w:rsid w:val="002911C9"/>
    <w:rsid w:val="0029340B"/>
    <w:rsid w:val="002A20C0"/>
    <w:rsid w:val="002A461B"/>
    <w:rsid w:val="002B23AA"/>
    <w:rsid w:val="002B424C"/>
    <w:rsid w:val="002B718C"/>
    <w:rsid w:val="002B71C4"/>
    <w:rsid w:val="002B75EC"/>
    <w:rsid w:val="002C20AE"/>
    <w:rsid w:val="002C2E76"/>
    <w:rsid w:val="002C35A2"/>
    <w:rsid w:val="002C76B5"/>
    <w:rsid w:val="002D3626"/>
    <w:rsid w:val="002E617E"/>
    <w:rsid w:val="002F06D8"/>
    <w:rsid w:val="002F484C"/>
    <w:rsid w:val="002F6496"/>
    <w:rsid w:val="002F71D2"/>
    <w:rsid w:val="00300F5D"/>
    <w:rsid w:val="003026A8"/>
    <w:rsid w:val="00302779"/>
    <w:rsid w:val="00303A18"/>
    <w:rsid w:val="00307FC8"/>
    <w:rsid w:val="00310A70"/>
    <w:rsid w:val="003112C8"/>
    <w:rsid w:val="0031426A"/>
    <w:rsid w:val="00317424"/>
    <w:rsid w:val="003175E2"/>
    <w:rsid w:val="003210C9"/>
    <w:rsid w:val="00327882"/>
    <w:rsid w:val="00330A5A"/>
    <w:rsid w:val="00336DF4"/>
    <w:rsid w:val="0034085D"/>
    <w:rsid w:val="00341873"/>
    <w:rsid w:val="00342634"/>
    <w:rsid w:val="00343BC0"/>
    <w:rsid w:val="00347870"/>
    <w:rsid w:val="00361EA9"/>
    <w:rsid w:val="00362FA4"/>
    <w:rsid w:val="003633DA"/>
    <w:rsid w:val="00365AFE"/>
    <w:rsid w:val="003668F7"/>
    <w:rsid w:val="0036697E"/>
    <w:rsid w:val="00370C84"/>
    <w:rsid w:val="00370E06"/>
    <w:rsid w:val="00373511"/>
    <w:rsid w:val="00374567"/>
    <w:rsid w:val="003753E5"/>
    <w:rsid w:val="003775AB"/>
    <w:rsid w:val="003811D6"/>
    <w:rsid w:val="00383BDD"/>
    <w:rsid w:val="00384FCA"/>
    <w:rsid w:val="003B0EF8"/>
    <w:rsid w:val="003B1E9D"/>
    <w:rsid w:val="003B2B67"/>
    <w:rsid w:val="003B4658"/>
    <w:rsid w:val="003C0ACE"/>
    <w:rsid w:val="003C42B3"/>
    <w:rsid w:val="003C4CC7"/>
    <w:rsid w:val="003C6D3F"/>
    <w:rsid w:val="003D0634"/>
    <w:rsid w:val="003D30C1"/>
    <w:rsid w:val="003D60CC"/>
    <w:rsid w:val="003D6730"/>
    <w:rsid w:val="003E0358"/>
    <w:rsid w:val="003E1099"/>
    <w:rsid w:val="003E1B6E"/>
    <w:rsid w:val="003E2423"/>
    <w:rsid w:val="003E5A05"/>
    <w:rsid w:val="003E6149"/>
    <w:rsid w:val="003E6243"/>
    <w:rsid w:val="003E64ED"/>
    <w:rsid w:val="003F51A3"/>
    <w:rsid w:val="00400CFB"/>
    <w:rsid w:val="0040578D"/>
    <w:rsid w:val="00405DF7"/>
    <w:rsid w:val="004065D6"/>
    <w:rsid w:val="00406C5C"/>
    <w:rsid w:val="004110EB"/>
    <w:rsid w:val="00412C41"/>
    <w:rsid w:val="0043149F"/>
    <w:rsid w:val="004325DC"/>
    <w:rsid w:val="004347E4"/>
    <w:rsid w:val="0043614C"/>
    <w:rsid w:val="0044017D"/>
    <w:rsid w:val="0044028B"/>
    <w:rsid w:val="00440FD2"/>
    <w:rsid w:val="00443C00"/>
    <w:rsid w:val="00445ECE"/>
    <w:rsid w:val="00463325"/>
    <w:rsid w:val="004702A9"/>
    <w:rsid w:val="00470F6D"/>
    <w:rsid w:val="00473D4F"/>
    <w:rsid w:val="004748F7"/>
    <w:rsid w:val="0048395B"/>
    <w:rsid w:val="00485C07"/>
    <w:rsid w:val="00485E2B"/>
    <w:rsid w:val="00487558"/>
    <w:rsid w:val="00487CBC"/>
    <w:rsid w:val="00491157"/>
    <w:rsid w:val="00493F25"/>
    <w:rsid w:val="004944FE"/>
    <w:rsid w:val="00497C5F"/>
    <w:rsid w:val="004A236B"/>
    <w:rsid w:val="004B6FBE"/>
    <w:rsid w:val="004C3069"/>
    <w:rsid w:val="004C5102"/>
    <w:rsid w:val="004C6AC6"/>
    <w:rsid w:val="004D3E6F"/>
    <w:rsid w:val="004D4236"/>
    <w:rsid w:val="004D621A"/>
    <w:rsid w:val="004D69BC"/>
    <w:rsid w:val="004E43A6"/>
    <w:rsid w:val="004E4EBE"/>
    <w:rsid w:val="004E6307"/>
    <w:rsid w:val="004F44C7"/>
    <w:rsid w:val="004F4753"/>
    <w:rsid w:val="004F63FA"/>
    <w:rsid w:val="004F78F7"/>
    <w:rsid w:val="00501678"/>
    <w:rsid w:val="00506CB9"/>
    <w:rsid w:val="005149C0"/>
    <w:rsid w:val="00514E66"/>
    <w:rsid w:val="005205A9"/>
    <w:rsid w:val="00520762"/>
    <w:rsid w:val="005249A6"/>
    <w:rsid w:val="0052539B"/>
    <w:rsid w:val="005274C9"/>
    <w:rsid w:val="00530072"/>
    <w:rsid w:val="00530EB7"/>
    <w:rsid w:val="00536A0A"/>
    <w:rsid w:val="005403B3"/>
    <w:rsid w:val="00542F6A"/>
    <w:rsid w:val="00543597"/>
    <w:rsid w:val="00544786"/>
    <w:rsid w:val="00550D60"/>
    <w:rsid w:val="0055234D"/>
    <w:rsid w:val="005527C0"/>
    <w:rsid w:val="005541B8"/>
    <w:rsid w:val="00555BD1"/>
    <w:rsid w:val="00555E6E"/>
    <w:rsid w:val="00557669"/>
    <w:rsid w:val="005602B9"/>
    <w:rsid w:val="00560B66"/>
    <w:rsid w:val="005640CB"/>
    <w:rsid w:val="00564FCC"/>
    <w:rsid w:val="00567444"/>
    <w:rsid w:val="00567D29"/>
    <w:rsid w:val="00570402"/>
    <w:rsid w:val="00573055"/>
    <w:rsid w:val="00573361"/>
    <w:rsid w:val="005734D1"/>
    <w:rsid w:val="00574AE4"/>
    <w:rsid w:val="00575306"/>
    <w:rsid w:val="0057678F"/>
    <w:rsid w:val="005802E1"/>
    <w:rsid w:val="00585431"/>
    <w:rsid w:val="005865CC"/>
    <w:rsid w:val="0059060F"/>
    <w:rsid w:val="005A0AD2"/>
    <w:rsid w:val="005A3A5B"/>
    <w:rsid w:val="005A4085"/>
    <w:rsid w:val="005A5FDB"/>
    <w:rsid w:val="005B1027"/>
    <w:rsid w:val="005B12D8"/>
    <w:rsid w:val="005B4542"/>
    <w:rsid w:val="005B4CCE"/>
    <w:rsid w:val="005B65DC"/>
    <w:rsid w:val="005C0D58"/>
    <w:rsid w:val="005C3901"/>
    <w:rsid w:val="005D3C46"/>
    <w:rsid w:val="005D7F04"/>
    <w:rsid w:val="005E210C"/>
    <w:rsid w:val="005E36D7"/>
    <w:rsid w:val="005E6946"/>
    <w:rsid w:val="005F322D"/>
    <w:rsid w:val="005F3371"/>
    <w:rsid w:val="005F44FE"/>
    <w:rsid w:val="006029E1"/>
    <w:rsid w:val="006031EB"/>
    <w:rsid w:val="00603CE5"/>
    <w:rsid w:val="00606B20"/>
    <w:rsid w:val="00610EC8"/>
    <w:rsid w:val="006110A5"/>
    <w:rsid w:val="00614E45"/>
    <w:rsid w:val="00616EDC"/>
    <w:rsid w:val="00617911"/>
    <w:rsid w:val="00624393"/>
    <w:rsid w:val="00625423"/>
    <w:rsid w:val="0062772B"/>
    <w:rsid w:val="00630762"/>
    <w:rsid w:val="006319A0"/>
    <w:rsid w:val="00632CCE"/>
    <w:rsid w:val="0063342A"/>
    <w:rsid w:val="00634475"/>
    <w:rsid w:val="00634DC9"/>
    <w:rsid w:val="00636EC3"/>
    <w:rsid w:val="00637FAE"/>
    <w:rsid w:val="00640F33"/>
    <w:rsid w:val="00647A49"/>
    <w:rsid w:val="00654A41"/>
    <w:rsid w:val="00654AD8"/>
    <w:rsid w:val="006601AF"/>
    <w:rsid w:val="00660B5B"/>
    <w:rsid w:val="00665EDC"/>
    <w:rsid w:val="00673370"/>
    <w:rsid w:val="0067350B"/>
    <w:rsid w:val="00675304"/>
    <w:rsid w:val="00676A90"/>
    <w:rsid w:val="00680A4A"/>
    <w:rsid w:val="00682DD0"/>
    <w:rsid w:val="00687C86"/>
    <w:rsid w:val="0069168C"/>
    <w:rsid w:val="006920E0"/>
    <w:rsid w:val="00692563"/>
    <w:rsid w:val="0069468D"/>
    <w:rsid w:val="0069503A"/>
    <w:rsid w:val="006A2660"/>
    <w:rsid w:val="006A2A57"/>
    <w:rsid w:val="006A3F48"/>
    <w:rsid w:val="006A6483"/>
    <w:rsid w:val="006A6D63"/>
    <w:rsid w:val="006C1518"/>
    <w:rsid w:val="006C2130"/>
    <w:rsid w:val="006C219D"/>
    <w:rsid w:val="006C3D11"/>
    <w:rsid w:val="006C6BC3"/>
    <w:rsid w:val="006D2084"/>
    <w:rsid w:val="006D26CD"/>
    <w:rsid w:val="006D2718"/>
    <w:rsid w:val="006D29B8"/>
    <w:rsid w:val="006D73AD"/>
    <w:rsid w:val="006E6F72"/>
    <w:rsid w:val="006F04EC"/>
    <w:rsid w:val="006F454F"/>
    <w:rsid w:val="006F57BB"/>
    <w:rsid w:val="006F71AB"/>
    <w:rsid w:val="00700405"/>
    <w:rsid w:val="00703CA1"/>
    <w:rsid w:val="00704E88"/>
    <w:rsid w:val="0070627C"/>
    <w:rsid w:val="00714581"/>
    <w:rsid w:val="00717CA1"/>
    <w:rsid w:val="007242A0"/>
    <w:rsid w:val="007275AE"/>
    <w:rsid w:val="00727720"/>
    <w:rsid w:val="007312C6"/>
    <w:rsid w:val="0073425F"/>
    <w:rsid w:val="00736CAC"/>
    <w:rsid w:val="0074235D"/>
    <w:rsid w:val="00745301"/>
    <w:rsid w:val="007552C8"/>
    <w:rsid w:val="007555B4"/>
    <w:rsid w:val="00770335"/>
    <w:rsid w:val="00774BE6"/>
    <w:rsid w:val="007816CC"/>
    <w:rsid w:val="0078230B"/>
    <w:rsid w:val="00782F53"/>
    <w:rsid w:val="00785724"/>
    <w:rsid w:val="007909DB"/>
    <w:rsid w:val="007A0E2C"/>
    <w:rsid w:val="007A3AEF"/>
    <w:rsid w:val="007A46F5"/>
    <w:rsid w:val="007A4830"/>
    <w:rsid w:val="007A679D"/>
    <w:rsid w:val="007A6B79"/>
    <w:rsid w:val="007A7A13"/>
    <w:rsid w:val="007B0B23"/>
    <w:rsid w:val="007B4868"/>
    <w:rsid w:val="007B6763"/>
    <w:rsid w:val="007B78BE"/>
    <w:rsid w:val="007C1360"/>
    <w:rsid w:val="007C1A0B"/>
    <w:rsid w:val="007C1F48"/>
    <w:rsid w:val="007C5329"/>
    <w:rsid w:val="007C753D"/>
    <w:rsid w:val="007D0724"/>
    <w:rsid w:val="007D0E65"/>
    <w:rsid w:val="007D17B0"/>
    <w:rsid w:val="007D3A8E"/>
    <w:rsid w:val="007D4FBF"/>
    <w:rsid w:val="007D6BE9"/>
    <w:rsid w:val="007E268E"/>
    <w:rsid w:val="007E4FDF"/>
    <w:rsid w:val="007F6C65"/>
    <w:rsid w:val="007F70E5"/>
    <w:rsid w:val="00803494"/>
    <w:rsid w:val="00804D7C"/>
    <w:rsid w:val="00807893"/>
    <w:rsid w:val="00810DBE"/>
    <w:rsid w:val="0081540B"/>
    <w:rsid w:val="00815A9D"/>
    <w:rsid w:val="008162B0"/>
    <w:rsid w:val="00816DDB"/>
    <w:rsid w:val="008430C6"/>
    <w:rsid w:val="00843301"/>
    <w:rsid w:val="00845BFE"/>
    <w:rsid w:val="008460EB"/>
    <w:rsid w:val="00847D6F"/>
    <w:rsid w:val="008510C8"/>
    <w:rsid w:val="00862533"/>
    <w:rsid w:val="00871835"/>
    <w:rsid w:val="008721BB"/>
    <w:rsid w:val="0087430A"/>
    <w:rsid w:val="00880EC4"/>
    <w:rsid w:val="0088298C"/>
    <w:rsid w:val="00883320"/>
    <w:rsid w:val="00883928"/>
    <w:rsid w:val="00883DD1"/>
    <w:rsid w:val="008849E8"/>
    <w:rsid w:val="008858C5"/>
    <w:rsid w:val="00885EF9"/>
    <w:rsid w:val="0088751E"/>
    <w:rsid w:val="00890240"/>
    <w:rsid w:val="00890700"/>
    <w:rsid w:val="008920CF"/>
    <w:rsid w:val="00895BB7"/>
    <w:rsid w:val="00897EED"/>
    <w:rsid w:val="008A25A2"/>
    <w:rsid w:val="008A295E"/>
    <w:rsid w:val="008A2A23"/>
    <w:rsid w:val="008A41CF"/>
    <w:rsid w:val="008A67B9"/>
    <w:rsid w:val="008A7B0B"/>
    <w:rsid w:val="008B4944"/>
    <w:rsid w:val="008B4F20"/>
    <w:rsid w:val="008B7FB5"/>
    <w:rsid w:val="008C0332"/>
    <w:rsid w:val="008D4190"/>
    <w:rsid w:val="008D4718"/>
    <w:rsid w:val="008D5FC0"/>
    <w:rsid w:val="008D7C0E"/>
    <w:rsid w:val="008E15EC"/>
    <w:rsid w:val="008E2CDD"/>
    <w:rsid w:val="008E39C5"/>
    <w:rsid w:val="008F2758"/>
    <w:rsid w:val="008F3A4B"/>
    <w:rsid w:val="008F7652"/>
    <w:rsid w:val="008F799B"/>
    <w:rsid w:val="0090260F"/>
    <w:rsid w:val="009059DC"/>
    <w:rsid w:val="00911EBB"/>
    <w:rsid w:val="00911F57"/>
    <w:rsid w:val="00913B0F"/>
    <w:rsid w:val="00916ED9"/>
    <w:rsid w:val="00920270"/>
    <w:rsid w:val="00921860"/>
    <w:rsid w:val="00921BD3"/>
    <w:rsid w:val="00923101"/>
    <w:rsid w:val="00926422"/>
    <w:rsid w:val="00931A51"/>
    <w:rsid w:val="00933010"/>
    <w:rsid w:val="009341B6"/>
    <w:rsid w:val="009350E7"/>
    <w:rsid w:val="009352FA"/>
    <w:rsid w:val="009370B1"/>
    <w:rsid w:val="00942AA3"/>
    <w:rsid w:val="00945A8D"/>
    <w:rsid w:val="00945AAB"/>
    <w:rsid w:val="00951CE0"/>
    <w:rsid w:val="00951F2B"/>
    <w:rsid w:val="00956530"/>
    <w:rsid w:val="009570D7"/>
    <w:rsid w:val="009572A4"/>
    <w:rsid w:val="009572C3"/>
    <w:rsid w:val="00957331"/>
    <w:rsid w:val="00957CFF"/>
    <w:rsid w:val="00961563"/>
    <w:rsid w:val="00965A08"/>
    <w:rsid w:val="00972448"/>
    <w:rsid w:val="0097442F"/>
    <w:rsid w:val="00981771"/>
    <w:rsid w:val="009912E9"/>
    <w:rsid w:val="00991D25"/>
    <w:rsid w:val="009941E8"/>
    <w:rsid w:val="0099687A"/>
    <w:rsid w:val="009978A2"/>
    <w:rsid w:val="009A1DEE"/>
    <w:rsid w:val="009A5CF7"/>
    <w:rsid w:val="009A731A"/>
    <w:rsid w:val="009B0812"/>
    <w:rsid w:val="009B232B"/>
    <w:rsid w:val="009B333F"/>
    <w:rsid w:val="009C1845"/>
    <w:rsid w:val="009C1F1E"/>
    <w:rsid w:val="009C4CEF"/>
    <w:rsid w:val="009D3F1D"/>
    <w:rsid w:val="009D45D1"/>
    <w:rsid w:val="009D5C7E"/>
    <w:rsid w:val="009E4967"/>
    <w:rsid w:val="009E583D"/>
    <w:rsid w:val="009F030C"/>
    <w:rsid w:val="009F2927"/>
    <w:rsid w:val="00A02ECB"/>
    <w:rsid w:val="00A22FAA"/>
    <w:rsid w:val="00A35458"/>
    <w:rsid w:val="00A363C5"/>
    <w:rsid w:val="00A36696"/>
    <w:rsid w:val="00A37D5C"/>
    <w:rsid w:val="00A43805"/>
    <w:rsid w:val="00A54485"/>
    <w:rsid w:val="00A577BD"/>
    <w:rsid w:val="00A60C11"/>
    <w:rsid w:val="00A62CB5"/>
    <w:rsid w:val="00A6494F"/>
    <w:rsid w:val="00A67F1C"/>
    <w:rsid w:val="00A716AC"/>
    <w:rsid w:val="00A72C62"/>
    <w:rsid w:val="00A80613"/>
    <w:rsid w:val="00A82F0B"/>
    <w:rsid w:val="00A83F8E"/>
    <w:rsid w:val="00A85740"/>
    <w:rsid w:val="00A861D3"/>
    <w:rsid w:val="00A870DA"/>
    <w:rsid w:val="00A87664"/>
    <w:rsid w:val="00A877A9"/>
    <w:rsid w:val="00A90D5F"/>
    <w:rsid w:val="00A931CF"/>
    <w:rsid w:val="00A973D5"/>
    <w:rsid w:val="00A9799E"/>
    <w:rsid w:val="00AA1EA4"/>
    <w:rsid w:val="00AA2F37"/>
    <w:rsid w:val="00AA636F"/>
    <w:rsid w:val="00AA7DE3"/>
    <w:rsid w:val="00AB4C1F"/>
    <w:rsid w:val="00AB54FB"/>
    <w:rsid w:val="00AB557C"/>
    <w:rsid w:val="00AB62F6"/>
    <w:rsid w:val="00AC1816"/>
    <w:rsid w:val="00AC5156"/>
    <w:rsid w:val="00AC5D80"/>
    <w:rsid w:val="00AC71F9"/>
    <w:rsid w:val="00AD016A"/>
    <w:rsid w:val="00AD5EF6"/>
    <w:rsid w:val="00AD60A7"/>
    <w:rsid w:val="00AD72EB"/>
    <w:rsid w:val="00AE08C5"/>
    <w:rsid w:val="00AE1013"/>
    <w:rsid w:val="00AE210D"/>
    <w:rsid w:val="00AE4F83"/>
    <w:rsid w:val="00AE649B"/>
    <w:rsid w:val="00AE76FD"/>
    <w:rsid w:val="00AF1AE4"/>
    <w:rsid w:val="00AF1F4A"/>
    <w:rsid w:val="00AF691E"/>
    <w:rsid w:val="00AF6C20"/>
    <w:rsid w:val="00AF793E"/>
    <w:rsid w:val="00B04380"/>
    <w:rsid w:val="00B04C6B"/>
    <w:rsid w:val="00B0555C"/>
    <w:rsid w:val="00B11773"/>
    <w:rsid w:val="00B16398"/>
    <w:rsid w:val="00B24378"/>
    <w:rsid w:val="00B26E1B"/>
    <w:rsid w:val="00B2730C"/>
    <w:rsid w:val="00B309CB"/>
    <w:rsid w:val="00B30C0B"/>
    <w:rsid w:val="00B3404D"/>
    <w:rsid w:val="00B42428"/>
    <w:rsid w:val="00B42BA5"/>
    <w:rsid w:val="00B46A43"/>
    <w:rsid w:val="00B5751D"/>
    <w:rsid w:val="00B57A64"/>
    <w:rsid w:val="00B66DF3"/>
    <w:rsid w:val="00B72D57"/>
    <w:rsid w:val="00B73659"/>
    <w:rsid w:val="00B76BDF"/>
    <w:rsid w:val="00B77D50"/>
    <w:rsid w:val="00B80D52"/>
    <w:rsid w:val="00B83AB3"/>
    <w:rsid w:val="00B8417A"/>
    <w:rsid w:val="00B905A6"/>
    <w:rsid w:val="00B90A72"/>
    <w:rsid w:val="00B9778E"/>
    <w:rsid w:val="00BA58E8"/>
    <w:rsid w:val="00BB26D4"/>
    <w:rsid w:val="00BB2883"/>
    <w:rsid w:val="00BB28D1"/>
    <w:rsid w:val="00BB33C2"/>
    <w:rsid w:val="00BB7E01"/>
    <w:rsid w:val="00BC245C"/>
    <w:rsid w:val="00BC3683"/>
    <w:rsid w:val="00BC721D"/>
    <w:rsid w:val="00BD0811"/>
    <w:rsid w:val="00BD13B5"/>
    <w:rsid w:val="00BD16FC"/>
    <w:rsid w:val="00BD2154"/>
    <w:rsid w:val="00BD3C9B"/>
    <w:rsid w:val="00BD4CA3"/>
    <w:rsid w:val="00BD4D35"/>
    <w:rsid w:val="00BE1BFE"/>
    <w:rsid w:val="00BE41CB"/>
    <w:rsid w:val="00BE5894"/>
    <w:rsid w:val="00BF3133"/>
    <w:rsid w:val="00BF46AC"/>
    <w:rsid w:val="00BF52D2"/>
    <w:rsid w:val="00BF56A6"/>
    <w:rsid w:val="00BF6B08"/>
    <w:rsid w:val="00C03DA7"/>
    <w:rsid w:val="00C04427"/>
    <w:rsid w:val="00C1026C"/>
    <w:rsid w:val="00C12579"/>
    <w:rsid w:val="00C14126"/>
    <w:rsid w:val="00C16CE4"/>
    <w:rsid w:val="00C17C5F"/>
    <w:rsid w:val="00C241D5"/>
    <w:rsid w:val="00C26ED8"/>
    <w:rsid w:val="00C27891"/>
    <w:rsid w:val="00C3192B"/>
    <w:rsid w:val="00C352A4"/>
    <w:rsid w:val="00C378C8"/>
    <w:rsid w:val="00C4507D"/>
    <w:rsid w:val="00C47AF9"/>
    <w:rsid w:val="00C5082B"/>
    <w:rsid w:val="00C548CD"/>
    <w:rsid w:val="00C54A49"/>
    <w:rsid w:val="00C60ED6"/>
    <w:rsid w:val="00C65951"/>
    <w:rsid w:val="00C66567"/>
    <w:rsid w:val="00C670CE"/>
    <w:rsid w:val="00C70D4B"/>
    <w:rsid w:val="00C71368"/>
    <w:rsid w:val="00C7572A"/>
    <w:rsid w:val="00C771D9"/>
    <w:rsid w:val="00C82A25"/>
    <w:rsid w:val="00C84CB5"/>
    <w:rsid w:val="00C91F8A"/>
    <w:rsid w:val="00C932B8"/>
    <w:rsid w:val="00C9738B"/>
    <w:rsid w:val="00CA1A9B"/>
    <w:rsid w:val="00CA377B"/>
    <w:rsid w:val="00CA3E0C"/>
    <w:rsid w:val="00CA5E83"/>
    <w:rsid w:val="00CB2AA2"/>
    <w:rsid w:val="00CB6095"/>
    <w:rsid w:val="00CB790C"/>
    <w:rsid w:val="00CB7C0D"/>
    <w:rsid w:val="00CC5DB0"/>
    <w:rsid w:val="00CC6202"/>
    <w:rsid w:val="00CD1678"/>
    <w:rsid w:val="00CD1688"/>
    <w:rsid w:val="00CD3CF9"/>
    <w:rsid w:val="00CE0390"/>
    <w:rsid w:val="00CE1889"/>
    <w:rsid w:val="00CE6D2B"/>
    <w:rsid w:val="00CF08EC"/>
    <w:rsid w:val="00CF5F46"/>
    <w:rsid w:val="00CF7BC4"/>
    <w:rsid w:val="00D000BE"/>
    <w:rsid w:val="00D01A94"/>
    <w:rsid w:val="00D031CC"/>
    <w:rsid w:val="00D04F1E"/>
    <w:rsid w:val="00D07396"/>
    <w:rsid w:val="00D078A9"/>
    <w:rsid w:val="00D10F44"/>
    <w:rsid w:val="00D13F15"/>
    <w:rsid w:val="00D15888"/>
    <w:rsid w:val="00D24082"/>
    <w:rsid w:val="00D26242"/>
    <w:rsid w:val="00D30A79"/>
    <w:rsid w:val="00D34015"/>
    <w:rsid w:val="00D360DD"/>
    <w:rsid w:val="00D41710"/>
    <w:rsid w:val="00D419D3"/>
    <w:rsid w:val="00D46810"/>
    <w:rsid w:val="00D47273"/>
    <w:rsid w:val="00D51D8A"/>
    <w:rsid w:val="00D5358B"/>
    <w:rsid w:val="00D54620"/>
    <w:rsid w:val="00D54923"/>
    <w:rsid w:val="00D56A33"/>
    <w:rsid w:val="00D60582"/>
    <w:rsid w:val="00D61A4D"/>
    <w:rsid w:val="00D714EB"/>
    <w:rsid w:val="00D812CC"/>
    <w:rsid w:val="00D84632"/>
    <w:rsid w:val="00D86238"/>
    <w:rsid w:val="00D95D8D"/>
    <w:rsid w:val="00D97980"/>
    <w:rsid w:val="00DA02B5"/>
    <w:rsid w:val="00DA1D00"/>
    <w:rsid w:val="00DA2289"/>
    <w:rsid w:val="00DA38A0"/>
    <w:rsid w:val="00DA406B"/>
    <w:rsid w:val="00DA65E9"/>
    <w:rsid w:val="00DB1D3B"/>
    <w:rsid w:val="00DB6A82"/>
    <w:rsid w:val="00DC7723"/>
    <w:rsid w:val="00DC7C8F"/>
    <w:rsid w:val="00DD583B"/>
    <w:rsid w:val="00DD5F6C"/>
    <w:rsid w:val="00DE7511"/>
    <w:rsid w:val="00DF2D80"/>
    <w:rsid w:val="00DF3412"/>
    <w:rsid w:val="00DF3B95"/>
    <w:rsid w:val="00DF5BF5"/>
    <w:rsid w:val="00E00AE5"/>
    <w:rsid w:val="00E02B27"/>
    <w:rsid w:val="00E02B75"/>
    <w:rsid w:val="00E03118"/>
    <w:rsid w:val="00E04397"/>
    <w:rsid w:val="00E100C6"/>
    <w:rsid w:val="00E11CE7"/>
    <w:rsid w:val="00E12CF0"/>
    <w:rsid w:val="00E14878"/>
    <w:rsid w:val="00E166D4"/>
    <w:rsid w:val="00E17EAC"/>
    <w:rsid w:val="00E23DA8"/>
    <w:rsid w:val="00E24CB8"/>
    <w:rsid w:val="00E276D9"/>
    <w:rsid w:val="00E306EC"/>
    <w:rsid w:val="00E32000"/>
    <w:rsid w:val="00E344E5"/>
    <w:rsid w:val="00E43644"/>
    <w:rsid w:val="00E4393F"/>
    <w:rsid w:val="00E44907"/>
    <w:rsid w:val="00E50A1C"/>
    <w:rsid w:val="00E50CB9"/>
    <w:rsid w:val="00E518C6"/>
    <w:rsid w:val="00E52B1C"/>
    <w:rsid w:val="00E53762"/>
    <w:rsid w:val="00E544A9"/>
    <w:rsid w:val="00E55F86"/>
    <w:rsid w:val="00E609AB"/>
    <w:rsid w:val="00E60BA2"/>
    <w:rsid w:val="00E6302F"/>
    <w:rsid w:val="00E660F5"/>
    <w:rsid w:val="00E67956"/>
    <w:rsid w:val="00E67C8E"/>
    <w:rsid w:val="00E7171A"/>
    <w:rsid w:val="00E769F6"/>
    <w:rsid w:val="00E77C2D"/>
    <w:rsid w:val="00E810D4"/>
    <w:rsid w:val="00E853E8"/>
    <w:rsid w:val="00E86618"/>
    <w:rsid w:val="00E93C50"/>
    <w:rsid w:val="00E967BB"/>
    <w:rsid w:val="00EA10E2"/>
    <w:rsid w:val="00EA21D9"/>
    <w:rsid w:val="00EA68FE"/>
    <w:rsid w:val="00EA7242"/>
    <w:rsid w:val="00EA7FA7"/>
    <w:rsid w:val="00EB042D"/>
    <w:rsid w:val="00EB7E51"/>
    <w:rsid w:val="00EB7EE1"/>
    <w:rsid w:val="00EB7FDB"/>
    <w:rsid w:val="00EC0D13"/>
    <w:rsid w:val="00EC3661"/>
    <w:rsid w:val="00EC501C"/>
    <w:rsid w:val="00EC7FE3"/>
    <w:rsid w:val="00ED2333"/>
    <w:rsid w:val="00ED4289"/>
    <w:rsid w:val="00ED4B16"/>
    <w:rsid w:val="00EE0F15"/>
    <w:rsid w:val="00EE2D47"/>
    <w:rsid w:val="00EE56B8"/>
    <w:rsid w:val="00EE6F57"/>
    <w:rsid w:val="00EF43DE"/>
    <w:rsid w:val="00EF49C9"/>
    <w:rsid w:val="00EF5A52"/>
    <w:rsid w:val="00F01231"/>
    <w:rsid w:val="00F02DF7"/>
    <w:rsid w:val="00F030AC"/>
    <w:rsid w:val="00F03A73"/>
    <w:rsid w:val="00F04474"/>
    <w:rsid w:val="00F0470A"/>
    <w:rsid w:val="00F13724"/>
    <w:rsid w:val="00F13C9A"/>
    <w:rsid w:val="00F14533"/>
    <w:rsid w:val="00F17E6B"/>
    <w:rsid w:val="00F23B87"/>
    <w:rsid w:val="00F267D4"/>
    <w:rsid w:val="00F350F4"/>
    <w:rsid w:val="00F35A7D"/>
    <w:rsid w:val="00F41054"/>
    <w:rsid w:val="00F42570"/>
    <w:rsid w:val="00F4266C"/>
    <w:rsid w:val="00F43657"/>
    <w:rsid w:val="00F51310"/>
    <w:rsid w:val="00F51667"/>
    <w:rsid w:val="00F51D23"/>
    <w:rsid w:val="00F543D9"/>
    <w:rsid w:val="00F56909"/>
    <w:rsid w:val="00F6227D"/>
    <w:rsid w:val="00F62296"/>
    <w:rsid w:val="00F6510F"/>
    <w:rsid w:val="00F70FFD"/>
    <w:rsid w:val="00F748D2"/>
    <w:rsid w:val="00F76A67"/>
    <w:rsid w:val="00F77827"/>
    <w:rsid w:val="00F819EE"/>
    <w:rsid w:val="00F918E0"/>
    <w:rsid w:val="00F92542"/>
    <w:rsid w:val="00F928D6"/>
    <w:rsid w:val="00FA381B"/>
    <w:rsid w:val="00FA5F69"/>
    <w:rsid w:val="00FA7301"/>
    <w:rsid w:val="00FB26BE"/>
    <w:rsid w:val="00FB5E79"/>
    <w:rsid w:val="00FC0954"/>
    <w:rsid w:val="00FC175F"/>
    <w:rsid w:val="00FC1B39"/>
    <w:rsid w:val="00FC2D00"/>
    <w:rsid w:val="00FC4AE5"/>
    <w:rsid w:val="00FD1430"/>
    <w:rsid w:val="00FE2634"/>
    <w:rsid w:val="00FE5076"/>
    <w:rsid w:val="00FE746F"/>
    <w:rsid w:val="00FF0270"/>
    <w:rsid w:val="00FF09F1"/>
    <w:rsid w:val="00FF0FF6"/>
    <w:rsid w:val="00FF1C2B"/>
    <w:rsid w:val="00FF57DC"/>
    <w:rsid w:val="159A6948"/>
    <w:rsid w:val="286D7229"/>
    <w:rsid w:val="409E221E"/>
    <w:rsid w:val="55A439DB"/>
    <w:rsid w:val="5A9B1124"/>
    <w:rsid w:val="62363CFF"/>
    <w:rsid w:val="7DC5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15EC8D0-C910-43CC-8E30-A0E93D87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9">
    <w:name w:val="annotation subject"/>
    <w:basedOn w:val="a3"/>
    <w:next w:val="a3"/>
    <w:link w:val="aa"/>
    <w:uiPriority w:val="99"/>
    <w:semiHidden/>
    <w:unhideWhenUsed/>
    <w:qFormat/>
    <w:rPr>
      <w:b/>
      <w:bCs/>
    </w:rPr>
  </w:style>
  <w:style w:type="character" w:styleId="ab">
    <w:name w:val="annotation reference"/>
    <w:uiPriority w:val="99"/>
    <w:semiHidden/>
    <w:unhideWhenUsed/>
    <w:rPr>
      <w:sz w:val="21"/>
      <w:szCs w:val="21"/>
    </w:rPr>
  </w:style>
  <w:style w:type="character" w:customStyle="1" w:styleId="a8">
    <w:name w:val="页眉 字符"/>
    <w:link w:val="a7"/>
    <w:uiPriority w:val="99"/>
    <w:qFormat/>
    <w:rPr>
      <w:rFonts w:ascii="Times New Roman" w:eastAsia="宋体" w:hAnsi="Times New Roman"/>
      <w:kern w:val="2"/>
      <w:sz w:val="18"/>
      <w:szCs w:val="18"/>
    </w:rPr>
  </w:style>
  <w:style w:type="character" w:customStyle="1" w:styleId="a6">
    <w:name w:val="页脚 字符"/>
    <w:link w:val="a5"/>
    <w:uiPriority w:val="99"/>
    <w:rPr>
      <w:rFonts w:ascii="Times New Roman" w:eastAsia="宋体" w:hAnsi="Times New Roman"/>
      <w:kern w:val="2"/>
      <w:sz w:val="18"/>
      <w:szCs w:val="18"/>
    </w:rPr>
  </w:style>
  <w:style w:type="character" w:customStyle="1" w:styleId="a4">
    <w:name w:val="批注文字 字符"/>
    <w:link w:val="a3"/>
    <w:uiPriority w:val="99"/>
    <w:qFormat/>
    <w:rPr>
      <w:rFonts w:ascii="Times New Roman" w:eastAsia="宋体" w:hAnsi="Times New Roman"/>
      <w:kern w:val="2"/>
      <w:sz w:val="21"/>
      <w:szCs w:val="24"/>
    </w:rPr>
  </w:style>
  <w:style w:type="character" w:customStyle="1" w:styleId="aa">
    <w:name w:val="批注主题 字符"/>
    <w:link w:val="a9"/>
    <w:uiPriority w:val="99"/>
    <w:semiHidden/>
    <w:qFormat/>
    <w:rPr>
      <w:rFonts w:ascii="Times New Roman" w:eastAsia="宋体" w:hAnsi="Times New Roman"/>
      <w:b/>
      <w:bCs/>
      <w:kern w:val="2"/>
      <w:sz w:val="21"/>
      <w:szCs w:val="24"/>
    </w:rPr>
  </w:style>
  <w:style w:type="character" w:customStyle="1" w:styleId="HTML0">
    <w:name w:val="HTML 预设格式 字符"/>
    <w:link w:val="HTML"/>
    <w:uiPriority w:val="99"/>
    <w:semiHidden/>
    <w:qFormat/>
    <w:rPr>
      <w:rFonts w:ascii="Courier New" w:eastAsia="宋体" w:hAnsi="Courier New" w:cs="Courier New"/>
      <w:kern w:val="2"/>
    </w:rPr>
  </w:style>
  <w:style w:type="paragraph" w:customStyle="1" w:styleId="1">
    <w:name w:val="修订1"/>
    <w:hidden/>
    <w:uiPriority w:val="99"/>
    <w:unhideWhenUsed/>
    <w:rPr>
      <w:rFonts w:ascii="Times New Roman" w:eastAsia="宋体" w:hAnsi="Times New Roman"/>
      <w:kern w:val="2"/>
      <w:sz w:val="21"/>
      <w:szCs w:val="24"/>
    </w:rPr>
  </w:style>
  <w:style w:type="paragraph" w:styleId="ac">
    <w:name w:val="List Paragraph"/>
    <w:basedOn w:val="a"/>
    <w:uiPriority w:val="99"/>
    <w:unhideWhenUsed/>
    <w:qFormat/>
    <w:pPr>
      <w:ind w:firstLineChars="200" w:firstLine="420"/>
    </w:pPr>
  </w:style>
  <w:style w:type="paragraph" w:styleId="ad">
    <w:name w:val="Revision"/>
    <w:hidden/>
    <w:uiPriority w:val="99"/>
    <w:unhideWhenUsed/>
    <w:rsid w:val="00C03DA7"/>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 梓轩</dc:creator>
  <cp:lastModifiedBy>yu liu</cp:lastModifiedBy>
  <cp:revision>3</cp:revision>
  <dcterms:created xsi:type="dcterms:W3CDTF">2025-12-12T00:55:00Z</dcterms:created>
  <dcterms:modified xsi:type="dcterms:W3CDTF">2025-12-12T03:04:00Z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eyJoZGlkIjoiMzEwNTM5NzYwMDRjMzkwZTVkZjY2ODkwMGIxNGU0OTUiLCJ1c2VySWQiOiIyNzk3Nzc0OTIifQ==</vt:lpwstr>
  </property>
  <property fmtid="{D5CDD505-2E9C-101B-9397-08002B2CF9AE}" pid="3" name="KSOProductBuildVer">
    <vt:lpwstr>2052-12.1.0.24034</vt:lpwstr>
  </property>
  <property fmtid="{D5CDD505-2E9C-101B-9397-08002B2CF9AE}" pid="4" name="ICV">
    <vt:lpwstr>8A6DFEA6A43A436D81525D9E82AD28AC_13</vt:lpwstr>
  </property>
</Properties>
</file>