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6335F033"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C515D1">
        <w:rPr>
          <w:rFonts w:hint="eastAsia"/>
          <w:bCs/>
          <w:iCs/>
          <w:color w:val="000000"/>
          <w:sz w:val="24"/>
        </w:rPr>
        <w:t>1</w:t>
      </w:r>
      <w:r w:rsidR="0003270D">
        <w:rPr>
          <w:rFonts w:hint="eastAsia"/>
          <w:bCs/>
          <w:iCs/>
          <w:color w:val="000000"/>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72DC9EBE" w:rsidR="00DB361F" w:rsidRPr="00DA4F8C" w:rsidRDefault="0009495C" w:rsidP="00006948">
            <w:pPr>
              <w:spacing w:line="480" w:lineRule="atLeast"/>
              <w:rPr>
                <w:rFonts w:ascii="宋体" w:hAnsi="宋体" w:hint="eastAsia"/>
                <w:bCs/>
                <w:iCs/>
                <w:color w:val="000000"/>
                <w:sz w:val="24"/>
              </w:rPr>
            </w:pP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1B359D34"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9495C"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3FF93675" w:rsidR="00C458BE" w:rsidRPr="00781E2B" w:rsidRDefault="00845350" w:rsidP="004A3F1F">
            <w:pPr>
              <w:spacing w:beforeLines="50" w:before="156" w:afterLines="50" w:after="156"/>
              <w:rPr>
                <w:bCs/>
                <w:iCs/>
                <w:sz w:val="24"/>
              </w:rPr>
            </w:pPr>
            <w:r w:rsidRPr="00845350">
              <w:rPr>
                <w:rFonts w:hint="eastAsia"/>
                <w:bCs/>
                <w:iCs/>
                <w:sz w:val="24"/>
              </w:rPr>
              <w:t>安信基金，中信建投基金，西南证券，信达证券</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1BC4CA03"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885A73">
              <w:rPr>
                <w:rFonts w:hint="eastAsia"/>
                <w:bCs/>
                <w:iCs/>
                <w:color w:val="000000"/>
                <w:sz w:val="24"/>
              </w:rPr>
              <w:t>1</w:t>
            </w:r>
            <w:r w:rsidR="005C234B">
              <w:rPr>
                <w:rFonts w:hint="eastAsia"/>
                <w:bCs/>
                <w:iCs/>
                <w:color w:val="000000"/>
                <w:sz w:val="24"/>
              </w:rPr>
              <w:t>2</w:t>
            </w:r>
            <w:r w:rsidR="00804BC8">
              <w:rPr>
                <w:rFonts w:hint="eastAsia"/>
                <w:bCs/>
                <w:iCs/>
                <w:color w:val="000000"/>
                <w:sz w:val="24"/>
              </w:rPr>
              <w:t>月</w:t>
            </w:r>
            <w:r w:rsidR="005464DB">
              <w:rPr>
                <w:rFonts w:hint="eastAsia"/>
                <w:bCs/>
                <w:iCs/>
                <w:color w:val="000000"/>
                <w:sz w:val="24"/>
              </w:rPr>
              <w:t>12</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7F3D09CD" w:rsidR="00DB361F" w:rsidRPr="00DA4F8C" w:rsidRDefault="00F52C33"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线上</w:t>
            </w:r>
            <w:r w:rsidR="0056128E">
              <w:rPr>
                <w:rFonts w:ascii="宋体" w:hAnsi="宋体" w:hint="eastAsia"/>
                <w:bCs/>
                <w:iCs/>
                <w:color w:val="000000"/>
                <w:sz w:val="24"/>
              </w:rPr>
              <w:t>会议</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0F9D9D4F" w14:textId="18BABE0F" w:rsidR="00E938D6" w:rsidRDefault="00E938D6" w:rsidP="00703794">
            <w:pPr>
              <w:spacing w:beforeLines="50" w:before="156" w:afterLines="50" w:after="156"/>
              <w:rPr>
                <w:bCs/>
                <w:iCs/>
                <w:color w:val="000000"/>
                <w:kern w:val="0"/>
                <w:sz w:val="24"/>
              </w:rPr>
            </w:pPr>
            <w:r>
              <w:rPr>
                <w:rFonts w:hint="eastAsia"/>
                <w:bCs/>
                <w:iCs/>
                <w:color w:val="000000"/>
                <w:kern w:val="0"/>
                <w:sz w:val="24"/>
              </w:rPr>
              <w:t>医学总监：袁晓亮</w:t>
            </w:r>
          </w:p>
          <w:p w14:paraId="491D126A" w14:textId="0DBF01AD" w:rsidR="00302D15" w:rsidRDefault="007C6486" w:rsidP="00703794">
            <w:pPr>
              <w:spacing w:beforeLines="50" w:before="156" w:afterLines="50" w:after="156"/>
              <w:rPr>
                <w:bCs/>
                <w:iCs/>
                <w:color w:val="000000"/>
                <w:kern w:val="0"/>
                <w:sz w:val="24"/>
              </w:rPr>
            </w:pPr>
            <w:r w:rsidRPr="007C6486">
              <w:rPr>
                <w:rFonts w:hint="eastAsia"/>
                <w:bCs/>
                <w:iCs/>
                <w:color w:val="000000"/>
                <w:kern w:val="0"/>
                <w:sz w:val="24"/>
              </w:rPr>
              <w:t>财务</w:t>
            </w:r>
            <w:r w:rsidR="00D00BEF">
              <w:rPr>
                <w:rFonts w:hint="eastAsia"/>
                <w:bCs/>
                <w:iCs/>
                <w:color w:val="000000"/>
                <w:kern w:val="0"/>
                <w:sz w:val="24"/>
              </w:rPr>
              <w:t>负责人、代行董事会秘书</w:t>
            </w:r>
            <w:r w:rsidR="00703794">
              <w:rPr>
                <w:rFonts w:hint="eastAsia"/>
                <w:bCs/>
                <w:iCs/>
                <w:color w:val="000000"/>
                <w:kern w:val="0"/>
                <w:sz w:val="24"/>
              </w:rPr>
              <w:t>：</w:t>
            </w:r>
            <w:r>
              <w:rPr>
                <w:rFonts w:hint="eastAsia"/>
                <w:bCs/>
                <w:iCs/>
                <w:color w:val="000000"/>
                <w:kern w:val="0"/>
                <w:sz w:val="24"/>
              </w:rPr>
              <w:t>陈宝华</w:t>
            </w:r>
          </w:p>
          <w:p w14:paraId="0F43CA6E" w14:textId="4AC091ED" w:rsidR="00885A73" w:rsidRPr="00885A73" w:rsidRDefault="00917180" w:rsidP="00703794">
            <w:pPr>
              <w:spacing w:beforeLines="50" w:before="156" w:afterLines="50" w:after="156"/>
              <w:rPr>
                <w:bCs/>
                <w:iCs/>
                <w:color w:val="000000"/>
                <w:kern w:val="0"/>
                <w:sz w:val="24"/>
              </w:rPr>
            </w:pPr>
            <w:r w:rsidRPr="00917180">
              <w:rPr>
                <w:rFonts w:hint="eastAsia"/>
                <w:bCs/>
                <w:iCs/>
                <w:color w:val="000000"/>
                <w:kern w:val="0"/>
                <w:sz w:val="24"/>
              </w:rPr>
              <w:t>投资者关系主管：陈娟</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5CA24507" w14:textId="0CC34CF7" w:rsidR="001A065A" w:rsidRPr="00C83E9C" w:rsidRDefault="001A065A" w:rsidP="001A065A">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00FA4479">
              <w:rPr>
                <w:rFonts w:hint="eastAsia"/>
                <w:b/>
                <w:kern w:val="0"/>
                <w:sz w:val="24"/>
              </w:rPr>
              <w:t>1</w:t>
            </w:r>
            <w:r w:rsidRPr="004F6AB2">
              <w:rPr>
                <w:rFonts w:hint="eastAsia"/>
                <w:b/>
                <w:kern w:val="0"/>
                <w:sz w:val="24"/>
              </w:rPr>
              <w:t>：</w:t>
            </w:r>
            <w:r>
              <w:rPr>
                <w:rFonts w:hint="eastAsia"/>
                <w:b/>
                <w:kern w:val="0"/>
                <w:sz w:val="24"/>
              </w:rPr>
              <w:t>APL-1401</w:t>
            </w:r>
            <w:r>
              <w:rPr>
                <w:rFonts w:hint="eastAsia"/>
                <w:b/>
                <w:kern w:val="0"/>
                <w:sz w:val="24"/>
              </w:rPr>
              <w:t>的数据怎么样？</w:t>
            </w:r>
          </w:p>
          <w:p w14:paraId="583F0A7D" w14:textId="77777777" w:rsidR="001A065A" w:rsidRDefault="001A065A" w:rsidP="001A065A">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Pr="00B81572">
              <w:rPr>
                <w:rFonts w:hint="eastAsia"/>
                <w:color w:val="000000" w:themeColor="text1"/>
                <w:kern w:val="0"/>
                <w:sz w:val="24"/>
              </w:rPr>
              <w:t>APL-1401</w:t>
            </w:r>
            <w:r w:rsidRPr="00B81572">
              <w:rPr>
                <w:rFonts w:hint="eastAsia"/>
                <w:color w:val="000000" w:themeColor="text1"/>
                <w:kern w:val="0"/>
                <w:sz w:val="24"/>
              </w:rPr>
              <w:t>是公司通过自主研究并发现其全新作用机制用于治疗自身免疫疾病的口服创新药物。</w:t>
            </w:r>
            <w:r w:rsidRPr="00B81572">
              <w:rPr>
                <w:rFonts w:hint="eastAsia"/>
                <w:color w:val="000000" w:themeColor="text1"/>
                <w:kern w:val="0"/>
                <w:sz w:val="24"/>
              </w:rPr>
              <w:t>APL-1401</w:t>
            </w:r>
            <w:r w:rsidRPr="00B81572">
              <w:rPr>
                <w:rFonts w:hint="eastAsia"/>
                <w:color w:val="000000" w:themeColor="text1"/>
                <w:kern w:val="0"/>
                <w:sz w:val="24"/>
              </w:rPr>
              <w:t>是一种强效、选择性的多巴胺</w:t>
            </w:r>
            <w:r w:rsidRPr="00416FEB">
              <w:rPr>
                <w:color w:val="000000" w:themeColor="text1"/>
                <w:kern w:val="0"/>
                <w:sz w:val="24"/>
              </w:rPr>
              <w:t>β</w:t>
            </w:r>
            <w:r w:rsidRPr="00B81572">
              <w:rPr>
                <w:rFonts w:hint="eastAsia"/>
                <w:color w:val="000000" w:themeColor="text1"/>
                <w:kern w:val="0"/>
                <w:sz w:val="24"/>
              </w:rPr>
              <w:t>-</w:t>
            </w:r>
            <w:r w:rsidRPr="00B81572">
              <w:rPr>
                <w:rFonts w:hint="eastAsia"/>
                <w:color w:val="000000" w:themeColor="text1"/>
                <w:kern w:val="0"/>
                <w:sz w:val="24"/>
              </w:rPr>
              <w:t>羟化酶（</w:t>
            </w:r>
            <w:r w:rsidRPr="00B81572">
              <w:rPr>
                <w:rFonts w:hint="eastAsia"/>
                <w:color w:val="000000" w:themeColor="text1"/>
                <w:kern w:val="0"/>
                <w:sz w:val="24"/>
              </w:rPr>
              <w:t>DBH</w:t>
            </w:r>
            <w:r w:rsidRPr="00B81572">
              <w:rPr>
                <w:rFonts w:hint="eastAsia"/>
                <w:color w:val="000000" w:themeColor="text1"/>
                <w:kern w:val="0"/>
                <w:sz w:val="24"/>
              </w:rPr>
              <w:t>）抑制剂，通过抑制</w:t>
            </w:r>
            <w:r w:rsidRPr="00B81572">
              <w:rPr>
                <w:rFonts w:hint="eastAsia"/>
                <w:color w:val="000000" w:themeColor="text1"/>
                <w:kern w:val="0"/>
                <w:sz w:val="24"/>
              </w:rPr>
              <w:t>DBH</w:t>
            </w:r>
            <w:r w:rsidRPr="00B81572">
              <w:rPr>
                <w:rFonts w:hint="eastAsia"/>
                <w:color w:val="000000" w:themeColor="text1"/>
                <w:kern w:val="0"/>
                <w:sz w:val="24"/>
              </w:rPr>
              <w:t>，从而阻断了多巴胺（</w:t>
            </w:r>
            <w:r w:rsidRPr="00B81572">
              <w:rPr>
                <w:rFonts w:hint="eastAsia"/>
                <w:color w:val="000000" w:themeColor="text1"/>
                <w:kern w:val="0"/>
                <w:sz w:val="24"/>
              </w:rPr>
              <w:t>DA</w:t>
            </w:r>
            <w:r w:rsidRPr="00B81572">
              <w:rPr>
                <w:rFonts w:hint="eastAsia"/>
                <w:color w:val="000000" w:themeColor="text1"/>
                <w:kern w:val="0"/>
                <w:sz w:val="24"/>
              </w:rPr>
              <w:t>）合成去甲肾上腺素（</w:t>
            </w:r>
            <w:r w:rsidRPr="00B81572">
              <w:rPr>
                <w:rFonts w:hint="eastAsia"/>
                <w:color w:val="000000" w:themeColor="text1"/>
                <w:kern w:val="0"/>
                <w:sz w:val="24"/>
              </w:rPr>
              <w:t>NE</w:t>
            </w:r>
            <w:r w:rsidRPr="00B81572">
              <w:rPr>
                <w:rFonts w:hint="eastAsia"/>
                <w:color w:val="000000" w:themeColor="text1"/>
                <w:kern w:val="0"/>
                <w:sz w:val="24"/>
              </w:rPr>
              <w:t>）唯一的催化酶，导致</w:t>
            </w:r>
            <w:r w:rsidRPr="00B81572">
              <w:rPr>
                <w:rFonts w:hint="eastAsia"/>
                <w:color w:val="000000" w:themeColor="text1"/>
                <w:kern w:val="0"/>
                <w:sz w:val="24"/>
              </w:rPr>
              <w:t>DA</w:t>
            </w:r>
            <w:r w:rsidRPr="00B81572">
              <w:rPr>
                <w:rFonts w:hint="eastAsia"/>
                <w:color w:val="000000" w:themeColor="text1"/>
                <w:kern w:val="0"/>
                <w:sz w:val="24"/>
              </w:rPr>
              <w:t>升高、</w:t>
            </w:r>
            <w:r w:rsidRPr="00B81572">
              <w:rPr>
                <w:rFonts w:hint="eastAsia"/>
                <w:color w:val="000000" w:themeColor="text1"/>
                <w:kern w:val="0"/>
                <w:sz w:val="24"/>
              </w:rPr>
              <w:t>NE</w:t>
            </w:r>
            <w:r w:rsidRPr="00B81572">
              <w:rPr>
                <w:rFonts w:hint="eastAsia"/>
                <w:color w:val="000000" w:themeColor="text1"/>
                <w:kern w:val="0"/>
                <w:sz w:val="24"/>
              </w:rPr>
              <w:t>降低，使肠道免疫稳态恢复正常</w:t>
            </w:r>
            <w:r>
              <w:rPr>
                <w:rFonts w:hint="eastAsia"/>
                <w:color w:val="000000" w:themeColor="text1"/>
                <w:kern w:val="0"/>
                <w:sz w:val="24"/>
              </w:rPr>
              <w:t>。</w:t>
            </w:r>
          </w:p>
          <w:p w14:paraId="662F8DD4" w14:textId="13936705" w:rsidR="005826B8" w:rsidRDefault="001A065A" w:rsidP="00496F42">
            <w:pPr>
              <w:widowControl/>
              <w:spacing w:beforeLines="50" w:before="156" w:afterLines="50" w:after="156" w:line="283" w:lineRule="auto"/>
              <w:ind w:firstLineChars="200" w:firstLine="480"/>
              <w:rPr>
                <w:color w:val="000000" w:themeColor="text1"/>
                <w:kern w:val="0"/>
                <w:sz w:val="24"/>
              </w:rPr>
            </w:pPr>
            <w:r w:rsidRPr="00B81572">
              <w:rPr>
                <w:rFonts w:hint="eastAsia"/>
                <w:color w:val="000000" w:themeColor="text1"/>
                <w:kern w:val="0"/>
                <w:sz w:val="24"/>
              </w:rPr>
              <w:t>公司开展的研究是一项在中重度活动性溃疡性结肠炎患者中评价</w:t>
            </w:r>
            <w:r w:rsidRPr="00B81572">
              <w:rPr>
                <w:rFonts w:hint="eastAsia"/>
                <w:color w:val="000000" w:themeColor="text1"/>
                <w:kern w:val="0"/>
                <w:sz w:val="24"/>
              </w:rPr>
              <w:t>APL-1401</w:t>
            </w:r>
            <w:r w:rsidRPr="00B81572">
              <w:rPr>
                <w:rFonts w:hint="eastAsia"/>
                <w:color w:val="000000" w:themeColor="text1"/>
                <w:kern w:val="0"/>
                <w:sz w:val="24"/>
              </w:rPr>
              <w:t>的安全性、耐受性、药代动力学和初步有效性的</w:t>
            </w:r>
            <w:r w:rsidRPr="00675F78">
              <w:rPr>
                <w:color w:val="000000" w:themeColor="text1"/>
                <w:kern w:val="0"/>
                <w:sz w:val="24"/>
              </w:rPr>
              <w:t>Ⅰb</w:t>
            </w:r>
            <w:r w:rsidRPr="00675F78">
              <w:rPr>
                <w:color w:val="000000" w:themeColor="text1"/>
                <w:kern w:val="0"/>
                <w:sz w:val="24"/>
              </w:rPr>
              <w:t>期随</w:t>
            </w:r>
            <w:r w:rsidRPr="00B81572">
              <w:rPr>
                <w:rFonts w:hint="eastAsia"/>
                <w:color w:val="000000" w:themeColor="text1"/>
                <w:kern w:val="0"/>
                <w:sz w:val="24"/>
              </w:rPr>
              <w:t>机、双盲研究</w:t>
            </w:r>
            <w:r>
              <w:rPr>
                <w:rFonts w:hint="eastAsia"/>
                <w:color w:val="000000" w:themeColor="text1"/>
                <w:kern w:val="0"/>
                <w:sz w:val="24"/>
              </w:rPr>
              <w:t>，该研究结果</w:t>
            </w:r>
            <w:r w:rsidRPr="00B81572">
              <w:rPr>
                <w:rFonts w:hint="eastAsia"/>
                <w:color w:val="000000" w:themeColor="text1"/>
                <w:kern w:val="0"/>
                <w:sz w:val="24"/>
              </w:rPr>
              <w:t>第</w:t>
            </w:r>
            <w:r w:rsidRPr="00B81572">
              <w:rPr>
                <w:rFonts w:hint="eastAsia"/>
                <w:color w:val="000000" w:themeColor="text1"/>
                <w:kern w:val="0"/>
                <w:sz w:val="24"/>
              </w:rPr>
              <w:t>19</w:t>
            </w:r>
            <w:r w:rsidRPr="00B81572">
              <w:rPr>
                <w:rFonts w:hint="eastAsia"/>
                <w:color w:val="000000" w:themeColor="text1"/>
                <w:kern w:val="0"/>
                <w:sz w:val="24"/>
              </w:rPr>
              <w:t>届欧洲结直肠大会（</w:t>
            </w:r>
            <w:r w:rsidRPr="00B81572">
              <w:rPr>
                <w:rFonts w:hint="eastAsia"/>
                <w:color w:val="000000" w:themeColor="text1"/>
                <w:kern w:val="0"/>
                <w:sz w:val="24"/>
              </w:rPr>
              <w:t>European</w:t>
            </w:r>
            <w:r>
              <w:rPr>
                <w:rFonts w:hint="eastAsia"/>
                <w:color w:val="000000" w:themeColor="text1"/>
                <w:kern w:val="0"/>
                <w:sz w:val="24"/>
              </w:rPr>
              <w:t xml:space="preserve"> </w:t>
            </w:r>
            <w:r w:rsidRPr="00B81572">
              <w:rPr>
                <w:rFonts w:hint="eastAsia"/>
                <w:color w:val="000000" w:themeColor="text1"/>
                <w:kern w:val="0"/>
                <w:sz w:val="24"/>
              </w:rPr>
              <w:t>Colorectal</w:t>
            </w:r>
            <w:r>
              <w:rPr>
                <w:rFonts w:hint="eastAsia"/>
                <w:color w:val="000000" w:themeColor="text1"/>
                <w:kern w:val="0"/>
                <w:sz w:val="24"/>
              </w:rPr>
              <w:t xml:space="preserve"> </w:t>
            </w:r>
            <w:r w:rsidRPr="00B81572">
              <w:rPr>
                <w:rFonts w:hint="eastAsia"/>
                <w:color w:val="000000" w:themeColor="text1"/>
                <w:kern w:val="0"/>
                <w:sz w:val="24"/>
              </w:rPr>
              <w:t>Congress</w:t>
            </w:r>
            <w:r w:rsidRPr="00B81572">
              <w:rPr>
                <w:rFonts w:hint="eastAsia"/>
                <w:color w:val="000000" w:themeColor="text1"/>
                <w:kern w:val="0"/>
                <w:sz w:val="24"/>
              </w:rPr>
              <w:t>，</w:t>
            </w:r>
            <w:r w:rsidRPr="00B81572">
              <w:rPr>
                <w:rFonts w:hint="eastAsia"/>
                <w:color w:val="000000" w:themeColor="text1"/>
                <w:kern w:val="0"/>
                <w:sz w:val="24"/>
              </w:rPr>
              <w:t>ECC</w:t>
            </w:r>
            <w:r w:rsidRPr="00B81572">
              <w:rPr>
                <w:rFonts w:hint="eastAsia"/>
                <w:color w:val="000000" w:themeColor="text1"/>
                <w:kern w:val="0"/>
                <w:sz w:val="24"/>
              </w:rPr>
              <w:t>），并以壁报形式发布。该研究剂量爬坡阶段已顺利完成，整体安全性</w:t>
            </w:r>
            <w:r w:rsidRPr="00B81572">
              <w:rPr>
                <w:rFonts w:hint="eastAsia"/>
                <w:color w:val="000000" w:themeColor="text1"/>
                <w:kern w:val="0"/>
                <w:sz w:val="24"/>
              </w:rPr>
              <w:lastRenderedPageBreak/>
              <w:t>良好，未观察到任何严重不良事件（</w:t>
            </w:r>
            <w:r w:rsidRPr="00B81572">
              <w:rPr>
                <w:rFonts w:hint="eastAsia"/>
                <w:color w:val="000000" w:themeColor="text1"/>
                <w:kern w:val="0"/>
                <w:sz w:val="24"/>
              </w:rPr>
              <w:t>SAEs</w:t>
            </w:r>
            <w:r w:rsidRPr="00B81572">
              <w:rPr>
                <w:rFonts w:hint="eastAsia"/>
                <w:color w:val="000000" w:themeColor="text1"/>
                <w:kern w:val="0"/>
                <w:sz w:val="24"/>
              </w:rPr>
              <w:t>），并在仅</w:t>
            </w:r>
            <w:r w:rsidRPr="00B81572">
              <w:rPr>
                <w:rFonts w:hint="eastAsia"/>
                <w:color w:val="000000" w:themeColor="text1"/>
                <w:kern w:val="0"/>
                <w:sz w:val="24"/>
              </w:rPr>
              <w:t>4</w:t>
            </w:r>
            <w:r w:rsidRPr="00B81572">
              <w:rPr>
                <w:rFonts w:hint="eastAsia"/>
                <w:color w:val="000000" w:themeColor="text1"/>
                <w:kern w:val="0"/>
                <w:sz w:val="24"/>
              </w:rPr>
              <w:t>周的治疗周期内即显示出积极的疗效信号。在所有可评估患者中，</w:t>
            </w:r>
            <w:r w:rsidRPr="00B81572">
              <w:rPr>
                <w:rFonts w:hint="eastAsia"/>
                <w:color w:val="000000" w:themeColor="text1"/>
                <w:kern w:val="0"/>
                <w:sz w:val="24"/>
              </w:rPr>
              <w:t>41.7%</w:t>
            </w:r>
            <w:r w:rsidRPr="00B81572">
              <w:rPr>
                <w:rFonts w:hint="eastAsia"/>
                <w:color w:val="000000" w:themeColor="text1"/>
                <w:kern w:val="0"/>
                <w:sz w:val="24"/>
              </w:rPr>
              <w:t>（</w:t>
            </w:r>
            <w:r w:rsidRPr="00B81572">
              <w:rPr>
                <w:rFonts w:hint="eastAsia"/>
                <w:color w:val="000000" w:themeColor="text1"/>
                <w:kern w:val="0"/>
                <w:sz w:val="24"/>
              </w:rPr>
              <w:t>5/12</w:t>
            </w:r>
            <w:r w:rsidRPr="00B81572">
              <w:rPr>
                <w:rFonts w:hint="eastAsia"/>
                <w:color w:val="000000" w:themeColor="text1"/>
                <w:kern w:val="0"/>
                <w:sz w:val="24"/>
              </w:rPr>
              <w:t>）实现组织学改善，其中</w:t>
            </w:r>
            <w:r w:rsidRPr="00B81572">
              <w:rPr>
                <w:rFonts w:hint="eastAsia"/>
                <w:color w:val="000000" w:themeColor="text1"/>
                <w:kern w:val="0"/>
                <w:sz w:val="24"/>
              </w:rPr>
              <w:t>120mg</w:t>
            </w:r>
            <w:r w:rsidRPr="00B81572">
              <w:rPr>
                <w:rFonts w:hint="eastAsia"/>
                <w:color w:val="000000" w:themeColor="text1"/>
                <w:kern w:val="0"/>
                <w:sz w:val="24"/>
              </w:rPr>
              <w:t>组表现尤为突出，在</w:t>
            </w:r>
            <w:r w:rsidRPr="00B81572">
              <w:rPr>
                <w:rFonts w:hint="eastAsia"/>
                <w:color w:val="000000" w:themeColor="text1"/>
                <w:kern w:val="0"/>
                <w:sz w:val="24"/>
              </w:rPr>
              <w:t>4</w:t>
            </w:r>
            <w:r w:rsidRPr="00B81572">
              <w:rPr>
                <w:rFonts w:hint="eastAsia"/>
                <w:color w:val="000000" w:themeColor="text1"/>
                <w:kern w:val="0"/>
                <w:sz w:val="24"/>
              </w:rPr>
              <w:t>周治疗周期内的临床应答率为</w:t>
            </w:r>
            <w:r w:rsidRPr="00B81572">
              <w:rPr>
                <w:rFonts w:hint="eastAsia"/>
                <w:color w:val="000000" w:themeColor="text1"/>
                <w:kern w:val="0"/>
                <w:sz w:val="24"/>
              </w:rPr>
              <w:t>33.3%</w:t>
            </w:r>
            <w:r w:rsidRPr="00B81572">
              <w:rPr>
                <w:rFonts w:hint="eastAsia"/>
                <w:color w:val="000000" w:themeColor="text1"/>
                <w:kern w:val="0"/>
                <w:sz w:val="24"/>
              </w:rPr>
              <w:t>，组织学改善率达到</w:t>
            </w:r>
            <w:r w:rsidRPr="00B81572">
              <w:rPr>
                <w:rFonts w:hint="eastAsia"/>
                <w:color w:val="000000" w:themeColor="text1"/>
                <w:kern w:val="0"/>
                <w:sz w:val="24"/>
              </w:rPr>
              <w:t>66.7%</w:t>
            </w:r>
            <w:r w:rsidRPr="00B81572">
              <w:rPr>
                <w:rFonts w:hint="eastAsia"/>
                <w:color w:val="000000" w:themeColor="text1"/>
                <w:kern w:val="0"/>
                <w:sz w:val="24"/>
              </w:rPr>
              <w:t>，而安慰剂组未见改善。此外</w:t>
            </w:r>
            <w:r w:rsidRPr="00B81572">
              <w:rPr>
                <w:rFonts w:hint="eastAsia"/>
                <w:color w:val="000000" w:themeColor="text1"/>
                <w:kern w:val="0"/>
                <w:sz w:val="24"/>
              </w:rPr>
              <w:t>120mg</w:t>
            </w:r>
            <w:r w:rsidRPr="00B81572">
              <w:rPr>
                <w:rFonts w:hint="eastAsia"/>
                <w:color w:val="000000" w:themeColor="text1"/>
                <w:kern w:val="0"/>
                <w:sz w:val="24"/>
              </w:rPr>
              <w:t>剂量组亦观察到早期（</w:t>
            </w:r>
            <w:r w:rsidRPr="00B81572">
              <w:rPr>
                <w:rFonts w:hint="eastAsia"/>
                <w:color w:val="000000" w:themeColor="text1"/>
                <w:kern w:val="0"/>
                <w:sz w:val="24"/>
              </w:rPr>
              <w:t>4</w:t>
            </w:r>
            <w:r w:rsidRPr="00B81572">
              <w:rPr>
                <w:rFonts w:hint="eastAsia"/>
                <w:color w:val="000000" w:themeColor="text1"/>
                <w:kern w:val="0"/>
                <w:sz w:val="24"/>
              </w:rPr>
              <w:t>周）内镜改善迹象，</w:t>
            </w:r>
            <w:r w:rsidRPr="00B81572">
              <w:rPr>
                <w:rFonts w:hint="eastAsia"/>
                <w:color w:val="000000" w:themeColor="text1"/>
                <w:kern w:val="0"/>
                <w:sz w:val="24"/>
              </w:rPr>
              <w:t>33.3%</w:t>
            </w:r>
            <w:r w:rsidRPr="00B81572">
              <w:rPr>
                <w:rFonts w:hint="eastAsia"/>
                <w:color w:val="000000" w:themeColor="text1"/>
                <w:kern w:val="0"/>
                <w:sz w:val="24"/>
              </w:rPr>
              <w:t>的患者实现</w:t>
            </w:r>
            <w:r w:rsidRPr="00B81572">
              <w:rPr>
                <w:rFonts w:hint="eastAsia"/>
                <w:color w:val="000000" w:themeColor="text1"/>
                <w:kern w:val="0"/>
                <w:sz w:val="24"/>
              </w:rPr>
              <w:t>Mayo</w:t>
            </w:r>
            <w:r w:rsidRPr="00B81572">
              <w:rPr>
                <w:rFonts w:hint="eastAsia"/>
                <w:color w:val="000000" w:themeColor="text1"/>
                <w:kern w:val="0"/>
                <w:sz w:val="24"/>
              </w:rPr>
              <w:t>内镜评分（</w:t>
            </w:r>
            <w:r w:rsidRPr="00B81572">
              <w:rPr>
                <w:rFonts w:hint="eastAsia"/>
                <w:color w:val="000000" w:themeColor="text1"/>
                <w:kern w:val="0"/>
                <w:sz w:val="24"/>
              </w:rPr>
              <w:t>MES</w:t>
            </w:r>
            <w:r w:rsidRPr="00B81572">
              <w:rPr>
                <w:rFonts w:hint="eastAsia"/>
                <w:color w:val="000000" w:themeColor="text1"/>
                <w:kern w:val="0"/>
                <w:sz w:val="24"/>
              </w:rPr>
              <w:t>）下降</w:t>
            </w:r>
            <w:r w:rsidRPr="00B81572">
              <w:rPr>
                <w:rFonts w:hint="eastAsia"/>
                <w:color w:val="000000" w:themeColor="text1"/>
                <w:kern w:val="0"/>
                <w:sz w:val="24"/>
              </w:rPr>
              <w:t>1</w:t>
            </w:r>
            <w:r w:rsidRPr="00B81572">
              <w:rPr>
                <w:rFonts w:hint="eastAsia"/>
                <w:color w:val="000000" w:themeColor="text1"/>
                <w:kern w:val="0"/>
                <w:sz w:val="24"/>
              </w:rPr>
              <w:t>分，且</w:t>
            </w:r>
            <w:r w:rsidRPr="00B81572">
              <w:rPr>
                <w:rFonts w:hint="eastAsia"/>
                <w:color w:val="000000" w:themeColor="text1"/>
                <w:kern w:val="0"/>
                <w:sz w:val="24"/>
              </w:rPr>
              <w:t>100%</w:t>
            </w:r>
            <w:r w:rsidRPr="00B81572">
              <w:rPr>
                <w:rFonts w:hint="eastAsia"/>
                <w:color w:val="000000" w:themeColor="text1"/>
                <w:kern w:val="0"/>
                <w:sz w:val="24"/>
              </w:rPr>
              <w:t>的患者实现直肠出血评分下降</w:t>
            </w:r>
            <w:r w:rsidRPr="00B81572">
              <w:rPr>
                <w:rFonts w:hint="eastAsia"/>
                <w:color w:val="000000" w:themeColor="text1"/>
                <w:kern w:val="0"/>
                <w:sz w:val="24"/>
              </w:rPr>
              <w:t>1</w:t>
            </w:r>
            <w:r w:rsidRPr="00B81572">
              <w:rPr>
                <w:rFonts w:hint="eastAsia"/>
                <w:color w:val="000000" w:themeColor="text1"/>
                <w:kern w:val="0"/>
                <w:sz w:val="24"/>
              </w:rPr>
              <w:t>分。</w:t>
            </w:r>
          </w:p>
          <w:p w14:paraId="40AC08E9" w14:textId="3BF30BBC" w:rsidR="00451FFF" w:rsidRPr="001A065A" w:rsidRDefault="00451FFF" w:rsidP="00496F42">
            <w:pPr>
              <w:widowControl/>
              <w:spacing w:beforeLines="50" w:before="156" w:afterLines="50" w:after="156" w:line="283" w:lineRule="auto"/>
              <w:ind w:firstLineChars="200" w:firstLine="480"/>
              <w:rPr>
                <w:color w:val="000000" w:themeColor="text1"/>
                <w:kern w:val="0"/>
                <w:sz w:val="24"/>
              </w:rPr>
            </w:pPr>
            <w:r w:rsidRPr="00451FFF">
              <w:rPr>
                <w:rFonts w:hint="eastAsia"/>
                <w:color w:val="000000" w:themeColor="text1"/>
                <w:kern w:val="0"/>
                <w:sz w:val="24"/>
              </w:rPr>
              <w:t>溃疡性结肠炎（</w:t>
            </w:r>
            <w:r w:rsidRPr="00451FFF">
              <w:rPr>
                <w:rFonts w:hint="eastAsia"/>
                <w:color w:val="000000" w:themeColor="text1"/>
                <w:kern w:val="0"/>
                <w:sz w:val="24"/>
              </w:rPr>
              <w:t>UC</w:t>
            </w:r>
            <w:r w:rsidRPr="00451FFF">
              <w:rPr>
                <w:rFonts w:hint="eastAsia"/>
                <w:color w:val="000000" w:themeColor="text1"/>
                <w:kern w:val="0"/>
                <w:sz w:val="24"/>
              </w:rPr>
              <w:t>）是一种结肠的慢性特发性炎症性肠病（</w:t>
            </w:r>
            <w:r w:rsidRPr="00451FFF">
              <w:rPr>
                <w:rFonts w:hint="eastAsia"/>
                <w:color w:val="000000" w:themeColor="text1"/>
                <w:kern w:val="0"/>
                <w:sz w:val="24"/>
              </w:rPr>
              <w:t>IBD</w:t>
            </w:r>
            <w:r w:rsidRPr="00451FFF">
              <w:rPr>
                <w:rFonts w:hint="eastAsia"/>
                <w:color w:val="000000" w:themeColor="text1"/>
                <w:kern w:val="0"/>
                <w:sz w:val="24"/>
              </w:rPr>
              <w:t>），可引起浅表粘膜炎症。</w:t>
            </w:r>
            <w:r w:rsidRPr="00451FFF">
              <w:rPr>
                <w:rFonts w:hint="eastAsia"/>
                <w:color w:val="000000" w:themeColor="text1"/>
                <w:kern w:val="0"/>
                <w:sz w:val="24"/>
              </w:rPr>
              <w:t>UC</w:t>
            </w:r>
            <w:r w:rsidRPr="00451FFF">
              <w:rPr>
                <w:rFonts w:hint="eastAsia"/>
                <w:color w:val="000000" w:themeColor="text1"/>
                <w:kern w:val="0"/>
                <w:sz w:val="24"/>
              </w:rPr>
              <w:t>的炎症性质可导致持续性肠损伤，并增加住院、手术和结直肠癌的风险。目前尚无治愈</w:t>
            </w:r>
            <w:r w:rsidRPr="00451FFF">
              <w:rPr>
                <w:rFonts w:hint="eastAsia"/>
                <w:color w:val="000000" w:themeColor="text1"/>
                <w:kern w:val="0"/>
                <w:sz w:val="24"/>
              </w:rPr>
              <w:t>UC</w:t>
            </w:r>
            <w:r w:rsidRPr="00451FFF">
              <w:rPr>
                <w:rFonts w:hint="eastAsia"/>
                <w:color w:val="000000" w:themeColor="text1"/>
                <w:kern w:val="0"/>
                <w:sz w:val="24"/>
              </w:rPr>
              <w:t>的方法，现有疗法的有效性和安全性仍存在进一步提升的空间，存在巨大未被满足的临床需求，亟需新机制的疗法。</w:t>
            </w:r>
            <w:r w:rsidRPr="00451FFF">
              <w:rPr>
                <w:rFonts w:hint="eastAsia"/>
                <w:color w:val="000000" w:themeColor="text1"/>
                <w:kern w:val="0"/>
                <w:sz w:val="24"/>
              </w:rPr>
              <w:t>APL-1401</w:t>
            </w:r>
            <w:r w:rsidRPr="00451FFF">
              <w:rPr>
                <w:rFonts w:hint="eastAsia"/>
                <w:color w:val="000000" w:themeColor="text1"/>
                <w:kern w:val="0"/>
                <w:sz w:val="24"/>
              </w:rPr>
              <w:t>的开发有望给</w:t>
            </w:r>
            <w:r w:rsidRPr="00451FFF">
              <w:rPr>
                <w:rFonts w:hint="eastAsia"/>
                <w:color w:val="000000" w:themeColor="text1"/>
                <w:kern w:val="0"/>
                <w:sz w:val="24"/>
              </w:rPr>
              <w:t>UC</w:t>
            </w:r>
            <w:r w:rsidRPr="00451FFF">
              <w:rPr>
                <w:rFonts w:hint="eastAsia"/>
                <w:color w:val="000000" w:themeColor="text1"/>
                <w:kern w:val="0"/>
                <w:sz w:val="24"/>
              </w:rPr>
              <w:t>患者提供新的治疗手段。</w:t>
            </w:r>
          </w:p>
          <w:p w14:paraId="5DB63224" w14:textId="1E9B1940" w:rsidR="00362177" w:rsidRPr="00C83E9C" w:rsidRDefault="00362177" w:rsidP="00362177">
            <w:pPr>
              <w:widowControl/>
              <w:spacing w:beforeLines="50" w:before="156" w:afterLines="50" w:after="156" w:line="283" w:lineRule="auto"/>
              <w:ind w:firstLineChars="200" w:firstLine="482"/>
              <w:rPr>
                <w:b/>
                <w:bCs/>
                <w:color w:val="000000" w:themeColor="text1"/>
                <w:kern w:val="0"/>
                <w:sz w:val="24"/>
              </w:rPr>
            </w:pPr>
            <w:r w:rsidRPr="00526896">
              <w:rPr>
                <w:rFonts w:hint="eastAsia"/>
                <w:b/>
                <w:kern w:val="0"/>
                <w:sz w:val="24"/>
              </w:rPr>
              <w:t>问</w:t>
            </w:r>
            <w:r w:rsidR="00385C47">
              <w:rPr>
                <w:rFonts w:hint="eastAsia"/>
                <w:b/>
                <w:kern w:val="0"/>
                <w:sz w:val="24"/>
              </w:rPr>
              <w:t>2</w:t>
            </w:r>
            <w:r w:rsidRPr="00526896">
              <w:rPr>
                <w:rFonts w:hint="eastAsia"/>
                <w:b/>
                <w:kern w:val="0"/>
                <w:sz w:val="24"/>
              </w:rPr>
              <w:t>：</w:t>
            </w:r>
            <w:r w:rsidRPr="00526896">
              <w:rPr>
                <w:rFonts w:hint="eastAsia"/>
                <w:b/>
                <w:kern w:val="0"/>
                <w:sz w:val="24"/>
              </w:rPr>
              <w:t>APL-2302</w:t>
            </w:r>
            <w:r w:rsidR="0040678A" w:rsidRPr="00526896">
              <w:rPr>
                <w:rFonts w:hint="eastAsia"/>
                <w:b/>
                <w:kern w:val="0"/>
                <w:sz w:val="24"/>
              </w:rPr>
              <w:t>数据怎么样？</w:t>
            </w:r>
            <w:r w:rsidR="007752BE">
              <w:rPr>
                <w:rFonts w:hint="eastAsia"/>
                <w:b/>
                <w:kern w:val="0"/>
                <w:sz w:val="24"/>
              </w:rPr>
              <w:t>和竞品相比有什么优势？</w:t>
            </w:r>
          </w:p>
          <w:p w14:paraId="31AE8803" w14:textId="540D3AA7" w:rsidR="00362177" w:rsidRPr="00EC369B" w:rsidRDefault="00362177" w:rsidP="00362177">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DA3D4E" w:rsidRPr="00DA3D4E">
              <w:rPr>
                <w:rFonts w:hint="eastAsia"/>
                <w:color w:val="000000" w:themeColor="text1"/>
                <w:kern w:val="0"/>
                <w:sz w:val="24"/>
              </w:rPr>
              <w:t>APL-2302</w:t>
            </w:r>
            <w:r w:rsidR="00DA3D4E" w:rsidRPr="00DA3D4E">
              <w:rPr>
                <w:rFonts w:hint="eastAsia"/>
                <w:color w:val="000000" w:themeColor="text1"/>
                <w:kern w:val="0"/>
                <w:sz w:val="24"/>
              </w:rPr>
              <w:t>是公司基于</w:t>
            </w:r>
            <w:r w:rsidR="00DA3D4E" w:rsidRPr="00DA3D4E">
              <w:rPr>
                <w:rFonts w:hint="eastAsia"/>
                <w:color w:val="000000" w:themeColor="text1"/>
                <w:kern w:val="0"/>
                <w:sz w:val="24"/>
              </w:rPr>
              <w:t>TAIDD</w:t>
            </w:r>
            <w:r w:rsidR="00DA3D4E" w:rsidRPr="00DA3D4E">
              <w:rPr>
                <w:rFonts w:hint="eastAsia"/>
                <w:color w:val="000000" w:themeColor="text1"/>
                <w:kern w:val="0"/>
                <w:sz w:val="24"/>
              </w:rPr>
              <w:t>平台自主研发的新型高选择性、强效的去泛素化酶</w:t>
            </w:r>
            <w:r w:rsidR="00DA3D4E" w:rsidRPr="00DA3D4E">
              <w:rPr>
                <w:rFonts w:hint="eastAsia"/>
                <w:color w:val="000000" w:themeColor="text1"/>
                <w:kern w:val="0"/>
                <w:sz w:val="24"/>
              </w:rPr>
              <w:t>USP1</w:t>
            </w:r>
            <w:r w:rsidR="00DA3D4E" w:rsidRPr="00DA3D4E">
              <w:rPr>
                <w:rFonts w:hint="eastAsia"/>
                <w:color w:val="000000" w:themeColor="text1"/>
                <w:kern w:val="0"/>
                <w:sz w:val="24"/>
              </w:rPr>
              <w:t>（泛素特异性蛋白酶</w:t>
            </w:r>
            <w:r w:rsidR="00DA3D4E" w:rsidRPr="00DA3D4E">
              <w:rPr>
                <w:rFonts w:hint="eastAsia"/>
                <w:color w:val="000000" w:themeColor="text1"/>
                <w:kern w:val="0"/>
                <w:sz w:val="24"/>
              </w:rPr>
              <w:t>1</w:t>
            </w:r>
            <w:r w:rsidR="00DA3D4E" w:rsidRPr="00DA3D4E">
              <w:rPr>
                <w:rFonts w:hint="eastAsia"/>
                <w:color w:val="000000" w:themeColor="text1"/>
                <w:kern w:val="0"/>
                <w:sz w:val="24"/>
              </w:rPr>
              <w:t>）口服小分子抑制剂。通过抑制其去泛素化作用，导致</w:t>
            </w:r>
            <w:r w:rsidR="00DA3D4E" w:rsidRPr="00DA3D4E">
              <w:rPr>
                <w:rFonts w:hint="eastAsia"/>
                <w:color w:val="000000" w:themeColor="text1"/>
                <w:kern w:val="0"/>
                <w:sz w:val="24"/>
              </w:rPr>
              <w:t>DNA</w:t>
            </w:r>
            <w:r w:rsidR="00DA3D4E" w:rsidRPr="00DA3D4E">
              <w:rPr>
                <w:rFonts w:hint="eastAsia"/>
                <w:color w:val="000000" w:themeColor="text1"/>
                <w:kern w:val="0"/>
                <w:sz w:val="24"/>
              </w:rPr>
              <w:t>损伤修复功能丧失并与同源重组基因缺陷或突变形成合成致死，从而特异性地杀伤肿瘤。乳腺癌基因突变（</w:t>
            </w:r>
            <w:r w:rsidR="00DA3D4E" w:rsidRPr="00DA3D4E">
              <w:rPr>
                <w:rFonts w:hint="eastAsia"/>
                <w:color w:val="000000" w:themeColor="text1"/>
                <w:kern w:val="0"/>
                <w:sz w:val="24"/>
              </w:rPr>
              <w:t>BRCA1/2mut</w:t>
            </w:r>
            <w:r w:rsidR="00DA3D4E" w:rsidRPr="00DA3D4E">
              <w:rPr>
                <w:rFonts w:hint="eastAsia"/>
                <w:color w:val="000000" w:themeColor="text1"/>
                <w:kern w:val="0"/>
                <w:sz w:val="24"/>
              </w:rPr>
              <w:t>）或同源重组缺陷阳性（</w:t>
            </w:r>
            <w:r w:rsidR="00DA3D4E" w:rsidRPr="00DA3D4E">
              <w:rPr>
                <w:rFonts w:hint="eastAsia"/>
                <w:color w:val="000000" w:themeColor="text1"/>
                <w:kern w:val="0"/>
                <w:sz w:val="24"/>
              </w:rPr>
              <w:t>HRD+</w:t>
            </w:r>
            <w:r w:rsidR="00DA3D4E" w:rsidRPr="00DA3D4E">
              <w:rPr>
                <w:rFonts w:hint="eastAsia"/>
                <w:color w:val="000000" w:themeColor="text1"/>
                <w:kern w:val="0"/>
                <w:sz w:val="24"/>
              </w:rPr>
              <w:t>）与乳腺癌、卵巢癌、前列腺癌和胰腺癌等多种肿瘤发生风险有关，阻断肿瘤依赖的</w:t>
            </w:r>
            <w:r w:rsidR="00DA3D4E" w:rsidRPr="00DA3D4E">
              <w:rPr>
                <w:rFonts w:hint="eastAsia"/>
                <w:color w:val="000000" w:themeColor="text1"/>
                <w:kern w:val="0"/>
                <w:sz w:val="24"/>
              </w:rPr>
              <w:t>DNA</w:t>
            </w:r>
            <w:r w:rsidR="00DA3D4E" w:rsidRPr="00DA3D4E">
              <w:rPr>
                <w:rFonts w:hint="eastAsia"/>
                <w:color w:val="000000" w:themeColor="text1"/>
                <w:kern w:val="0"/>
                <w:sz w:val="24"/>
              </w:rPr>
              <w:t>损伤修复通路</w:t>
            </w:r>
            <w:r w:rsidR="00DA3D4E" w:rsidRPr="00DA3D4E">
              <w:rPr>
                <w:rFonts w:hint="eastAsia"/>
                <w:color w:val="000000" w:themeColor="text1"/>
                <w:kern w:val="0"/>
                <w:sz w:val="24"/>
              </w:rPr>
              <w:t>USP1</w:t>
            </w:r>
            <w:r w:rsidR="00DA3D4E" w:rsidRPr="00DA3D4E">
              <w:rPr>
                <w:rFonts w:hint="eastAsia"/>
                <w:color w:val="000000" w:themeColor="text1"/>
                <w:kern w:val="0"/>
                <w:sz w:val="24"/>
              </w:rPr>
              <w:t>，将导致肿瘤细胞</w:t>
            </w:r>
            <w:r w:rsidR="00DA3D4E" w:rsidRPr="00DA3D4E">
              <w:rPr>
                <w:rFonts w:hint="eastAsia"/>
                <w:color w:val="000000" w:themeColor="text1"/>
                <w:kern w:val="0"/>
                <w:sz w:val="24"/>
              </w:rPr>
              <w:t>DNA</w:t>
            </w:r>
            <w:r w:rsidR="00DA3D4E" w:rsidRPr="00DA3D4E">
              <w:rPr>
                <w:rFonts w:hint="eastAsia"/>
                <w:color w:val="000000" w:themeColor="text1"/>
                <w:kern w:val="0"/>
                <w:sz w:val="24"/>
              </w:rPr>
              <w:t>损伤不能有效修复而死亡，发挥对肿瘤的治疗作用</w:t>
            </w:r>
            <w:r w:rsidRPr="00EC369B">
              <w:rPr>
                <w:rFonts w:hint="eastAsia"/>
                <w:color w:val="000000" w:themeColor="text1"/>
                <w:kern w:val="0"/>
                <w:sz w:val="24"/>
              </w:rPr>
              <w:t>。</w:t>
            </w:r>
          </w:p>
          <w:p w14:paraId="23FA989B" w14:textId="77777777" w:rsidR="0035330A" w:rsidRDefault="0035330A" w:rsidP="00362177">
            <w:pPr>
              <w:widowControl/>
              <w:spacing w:beforeLines="50" w:before="156" w:afterLines="50" w:after="156" w:line="283" w:lineRule="auto"/>
              <w:ind w:firstLineChars="200" w:firstLine="480"/>
              <w:rPr>
                <w:color w:val="000000" w:themeColor="text1"/>
                <w:kern w:val="0"/>
                <w:sz w:val="24"/>
              </w:rPr>
            </w:pPr>
            <w:r w:rsidRPr="0035330A">
              <w:rPr>
                <w:rFonts w:hint="eastAsia"/>
                <w:color w:val="000000" w:themeColor="text1"/>
                <w:kern w:val="0"/>
                <w:sz w:val="24"/>
              </w:rPr>
              <w:t>APL-2302</w:t>
            </w:r>
            <w:r w:rsidRPr="0035330A">
              <w:rPr>
                <w:rFonts w:hint="eastAsia"/>
                <w:color w:val="000000" w:themeColor="text1"/>
                <w:kern w:val="0"/>
                <w:sz w:val="24"/>
              </w:rPr>
              <w:t>展现出优异的药代动力学特征，在临床前各个动物种上都体现出良好的口服生物利用度（均高于</w:t>
            </w:r>
            <w:r w:rsidRPr="0035330A">
              <w:rPr>
                <w:rFonts w:hint="eastAsia"/>
                <w:color w:val="000000" w:themeColor="text1"/>
                <w:kern w:val="0"/>
                <w:sz w:val="24"/>
              </w:rPr>
              <w:t>75%</w:t>
            </w:r>
            <w:r w:rsidRPr="0035330A">
              <w:rPr>
                <w:rFonts w:hint="eastAsia"/>
                <w:color w:val="000000" w:themeColor="text1"/>
                <w:kern w:val="0"/>
                <w:sz w:val="24"/>
              </w:rPr>
              <w:t>），种属间药代动力学特征参数变异小，具有良好的人体预测</w:t>
            </w:r>
            <w:r w:rsidRPr="0035330A">
              <w:rPr>
                <w:rFonts w:hint="eastAsia"/>
                <w:color w:val="000000" w:themeColor="text1"/>
                <w:kern w:val="0"/>
                <w:sz w:val="24"/>
              </w:rPr>
              <w:t>PK</w:t>
            </w:r>
            <w:r w:rsidRPr="0035330A">
              <w:rPr>
                <w:rFonts w:hint="eastAsia"/>
                <w:color w:val="000000" w:themeColor="text1"/>
                <w:kern w:val="0"/>
                <w:sz w:val="24"/>
              </w:rPr>
              <w:t>特性，优于临床开发最领先的同类药物</w:t>
            </w:r>
            <w:r w:rsidRPr="0035330A">
              <w:rPr>
                <w:rFonts w:hint="eastAsia"/>
                <w:color w:val="000000" w:themeColor="text1"/>
                <w:kern w:val="0"/>
                <w:sz w:val="24"/>
              </w:rPr>
              <w:t>KSQ-4279</w:t>
            </w:r>
            <w:r w:rsidRPr="0035330A">
              <w:rPr>
                <w:rFonts w:hint="eastAsia"/>
                <w:color w:val="000000" w:themeColor="text1"/>
                <w:kern w:val="0"/>
                <w:sz w:val="24"/>
              </w:rPr>
              <w:t>（目前处于临床</w:t>
            </w:r>
            <w:r w:rsidRPr="00D00BEF">
              <w:rPr>
                <w:color w:val="000000" w:themeColor="text1"/>
                <w:kern w:val="0"/>
                <w:sz w:val="24"/>
              </w:rPr>
              <w:t>Ⅰ</w:t>
            </w:r>
            <w:r w:rsidRPr="0035330A">
              <w:rPr>
                <w:rFonts w:hint="eastAsia"/>
                <w:color w:val="000000" w:themeColor="text1"/>
                <w:kern w:val="0"/>
                <w:sz w:val="24"/>
              </w:rPr>
              <w:t>期的</w:t>
            </w:r>
            <w:r w:rsidRPr="0035330A">
              <w:rPr>
                <w:rFonts w:hint="eastAsia"/>
                <w:color w:val="000000" w:themeColor="text1"/>
                <w:kern w:val="0"/>
                <w:sz w:val="24"/>
              </w:rPr>
              <w:t>USP1</w:t>
            </w:r>
            <w:r w:rsidRPr="0035330A">
              <w:rPr>
                <w:rFonts w:hint="eastAsia"/>
                <w:color w:val="000000" w:themeColor="text1"/>
                <w:kern w:val="0"/>
                <w:sz w:val="24"/>
              </w:rPr>
              <w:t>小分子抑制剂）。此外，</w:t>
            </w:r>
            <w:r w:rsidRPr="0035330A">
              <w:rPr>
                <w:rFonts w:hint="eastAsia"/>
                <w:color w:val="000000" w:themeColor="text1"/>
                <w:kern w:val="0"/>
                <w:sz w:val="24"/>
              </w:rPr>
              <w:t>APL-2302</w:t>
            </w:r>
            <w:r w:rsidRPr="0035330A">
              <w:rPr>
                <w:rFonts w:hint="eastAsia"/>
                <w:color w:val="000000" w:themeColor="text1"/>
                <w:kern w:val="0"/>
                <w:sz w:val="24"/>
              </w:rPr>
              <w:t>具有更好的肿瘤</w:t>
            </w:r>
            <w:r w:rsidRPr="0035330A">
              <w:rPr>
                <w:rFonts w:hint="eastAsia"/>
                <w:color w:val="000000" w:themeColor="text1"/>
                <w:kern w:val="0"/>
                <w:sz w:val="24"/>
              </w:rPr>
              <w:t>/</w:t>
            </w:r>
            <w:r w:rsidRPr="0035330A">
              <w:rPr>
                <w:rFonts w:hint="eastAsia"/>
                <w:color w:val="000000" w:themeColor="text1"/>
                <w:kern w:val="0"/>
                <w:sz w:val="24"/>
              </w:rPr>
              <w:t>血浆比（</w:t>
            </w:r>
            <w:r w:rsidRPr="0035330A">
              <w:rPr>
                <w:rFonts w:hint="eastAsia"/>
                <w:color w:val="000000" w:themeColor="text1"/>
                <w:kern w:val="0"/>
                <w:sz w:val="24"/>
              </w:rPr>
              <w:t>TPR</w:t>
            </w:r>
            <w:r w:rsidRPr="0035330A">
              <w:rPr>
                <w:rFonts w:hint="eastAsia"/>
                <w:color w:val="000000" w:themeColor="text1"/>
                <w:kern w:val="0"/>
                <w:sz w:val="24"/>
              </w:rPr>
              <w:t>）、更高的暴露量，在</w:t>
            </w:r>
            <w:r w:rsidRPr="0035330A">
              <w:rPr>
                <w:rFonts w:hint="eastAsia"/>
                <w:color w:val="000000" w:themeColor="text1"/>
                <w:kern w:val="0"/>
                <w:sz w:val="24"/>
              </w:rPr>
              <w:t>100mpk</w:t>
            </w:r>
            <w:r w:rsidRPr="0035330A">
              <w:rPr>
                <w:rFonts w:hint="eastAsia"/>
                <w:color w:val="000000" w:themeColor="text1"/>
                <w:kern w:val="0"/>
                <w:sz w:val="24"/>
              </w:rPr>
              <w:t>和</w:t>
            </w:r>
            <w:r w:rsidRPr="0035330A">
              <w:rPr>
                <w:rFonts w:hint="eastAsia"/>
                <w:color w:val="000000" w:themeColor="text1"/>
                <w:kern w:val="0"/>
                <w:sz w:val="24"/>
              </w:rPr>
              <w:t>300mpk</w:t>
            </w:r>
            <w:r w:rsidRPr="0035330A">
              <w:rPr>
                <w:rFonts w:hint="eastAsia"/>
                <w:color w:val="000000" w:themeColor="text1"/>
                <w:kern w:val="0"/>
                <w:sz w:val="24"/>
              </w:rPr>
              <w:t>时显示出更高的</w:t>
            </w:r>
            <w:r w:rsidRPr="0035330A">
              <w:rPr>
                <w:rFonts w:hint="eastAsia"/>
                <w:color w:val="000000" w:themeColor="text1"/>
                <w:kern w:val="0"/>
                <w:sz w:val="24"/>
              </w:rPr>
              <w:t>TPR</w:t>
            </w:r>
            <w:r w:rsidRPr="0035330A">
              <w:rPr>
                <w:rFonts w:hint="eastAsia"/>
                <w:color w:val="000000" w:themeColor="text1"/>
                <w:kern w:val="0"/>
                <w:sz w:val="24"/>
              </w:rPr>
              <w:t>约</w:t>
            </w:r>
            <w:r w:rsidRPr="0035330A">
              <w:rPr>
                <w:rFonts w:hint="eastAsia"/>
                <w:color w:val="000000" w:themeColor="text1"/>
                <w:kern w:val="0"/>
                <w:sz w:val="24"/>
              </w:rPr>
              <w:t>2~3</w:t>
            </w:r>
            <w:r w:rsidRPr="0035330A">
              <w:rPr>
                <w:rFonts w:hint="eastAsia"/>
                <w:color w:val="000000" w:themeColor="text1"/>
                <w:kern w:val="0"/>
                <w:sz w:val="24"/>
              </w:rPr>
              <w:t>倍，优于</w:t>
            </w:r>
            <w:r w:rsidRPr="0035330A">
              <w:rPr>
                <w:rFonts w:hint="eastAsia"/>
                <w:color w:val="000000" w:themeColor="text1"/>
                <w:kern w:val="0"/>
                <w:sz w:val="24"/>
              </w:rPr>
              <w:t>KSQ-4279</w:t>
            </w:r>
            <w:r w:rsidRPr="0035330A">
              <w:rPr>
                <w:rFonts w:hint="eastAsia"/>
                <w:color w:val="000000" w:themeColor="text1"/>
                <w:kern w:val="0"/>
                <w:sz w:val="24"/>
              </w:rPr>
              <w:t>，具备更好的疗效和安全性潜力。</w:t>
            </w:r>
          </w:p>
          <w:p w14:paraId="50F8C9F8" w14:textId="77777777" w:rsidR="0035330A" w:rsidRDefault="0035330A" w:rsidP="00362177">
            <w:pPr>
              <w:widowControl/>
              <w:spacing w:beforeLines="50" w:before="156" w:afterLines="50" w:after="156" w:line="283" w:lineRule="auto"/>
              <w:ind w:firstLineChars="200" w:firstLine="480"/>
              <w:rPr>
                <w:color w:val="000000" w:themeColor="text1"/>
                <w:kern w:val="0"/>
                <w:sz w:val="24"/>
              </w:rPr>
            </w:pPr>
            <w:r w:rsidRPr="0035330A">
              <w:rPr>
                <w:rFonts w:hint="eastAsia"/>
                <w:color w:val="000000" w:themeColor="text1"/>
                <w:kern w:val="0"/>
                <w:sz w:val="24"/>
              </w:rPr>
              <w:t>优异的口服生物利用度和暴露量及对</w:t>
            </w:r>
            <w:r w:rsidRPr="0035330A">
              <w:rPr>
                <w:rFonts w:hint="eastAsia"/>
                <w:color w:val="000000" w:themeColor="text1"/>
                <w:kern w:val="0"/>
                <w:sz w:val="24"/>
              </w:rPr>
              <w:t>USP1</w:t>
            </w:r>
            <w:r w:rsidRPr="0035330A">
              <w:rPr>
                <w:rFonts w:hint="eastAsia"/>
                <w:color w:val="000000" w:themeColor="text1"/>
                <w:kern w:val="0"/>
                <w:sz w:val="24"/>
              </w:rPr>
              <w:t>强效抑制作用促使</w:t>
            </w:r>
            <w:r w:rsidRPr="0035330A">
              <w:rPr>
                <w:rFonts w:hint="eastAsia"/>
                <w:color w:val="000000" w:themeColor="text1"/>
                <w:kern w:val="0"/>
                <w:sz w:val="24"/>
              </w:rPr>
              <w:t>APL-2302</w:t>
            </w:r>
            <w:r w:rsidRPr="0035330A">
              <w:rPr>
                <w:rFonts w:hint="eastAsia"/>
                <w:color w:val="000000" w:themeColor="text1"/>
                <w:kern w:val="0"/>
                <w:sz w:val="24"/>
              </w:rPr>
              <w:t>单药展示出显著抑制瘤生长的疗效，而且</w:t>
            </w:r>
            <w:r w:rsidRPr="0035330A">
              <w:rPr>
                <w:rFonts w:hint="eastAsia"/>
                <w:color w:val="000000" w:themeColor="text1"/>
                <w:kern w:val="0"/>
                <w:sz w:val="24"/>
              </w:rPr>
              <w:lastRenderedPageBreak/>
              <w:t>在</w:t>
            </w:r>
            <w:r w:rsidRPr="0035330A">
              <w:rPr>
                <w:rFonts w:hint="eastAsia"/>
                <w:color w:val="000000" w:themeColor="text1"/>
                <w:kern w:val="0"/>
                <w:sz w:val="24"/>
              </w:rPr>
              <w:t>BRCA1/2mut</w:t>
            </w:r>
            <w:r w:rsidRPr="0035330A">
              <w:rPr>
                <w:rFonts w:hint="eastAsia"/>
                <w:color w:val="000000" w:themeColor="text1"/>
                <w:kern w:val="0"/>
                <w:sz w:val="24"/>
              </w:rPr>
              <w:t>和</w:t>
            </w:r>
            <w:r w:rsidRPr="0035330A">
              <w:rPr>
                <w:rFonts w:hint="eastAsia"/>
                <w:color w:val="000000" w:themeColor="text1"/>
                <w:kern w:val="0"/>
                <w:sz w:val="24"/>
              </w:rPr>
              <w:t>HRD+</w:t>
            </w:r>
            <w:r w:rsidRPr="0035330A">
              <w:rPr>
                <w:rFonts w:hint="eastAsia"/>
                <w:color w:val="000000" w:themeColor="text1"/>
                <w:kern w:val="0"/>
                <w:sz w:val="24"/>
              </w:rPr>
              <w:t>原发性</w:t>
            </w:r>
            <w:r w:rsidRPr="0035330A">
              <w:rPr>
                <w:rFonts w:hint="eastAsia"/>
                <w:color w:val="000000" w:themeColor="text1"/>
                <w:kern w:val="0"/>
                <w:sz w:val="24"/>
              </w:rPr>
              <w:t>PARP</w:t>
            </w:r>
            <w:r w:rsidRPr="0035330A">
              <w:rPr>
                <w:rFonts w:hint="eastAsia"/>
                <w:color w:val="000000" w:themeColor="text1"/>
                <w:kern w:val="0"/>
                <w:sz w:val="24"/>
              </w:rPr>
              <w:t>抑制剂耐药的乳腺和卵巢肿瘤模型中，</w:t>
            </w:r>
            <w:r w:rsidRPr="0035330A">
              <w:rPr>
                <w:rFonts w:hint="eastAsia"/>
                <w:color w:val="000000" w:themeColor="text1"/>
                <w:kern w:val="0"/>
                <w:sz w:val="24"/>
              </w:rPr>
              <w:t>APL-2302</w:t>
            </w:r>
            <w:r w:rsidRPr="0035330A">
              <w:rPr>
                <w:rFonts w:hint="eastAsia"/>
                <w:color w:val="000000" w:themeColor="text1"/>
                <w:kern w:val="0"/>
                <w:sz w:val="24"/>
              </w:rPr>
              <w:t>协同一代或二代</w:t>
            </w:r>
            <w:r w:rsidRPr="0035330A">
              <w:rPr>
                <w:rFonts w:hint="eastAsia"/>
                <w:color w:val="000000" w:themeColor="text1"/>
                <w:kern w:val="0"/>
                <w:sz w:val="24"/>
              </w:rPr>
              <w:t>PARP</w:t>
            </w:r>
            <w:r w:rsidRPr="0035330A">
              <w:rPr>
                <w:rFonts w:hint="eastAsia"/>
                <w:color w:val="000000" w:themeColor="text1"/>
                <w:kern w:val="0"/>
                <w:sz w:val="24"/>
              </w:rPr>
              <w:t>抑制剂（奥拉帕利或</w:t>
            </w:r>
            <w:r w:rsidRPr="0035330A">
              <w:rPr>
                <w:rFonts w:hint="eastAsia"/>
                <w:color w:val="000000" w:themeColor="text1"/>
                <w:kern w:val="0"/>
                <w:sz w:val="24"/>
              </w:rPr>
              <w:t>Saruparib</w:t>
            </w:r>
            <w:r w:rsidRPr="0035330A">
              <w:rPr>
                <w:rFonts w:hint="eastAsia"/>
                <w:color w:val="000000" w:themeColor="text1"/>
                <w:kern w:val="0"/>
                <w:sz w:val="24"/>
              </w:rPr>
              <w:t>）表现出显著的抗肿瘤作用，甚至显示出肿瘤缩小的显著疗效；同时，</w:t>
            </w:r>
            <w:r w:rsidRPr="0035330A">
              <w:rPr>
                <w:rFonts w:hint="eastAsia"/>
                <w:color w:val="000000" w:themeColor="text1"/>
                <w:kern w:val="0"/>
                <w:sz w:val="24"/>
              </w:rPr>
              <w:t>APL-2302</w:t>
            </w:r>
            <w:r w:rsidRPr="0035330A">
              <w:rPr>
                <w:rFonts w:hint="eastAsia"/>
                <w:color w:val="000000" w:themeColor="text1"/>
                <w:kern w:val="0"/>
                <w:sz w:val="24"/>
              </w:rPr>
              <w:t>联合</w:t>
            </w:r>
            <w:r w:rsidRPr="0035330A">
              <w:rPr>
                <w:rFonts w:hint="eastAsia"/>
                <w:color w:val="000000" w:themeColor="text1"/>
                <w:kern w:val="0"/>
                <w:sz w:val="24"/>
              </w:rPr>
              <w:t>DNA</w:t>
            </w:r>
            <w:r w:rsidRPr="0035330A">
              <w:rPr>
                <w:rFonts w:hint="eastAsia"/>
                <w:color w:val="000000" w:themeColor="text1"/>
                <w:kern w:val="0"/>
                <w:sz w:val="24"/>
              </w:rPr>
              <w:t>合成抑制剂吉西他滨也具有强效抑制肿瘤生长和肿瘤缩小的作用。因此，</w:t>
            </w:r>
            <w:r w:rsidRPr="0035330A">
              <w:rPr>
                <w:rFonts w:hint="eastAsia"/>
                <w:color w:val="000000" w:themeColor="text1"/>
                <w:kern w:val="0"/>
                <w:sz w:val="24"/>
              </w:rPr>
              <w:t>APL-2302</w:t>
            </w:r>
            <w:r w:rsidRPr="0035330A">
              <w:rPr>
                <w:rFonts w:hint="eastAsia"/>
                <w:color w:val="000000" w:themeColor="text1"/>
                <w:kern w:val="0"/>
                <w:sz w:val="24"/>
              </w:rPr>
              <w:t>可用于治疗</w:t>
            </w:r>
            <w:r w:rsidRPr="0035330A">
              <w:rPr>
                <w:rFonts w:hint="eastAsia"/>
                <w:color w:val="000000" w:themeColor="text1"/>
                <w:kern w:val="0"/>
                <w:sz w:val="24"/>
              </w:rPr>
              <w:t>BRCA1/2mut</w:t>
            </w:r>
            <w:r w:rsidRPr="0035330A">
              <w:rPr>
                <w:rFonts w:hint="eastAsia"/>
                <w:color w:val="000000" w:themeColor="text1"/>
                <w:kern w:val="0"/>
                <w:sz w:val="24"/>
              </w:rPr>
              <w:t>及</w:t>
            </w:r>
            <w:r w:rsidRPr="0035330A">
              <w:rPr>
                <w:rFonts w:hint="eastAsia"/>
                <w:color w:val="000000" w:themeColor="text1"/>
                <w:kern w:val="0"/>
                <w:sz w:val="24"/>
              </w:rPr>
              <w:t>HRD+</w:t>
            </w:r>
            <w:r w:rsidRPr="0035330A">
              <w:rPr>
                <w:rFonts w:hint="eastAsia"/>
                <w:color w:val="000000" w:themeColor="text1"/>
                <w:kern w:val="0"/>
                <w:sz w:val="24"/>
              </w:rPr>
              <w:t>的肿瘤，具有增强</w:t>
            </w:r>
            <w:r w:rsidRPr="0035330A">
              <w:rPr>
                <w:rFonts w:hint="eastAsia"/>
                <w:color w:val="000000" w:themeColor="text1"/>
                <w:kern w:val="0"/>
                <w:sz w:val="24"/>
              </w:rPr>
              <w:t>PARP</w:t>
            </w:r>
            <w:r w:rsidRPr="0035330A">
              <w:rPr>
                <w:rFonts w:hint="eastAsia"/>
                <w:color w:val="000000" w:themeColor="text1"/>
                <w:kern w:val="0"/>
                <w:sz w:val="24"/>
              </w:rPr>
              <w:t>抑制剂、化药敏感性和克服</w:t>
            </w:r>
            <w:r w:rsidRPr="0035330A">
              <w:rPr>
                <w:rFonts w:hint="eastAsia"/>
                <w:color w:val="000000" w:themeColor="text1"/>
                <w:kern w:val="0"/>
                <w:sz w:val="24"/>
              </w:rPr>
              <w:t>PARP</w:t>
            </w:r>
            <w:r w:rsidRPr="0035330A">
              <w:rPr>
                <w:rFonts w:hint="eastAsia"/>
                <w:color w:val="000000" w:themeColor="text1"/>
                <w:kern w:val="0"/>
                <w:sz w:val="24"/>
              </w:rPr>
              <w:t>耐药临床需求的潜力。</w:t>
            </w:r>
            <w:r w:rsidRPr="0035330A">
              <w:rPr>
                <w:rFonts w:hint="eastAsia"/>
                <w:color w:val="000000" w:themeColor="text1"/>
                <w:kern w:val="0"/>
                <w:sz w:val="24"/>
              </w:rPr>
              <w:t>APL-2302</w:t>
            </w:r>
            <w:r w:rsidRPr="0035330A">
              <w:rPr>
                <w:rFonts w:hint="eastAsia"/>
                <w:color w:val="000000" w:themeColor="text1"/>
                <w:kern w:val="0"/>
                <w:sz w:val="24"/>
              </w:rPr>
              <w:t>在以上肿瘤模型中，单药或联合奥拉帕利抗肿瘤活性均优于</w:t>
            </w:r>
            <w:r w:rsidRPr="0035330A">
              <w:rPr>
                <w:rFonts w:hint="eastAsia"/>
                <w:color w:val="000000" w:themeColor="text1"/>
                <w:kern w:val="0"/>
                <w:sz w:val="24"/>
              </w:rPr>
              <w:t>KSQ-4279</w:t>
            </w:r>
            <w:r w:rsidRPr="0035330A">
              <w:rPr>
                <w:rFonts w:hint="eastAsia"/>
                <w:color w:val="000000" w:themeColor="text1"/>
                <w:kern w:val="0"/>
                <w:sz w:val="24"/>
              </w:rPr>
              <w:t>，具有成为同类最佳的潜力。</w:t>
            </w:r>
            <w:r w:rsidRPr="0035330A">
              <w:rPr>
                <w:rFonts w:hint="eastAsia"/>
                <w:color w:val="000000" w:themeColor="text1"/>
                <w:kern w:val="0"/>
                <w:sz w:val="24"/>
              </w:rPr>
              <w:t>APL-2302</w:t>
            </w:r>
            <w:r w:rsidRPr="0035330A">
              <w:rPr>
                <w:rFonts w:hint="eastAsia"/>
                <w:color w:val="000000" w:themeColor="text1"/>
                <w:kern w:val="0"/>
                <w:sz w:val="24"/>
              </w:rPr>
              <w:t>的临床前研究结果入选</w:t>
            </w:r>
            <w:r w:rsidRPr="0035330A">
              <w:rPr>
                <w:rFonts w:hint="eastAsia"/>
                <w:color w:val="000000" w:themeColor="text1"/>
                <w:kern w:val="0"/>
                <w:sz w:val="24"/>
              </w:rPr>
              <w:t>2024</w:t>
            </w:r>
            <w:r w:rsidRPr="0035330A">
              <w:rPr>
                <w:rFonts w:hint="eastAsia"/>
                <w:color w:val="000000" w:themeColor="text1"/>
                <w:kern w:val="0"/>
                <w:sz w:val="24"/>
              </w:rPr>
              <w:t>年美国癌症研究协会年会，并以壁报形式公布。</w:t>
            </w:r>
          </w:p>
          <w:p w14:paraId="4025F45C" w14:textId="77777777" w:rsidR="00ED42E3" w:rsidRDefault="00ED42E3" w:rsidP="00362177">
            <w:pPr>
              <w:widowControl/>
              <w:spacing w:beforeLines="50" w:before="156" w:afterLines="50" w:after="156" w:line="283" w:lineRule="auto"/>
              <w:ind w:firstLineChars="200" w:firstLine="480"/>
              <w:rPr>
                <w:color w:val="000000" w:themeColor="text1"/>
                <w:kern w:val="0"/>
                <w:sz w:val="24"/>
              </w:rPr>
            </w:pPr>
            <w:r w:rsidRPr="00ED42E3">
              <w:rPr>
                <w:rFonts w:hint="eastAsia"/>
                <w:color w:val="000000" w:themeColor="text1"/>
                <w:kern w:val="0"/>
                <w:sz w:val="24"/>
              </w:rPr>
              <w:t>基于临床前展现的良好的体内和体外活性，公司向</w:t>
            </w:r>
            <w:r w:rsidRPr="00ED42E3">
              <w:rPr>
                <w:rFonts w:hint="eastAsia"/>
                <w:color w:val="000000" w:themeColor="text1"/>
                <w:kern w:val="0"/>
                <w:sz w:val="24"/>
              </w:rPr>
              <w:t>FDA</w:t>
            </w:r>
            <w:r w:rsidRPr="00ED42E3">
              <w:rPr>
                <w:rFonts w:hint="eastAsia"/>
                <w:color w:val="000000" w:themeColor="text1"/>
                <w:kern w:val="0"/>
                <w:sz w:val="24"/>
              </w:rPr>
              <w:t>和</w:t>
            </w:r>
            <w:r w:rsidRPr="00ED42E3">
              <w:rPr>
                <w:rFonts w:hint="eastAsia"/>
                <w:color w:val="000000" w:themeColor="text1"/>
                <w:kern w:val="0"/>
                <w:sz w:val="24"/>
              </w:rPr>
              <w:t>NMPA</w:t>
            </w:r>
            <w:r w:rsidRPr="00ED42E3">
              <w:rPr>
                <w:rFonts w:hint="eastAsia"/>
                <w:color w:val="000000" w:themeColor="text1"/>
                <w:kern w:val="0"/>
                <w:sz w:val="24"/>
              </w:rPr>
              <w:t>递交了一项在晚期实体瘤患者中评价</w:t>
            </w:r>
            <w:r w:rsidRPr="00ED42E3">
              <w:rPr>
                <w:rFonts w:hint="eastAsia"/>
                <w:color w:val="000000" w:themeColor="text1"/>
                <w:kern w:val="0"/>
                <w:sz w:val="24"/>
              </w:rPr>
              <w:t>APL-2302</w:t>
            </w:r>
            <w:r w:rsidRPr="00ED42E3">
              <w:rPr>
                <w:rFonts w:hint="eastAsia"/>
                <w:color w:val="000000" w:themeColor="text1"/>
                <w:kern w:val="0"/>
                <w:sz w:val="24"/>
              </w:rPr>
              <w:t>的安全性、耐受性、药代动力学初步抗肿瘤活性的Ⅰ</w:t>
            </w:r>
            <w:r w:rsidRPr="00ED42E3">
              <w:rPr>
                <w:rFonts w:hint="eastAsia"/>
                <w:color w:val="000000" w:themeColor="text1"/>
                <w:kern w:val="0"/>
                <w:sz w:val="24"/>
              </w:rPr>
              <w:t>/</w:t>
            </w:r>
            <w:r w:rsidRPr="00ED42E3">
              <w:rPr>
                <w:rFonts w:hint="eastAsia"/>
                <w:color w:val="000000" w:themeColor="text1"/>
                <w:kern w:val="0"/>
                <w:sz w:val="24"/>
              </w:rPr>
              <w:t>Ⅱ</w:t>
            </w:r>
            <w:r w:rsidRPr="00ED42E3">
              <w:rPr>
                <w:rFonts w:hint="eastAsia"/>
                <w:color w:val="000000" w:themeColor="text1"/>
                <w:kern w:val="0"/>
                <w:sz w:val="24"/>
              </w:rPr>
              <w:t>a</w:t>
            </w:r>
            <w:r w:rsidRPr="00ED42E3">
              <w:rPr>
                <w:rFonts w:hint="eastAsia"/>
                <w:color w:val="000000" w:themeColor="text1"/>
                <w:kern w:val="0"/>
                <w:sz w:val="24"/>
              </w:rPr>
              <w:t>期、开放性、多中心、剂量递增和扩展研究，并分别于</w:t>
            </w:r>
            <w:r w:rsidRPr="00ED42E3">
              <w:rPr>
                <w:rFonts w:hint="eastAsia"/>
                <w:color w:val="000000" w:themeColor="text1"/>
                <w:kern w:val="0"/>
                <w:sz w:val="24"/>
              </w:rPr>
              <w:t>2024</w:t>
            </w:r>
            <w:r w:rsidRPr="00ED42E3">
              <w:rPr>
                <w:rFonts w:hint="eastAsia"/>
                <w:color w:val="000000" w:themeColor="text1"/>
                <w:kern w:val="0"/>
                <w:sz w:val="24"/>
              </w:rPr>
              <w:t>年</w:t>
            </w:r>
            <w:r w:rsidRPr="00ED42E3">
              <w:rPr>
                <w:rFonts w:hint="eastAsia"/>
                <w:color w:val="000000" w:themeColor="text1"/>
                <w:kern w:val="0"/>
                <w:sz w:val="24"/>
              </w:rPr>
              <w:t>10</w:t>
            </w:r>
            <w:r w:rsidRPr="00ED42E3">
              <w:rPr>
                <w:rFonts w:hint="eastAsia"/>
                <w:color w:val="000000" w:themeColor="text1"/>
                <w:kern w:val="0"/>
                <w:sz w:val="24"/>
              </w:rPr>
              <w:t>月和</w:t>
            </w:r>
            <w:r w:rsidRPr="00ED42E3">
              <w:rPr>
                <w:rFonts w:hint="eastAsia"/>
                <w:color w:val="000000" w:themeColor="text1"/>
                <w:kern w:val="0"/>
                <w:sz w:val="24"/>
              </w:rPr>
              <w:t>2025</w:t>
            </w:r>
            <w:r w:rsidRPr="00ED42E3">
              <w:rPr>
                <w:rFonts w:hint="eastAsia"/>
                <w:color w:val="000000" w:themeColor="text1"/>
                <w:kern w:val="0"/>
                <w:sz w:val="24"/>
              </w:rPr>
              <w:t>年</w:t>
            </w:r>
            <w:r w:rsidRPr="00ED42E3">
              <w:rPr>
                <w:rFonts w:hint="eastAsia"/>
                <w:color w:val="000000" w:themeColor="text1"/>
                <w:kern w:val="0"/>
                <w:sz w:val="24"/>
              </w:rPr>
              <w:t>1</w:t>
            </w:r>
            <w:r w:rsidRPr="00ED42E3">
              <w:rPr>
                <w:rFonts w:hint="eastAsia"/>
                <w:color w:val="000000" w:themeColor="text1"/>
                <w:kern w:val="0"/>
                <w:sz w:val="24"/>
              </w:rPr>
              <w:t>月获得美国</w:t>
            </w:r>
            <w:r w:rsidRPr="00ED42E3">
              <w:rPr>
                <w:rFonts w:hint="eastAsia"/>
                <w:color w:val="000000" w:themeColor="text1"/>
                <w:kern w:val="0"/>
                <w:sz w:val="24"/>
              </w:rPr>
              <w:t>FDA</w:t>
            </w:r>
            <w:r w:rsidRPr="00ED42E3">
              <w:rPr>
                <w:rFonts w:hint="eastAsia"/>
                <w:color w:val="000000" w:themeColor="text1"/>
                <w:kern w:val="0"/>
                <w:sz w:val="24"/>
              </w:rPr>
              <w:t>和中国</w:t>
            </w:r>
            <w:r w:rsidRPr="00ED42E3">
              <w:rPr>
                <w:rFonts w:hint="eastAsia"/>
                <w:color w:val="000000" w:themeColor="text1"/>
                <w:kern w:val="0"/>
                <w:sz w:val="24"/>
              </w:rPr>
              <w:t>NMPA</w:t>
            </w:r>
            <w:r w:rsidRPr="00ED42E3">
              <w:rPr>
                <w:rFonts w:hint="eastAsia"/>
                <w:color w:val="000000" w:themeColor="text1"/>
                <w:kern w:val="0"/>
                <w:sz w:val="24"/>
              </w:rPr>
              <w:t>批准。该临床研究已于</w:t>
            </w:r>
            <w:r w:rsidRPr="00ED42E3">
              <w:rPr>
                <w:rFonts w:hint="eastAsia"/>
                <w:color w:val="000000" w:themeColor="text1"/>
                <w:kern w:val="0"/>
                <w:sz w:val="24"/>
              </w:rPr>
              <w:t>2025</w:t>
            </w:r>
            <w:r w:rsidRPr="00ED42E3">
              <w:rPr>
                <w:rFonts w:hint="eastAsia"/>
                <w:color w:val="000000" w:themeColor="text1"/>
                <w:kern w:val="0"/>
                <w:sz w:val="24"/>
              </w:rPr>
              <w:t>年</w:t>
            </w:r>
            <w:r w:rsidRPr="00ED42E3">
              <w:rPr>
                <w:rFonts w:hint="eastAsia"/>
                <w:color w:val="000000" w:themeColor="text1"/>
                <w:kern w:val="0"/>
                <w:sz w:val="24"/>
              </w:rPr>
              <w:t>3</w:t>
            </w:r>
            <w:r w:rsidRPr="00ED42E3">
              <w:rPr>
                <w:rFonts w:hint="eastAsia"/>
                <w:color w:val="000000" w:themeColor="text1"/>
                <w:kern w:val="0"/>
                <w:sz w:val="24"/>
              </w:rPr>
              <w:t>月完成</w:t>
            </w:r>
            <w:r w:rsidRPr="003C393C">
              <w:rPr>
                <w:color w:val="000000" w:themeColor="text1"/>
                <w:kern w:val="0"/>
                <w:sz w:val="24"/>
              </w:rPr>
              <w:t>Ⅰa</w:t>
            </w:r>
            <w:r w:rsidRPr="003C393C">
              <w:rPr>
                <w:color w:val="000000" w:themeColor="text1"/>
                <w:kern w:val="0"/>
                <w:sz w:val="24"/>
              </w:rPr>
              <w:t>期</w:t>
            </w:r>
            <w:r w:rsidRPr="00ED42E3">
              <w:rPr>
                <w:rFonts w:hint="eastAsia"/>
                <w:color w:val="000000" w:themeColor="text1"/>
                <w:kern w:val="0"/>
                <w:sz w:val="24"/>
              </w:rPr>
              <w:t>首例受试者入组，根据目前已经获得的临床数据，</w:t>
            </w:r>
            <w:r w:rsidRPr="00ED42E3">
              <w:rPr>
                <w:rFonts w:hint="eastAsia"/>
                <w:color w:val="000000" w:themeColor="text1"/>
                <w:kern w:val="0"/>
                <w:sz w:val="24"/>
              </w:rPr>
              <w:t>APL-2302</w:t>
            </w:r>
            <w:r w:rsidRPr="00ED42E3">
              <w:rPr>
                <w:rFonts w:hint="eastAsia"/>
                <w:color w:val="000000" w:themeColor="text1"/>
                <w:kern w:val="0"/>
                <w:sz w:val="24"/>
              </w:rPr>
              <w:t>展现出良好的安全性、耐受性和药代动力学特征。公司将持续推进受试者入组工作，期待</w:t>
            </w:r>
            <w:r w:rsidRPr="00ED42E3">
              <w:rPr>
                <w:rFonts w:hint="eastAsia"/>
                <w:color w:val="000000" w:themeColor="text1"/>
                <w:kern w:val="0"/>
                <w:sz w:val="24"/>
              </w:rPr>
              <w:t>APL-2302</w:t>
            </w:r>
            <w:r w:rsidRPr="00ED42E3">
              <w:rPr>
                <w:rFonts w:hint="eastAsia"/>
                <w:color w:val="000000" w:themeColor="text1"/>
                <w:kern w:val="0"/>
                <w:sz w:val="24"/>
              </w:rPr>
              <w:t>能进一步展现在临床中的潜力，让更多患者可以受益于这款</w:t>
            </w:r>
            <w:r w:rsidRPr="00ED42E3">
              <w:rPr>
                <w:rFonts w:hint="eastAsia"/>
                <w:color w:val="000000" w:themeColor="text1"/>
                <w:kern w:val="0"/>
                <w:sz w:val="24"/>
              </w:rPr>
              <w:t>USP1</w:t>
            </w:r>
            <w:r w:rsidRPr="00ED42E3">
              <w:rPr>
                <w:rFonts w:hint="eastAsia"/>
                <w:color w:val="000000" w:themeColor="text1"/>
                <w:kern w:val="0"/>
                <w:sz w:val="24"/>
              </w:rPr>
              <w:t>抑制剂。</w:t>
            </w:r>
          </w:p>
          <w:p w14:paraId="75208FBA" w14:textId="7430D4F1" w:rsidR="00425D85" w:rsidRPr="00F84436" w:rsidRDefault="00425D85" w:rsidP="00425D85">
            <w:pPr>
              <w:widowControl/>
              <w:spacing w:beforeLines="50" w:before="156" w:afterLines="50" w:after="156" w:line="283" w:lineRule="auto"/>
              <w:ind w:firstLineChars="200" w:firstLine="482"/>
              <w:rPr>
                <w:b/>
                <w:bCs/>
                <w:color w:val="000000" w:themeColor="text1"/>
                <w:kern w:val="0"/>
                <w:sz w:val="24"/>
              </w:rPr>
            </w:pPr>
            <w:r w:rsidRPr="004C2D1B">
              <w:rPr>
                <w:rFonts w:hint="eastAsia"/>
                <w:b/>
                <w:bCs/>
                <w:color w:val="000000" w:themeColor="text1"/>
                <w:kern w:val="0"/>
                <w:sz w:val="24"/>
              </w:rPr>
              <w:t>问</w:t>
            </w:r>
            <w:r w:rsidR="00385C47">
              <w:rPr>
                <w:rFonts w:hint="eastAsia"/>
                <w:b/>
                <w:bCs/>
                <w:color w:val="000000" w:themeColor="text1"/>
                <w:kern w:val="0"/>
                <w:sz w:val="24"/>
              </w:rPr>
              <w:t>3</w:t>
            </w:r>
            <w:r w:rsidRPr="004C2D1B">
              <w:rPr>
                <w:rFonts w:hint="eastAsia"/>
                <w:b/>
                <w:bCs/>
                <w:color w:val="000000" w:themeColor="text1"/>
                <w:kern w:val="0"/>
                <w:sz w:val="24"/>
              </w:rPr>
              <w:t>：</w:t>
            </w:r>
            <w:r w:rsidRPr="004C2D1B">
              <w:rPr>
                <w:b/>
                <w:bCs/>
                <w:color w:val="000000" w:themeColor="text1"/>
                <w:kern w:val="0"/>
                <w:sz w:val="24"/>
              </w:rPr>
              <w:t>APL-2501</w:t>
            </w:r>
            <w:r w:rsidR="001B23AD">
              <w:rPr>
                <w:rFonts w:hint="eastAsia"/>
                <w:b/>
                <w:bCs/>
                <w:color w:val="000000" w:themeColor="text1"/>
                <w:kern w:val="0"/>
                <w:sz w:val="24"/>
              </w:rPr>
              <w:t>的特点和竞争优势</w:t>
            </w:r>
            <w:r w:rsidRPr="004C2D1B">
              <w:rPr>
                <w:rFonts w:hint="eastAsia"/>
                <w:b/>
                <w:bCs/>
                <w:color w:val="000000" w:themeColor="text1"/>
                <w:kern w:val="0"/>
                <w:sz w:val="24"/>
              </w:rPr>
              <w:t>？</w:t>
            </w:r>
            <w:r>
              <w:rPr>
                <w:rFonts w:hint="eastAsia"/>
                <w:b/>
                <w:bCs/>
                <w:color w:val="000000" w:themeColor="text1"/>
                <w:kern w:val="0"/>
                <w:sz w:val="24"/>
              </w:rPr>
              <w:t xml:space="preserve"> </w:t>
            </w:r>
          </w:p>
          <w:p w14:paraId="7D36C49C" w14:textId="32243ECF" w:rsidR="00425D85" w:rsidRPr="00E2439A" w:rsidRDefault="00425D85" w:rsidP="00425D85">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Pr="00E2439A">
              <w:rPr>
                <w:rFonts w:hint="eastAsia"/>
                <w:color w:val="000000" w:themeColor="text1"/>
                <w:kern w:val="0"/>
                <w:sz w:val="24"/>
              </w:rPr>
              <w:t>APL-2501</w:t>
            </w:r>
            <w:r w:rsidRPr="00E2439A">
              <w:rPr>
                <w:rFonts w:hint="eastAsia"/>
                <w:color w:val="000000" w:themeColor="text1"/>
                <w:kern w:val="0"/>
                <w:sz w:val="24"/>
              </w:rPr>
              <w:t>是公司自主研发的搭载专有亲水性连接子、基于拓扑异构酶抑制剂的抗</w:t>
            </w:r>
            <w:r w:rsidRPr="00E2439A">
              <w:rPr>
                <w:rFonts w:hint="eastAsia"/>
                <w:color w:val="000000" w:themeColor="text1"/>
                <w:kern w:val="0"/>
                <w:sz w:val="24"/>
              </w:rPr>
              <w:t>CLDN6/9</w:t>
            </w:r>
            <w:r w:rsidRPr="00E2439A">
              <w:rPr>
                <w:rFonts w:hint="eastAsia"/>
                <w:color w:val="000000" w:themeColor="text1"/>
                <w:kern w:val="0"/>
                <w:sz w:val="24"/>
              </w:rPr>
              <w:t>抗体药物偶联物（</w:t>
            </w:r>
            <w:r w:rsidRPr="00E2439A">
              <w:rPr>
                <w:rFonts w:hint="eastAsia"/>
                <w:color w:val="000000" w:themeColor="text1"/>
                <w:kern w:val="0"/>
                <w:sz w:val="24"/>
              </w:rPr>
              <w:t>ADC</w:t>
            </w:r>
            <w:r w:rsidRPr="00E2439A">
              <w:rPr>
                <w:rFonts w:hint="eastAsia"/>
                <w:color w:val="000000" w:themeColor="text1"/>
                <w:kern w:val="0"/>
                <w:sz w:val="24"/>
              </w:rPr>
              <w:t>），预计可以用于治疗包括乳腺癌、卵巢癌、宫颈癌，肺癌等多种晚期肿瘤，与竞品</w:t>
            </w:r>
            <w:r w:rsidRPr="00E2439A">
              <w:rPr>
                <w:rFonts w:hint="eastAsia"/>
                <w:color w:val="000000" w:themeColor="text1"/>
                <w:kern w:val="0"/>
                <w:sz w:val="24"/>
              </w:rPr>
              <w:t>TORL-1-23</w:t>
            </w:r>
            <w:r w:rsidRPr="00E2439A">
              <w:rPr>
                <w:rFonts w:hint="eastAsia"/>
                <w:color w:val="000000" w:themeColor="text1"/>
                <w:kern w:val="0"/>
                <w:sz w:val="24"/>
              </w:rPr>
              <w:t>（</w:t>
            </w:r>
            <w:r w:rsidRPr="00E2439A">
              <w:rPr>
                <w:rFonts w:hint="eastAsia"/>
                <w:color w:val="000000" w:themeColor="text1"/>
                <w:kern w:val="0"/>
                <w:sz w:val="24"/>
              </w:rPr>
              <w:t>TORL BioTherapeutics, LLC</w:t>
            </w:r>
            <w:r w:rsidRPr="00E2439A">
              <w:rPr>
                <w:rFonts w:hint="eastAsia"/>
                <w:color w:val="000000" w:themeColor="text1"/>
                <w:kern w:val="0"/>
                <w:sz w:val="24"/>
              </w:rPr>
              <w:t>公司开发的靶向</w:t>
            </w:r>
            <w:r w:rsidRPr="00E2439A">
              <w:rPr>
                <w:rFonts w:hint="eastAsia"/>
                <w:color w:val="000000" w:themeColor="text1"/>
                <w:kern w:val="0"/>
                <w:sz w:val="24"/>
              </w:rPr>
              <w:t>CLDN6</w:t>
            </w:r>
            <w:r w:rsidRPr="00E2439A">
              <w:rPr>
                <w:rFonts w:hint="eastAsia"/>
                <w:color w:val="000000" w:themeColor="text1"/>
                <w:kern w:val="0"/>
                <w:sz w:val="24"/>
              </w:rPr>
              <w:t>的</w:t>
            </w:r>
            <w:r w:rsidRPr="00E2439A">
              <w:rPr>
                <w:rFonts w:hint="eastAsia"/>
                <w:color w:val="000000" w:themeColor="text1"/>
                <w:kern w:val="0"/>
                <w:sz w:val="24"/>
              </w:rPr>
              <w:t>ADC</w:t>
            </w:r>
            <w:r w:rsidRPr="00E2439A">
              <w:rPr>
                <w:rFonts w:hint="eastAsia"/>
                <w:color w:val="000000" w:themeColor="text1"/>
                <w:kern w:val="0"/>
                <w:sz w:val="24"/>
              </w:rPr>
              <w:t>，载荷为</w:t>
            </w:r>
            <w:r w:rsidRPr="00E2439A">
              <w:rPr>
                <w:rFonts w:hint="eastAsia"/>
                <w:color w:val="000000" w:themeColor="text1"/>
                <w:kern w:val="0"/>
                <w:sz w:val="24"/>
              </w:rPr>
              <w:t>MMAE</w:t>
            </w:r>
            <w:r w:rsidRPr="00E2439A">
              <w:rPr>
                <w:rFonts w:hint="eastAsia"/>
                <w:color w:val="000000" w:themeColor="text1"/>
                <w:kern w:val="0"/>
                <w:sz w:val="24"/>
              </w:rPr>
              <w:t>）相比，抗体靶向更宽，且显示出更好的结合能力、内化效率、杀伤效率、稳定性等特征，因此有望获得更好的疗效窗、药效持续度和更广的可应用人群</w:t>
            </w:r>
            <w:r>
              <w:rPr>
                <w:rFonts w:hint="eastAsia"/>
                <w:color w:val="000000" w:themeColor="text1"/>
                <w:kern w:val="0"/>
                <w:sz w:val="24"/>
              </w:rPr>
              <w:t>。</w:t>
            </w:r>
          </w:p>
          <w:p w14:paraId="227704FB" w14:textId="7F26BFA7" w:rsidR="00961C1F" w:rsidRPr="00532258" w:rsidRDefault="00425D85" w:rsidP="00F350DD">
            <w:pPr>
              <w:widowControl/>
              <w:spacing w:beforeLines="50" w:before="156" w:afterLines="50" w:after="156" w:line="283" w:lineRule="auto"/>
              <w:ind w:firstLineChars="200" w:firstLine="480"/>
              <w:rPr>
                <w:color w:val="000000" w:themeColor="text1"/>
                <w:kern w:val="0"/>
                <w:sz w:val="24"/>
              </w:rPr>
            </w:pPr>
            <w:r w:rsidRPr="00E2439A">
              <w:rPr>
                <w:rFonts w:hint="eastAsia"/>
                <w:color w:val="000000" w:themeColor="text1"/>
                <w:kern w:val="0"/>
                <w:sz w:val="24"/>
              </w:rPr>
              <w:t>APL-2501</w:t>
            </w:r>
            <w:r w:rsidRPr="00E2439A">
              <w:rPr>
                <w:rFonts w:hint="eastAsia"/>
                <w:color w:val="000000" w:themeColor="text1"/>
                <w:kern w:val="0"/>
                <w:sz w:val="24"/>
              </w:rPr>
              <w:t>选择了高亲和力结合</w:t>
            </w:r>
            <w:r w:rsidRPr="00E2439A">
              <w:rPr>
                <w:rFonts w:hint="eastAsia"/>
                <w:color w:val="000000" w:themeColor="text1"/>
                <w:kern w:val="0"/>
                <w:sz w:val="24"/>
              </w:rPr>
              <w:t>CLDN6/9</w:t>
            </w:r>
            <w:r w:rsidRPr="00E2439A">
              <w:rPr>
                <w:rFonts w:hint="eastAsia"/>
                <w:color w:val="000000" w:themeColor="text1"/>
                <w:kern w:val="0"/>
                <w:sz w:val="24"/>
              </w:rPr>
              <w:t>的单克隆抗体，形成一款</w:t>
            </w:r>
            <w:r w:rsidRPr="00E2439A">
              <w:rPr>
                <w:rFonts w:hint="eastAsia"/>
                <w:color w:val="000000" w:themeColor="text1"/>
                <w:kern w:val="0"/>
                <w:sz w:val="24"/>
              </w:rPr>
              <w:t>CLDN6</w:t>
            </w:r>
            <w:r w:rsidRPr="00E2439A">
              <w:rPr>
                <w:rFonts w:hint="eastAsia"/>
                <w:color w:val="000000" w:themeColor="text1"/>
                <w:kern w:val="0"/>
                <w:sz w:val="24"/>
              </w:rPr>
              <w:t>和</w:t>
            </w:r>
            <w:r w:rsidRPr="00E2439A">
              <w:rPr>
                <w:rFonts w:hint="eastAsia"/>
                <w:color w:val="000000" w:themeColor="text1"/>
                <w:kern w:val="0"/>
                <w:sz w:val="24"/>
              </w:rPr>
              <w:t>CLDN9</w:t>
            </w:r>
            <w:r w:rsidRPr="00E2439A">
              <w:rPr>
                <w:rFonts w:hint="eastAsia"/>
                <w:color w:val="000000" w:themeColor="text1"/>
                <w:kern w:val="0"/>
                <w:sz w:val="24"/>
              </w:rPr>
              <w:t>双靶点的拓扑异构酶抑制剂</w:t>
            </w:r>
            <w:r w:rsidRPr="00E2439A">
              <w:rPr>
                <w:rFonts w:hint="eastAsia"/>
                <w:color w:val="000000" w:themeColor="text1"/>
                <w:kern w:val="0"/>
                <w:sz w:val="24"/>
              </w:rPr>
              <w:t>ADC</w:t>
            </w:r>
            <w:r w:rsidRPr="00E2439A">
              <w:rPr>
                <w:rFonts w:hint="eastAsia"/>
                <w:color w:val="000000" w:themeColor="text1"/>
                <w:kern w:val="0"/>
                <w:sz w:val="24"/>
              </w:rPr>
              <w:t>，与竞品</w:t>
            </w:r>
            <w:r w:rsidRPr="00E2439A">
              <w:rPr>
                <w:rFonts w:hint="eastAsia"/>
                <w:color w:val="000000" w:themeColor="text1"/>
                <w:kern w:val="0"/>
                <w:sz w:val="24"/>
              </w:rPr>
              <w:t>TORL-1-23</w:t>
            </w:r>
            <w:r w:rsidRPr="00E2439A">
              <w:rPr>
                <w:rFonts w:hint="eastAsia"/>
                <w:color w:val="000000" w:themeColor="text1"/>
                <w:kern w:val="0"/>
                <w:sz w:val="24"/>
              </w:rPr>
              <w:t>相比，结合能力高出</w:t>
            </w:r>
            <w:r w:rsidRPr="00E2439A">
              <w:rPr>
                <w:rFonts w:hint="eastAsia"/>
                <w:color w:val="000000" w:themeColor="text1"/>
                <w:kern w:val="0"/>
                <w:sz w:val="24"/>
              </w:rPr>
              <w:t>3</w:t>
            </w:r>
            <w:r w:rsidRPr="00E2439A">
              <w:rPr>
                <w:rFonts w:hint="eastAsia"/>
                <w:color w:val="000000" w:themeColor="text1"/>
                <w:kern w:val="0"/>
                <w:sz w:val="24"/>
              </w:rPr>
              <w:t>倍有余，内化效率也高出</w:t>
            </w:r>
            <w:r w:rsidRPr="00E2439A">
              <w:rPr>
                <w:rFonts w:hint="eastAsia"/>
                <w:color w:val="000000" w:themeColor="text1"/>
                <w:kern w:val="0"/>
                <w:sz w:val="24"/>
              </w:rPr>
              <w:t>20</w:t>
            </w:r>
            <w:r w:rsidRPr="00E2439A">
              <w:rPr>
                <w:rFonts w:hint="eastAsia"/>
                <w:color w:val="000000" w:themeColor="text1"/>
                <w:kern w:val="0"/>
                <w:sz w:val="24"/>
              </w:rPr>
              <w:t>倍有余，显示出更好的抗肿瘤活性。</w:t>
            </w:r>
            <w:r w:rsidRPr="00E2439A">
              <w:rPr>
                <w:rFonts w:hint="eastAsia"/>
                <w:color w:val="000000" w:themeColor="text1"/>
                <w:kern w:val="0"/>
                <w:sz w:val="24"/>
              </w:rPr>
              <w:t>APL-2501</w:t>
            </w:r>
            <w:r w:rsidRPr="00E2439A">
              <w:rPr>
                <w:rFonts w:hint="eastAsia"/>
                <w:color w:val="000000" w:themeColor="text1"/>
                <w:kern w:val="0"/>
                <w:sz w:val="24"/>
              </w:rPr>
              <w:t>携带的毒性分子是近年来证实的最佳载荷，但其缺点是疏水性很强，公司针对性设计了连接子，增强了亲水性的同</w:t>
            </w:r>
            <w:r w:rsidRPr="00E2439A">
              <w:rPr>
                <w:rFonts w:hint="eastAsia"/>
                <w:color w:val="000000" w:themeColor="text1"/>
                <w:kern w:val="0"/>
                <w:sz w:val="24"/>
              </w:rPr>
              <w:lastRenderedPageBreak/>
              <w:t>时，支持</w:t>
            </w:r>
            <w:r w:rsidRPr="00E2439A">
              <w:rPr>
                <w:rFonts w:hint="eastAsia"/>
                <w:color w:val="000000" w:themeColor="text1"/>
                <w:kern w:val="0"/>
                <w:sz w:val="24"/>
              </w:rPr>
              <w:t>DAR8</w:t>
            </w:r>
            <w:r w:rsidRPr="00E2439A">
              <w:rPr>
                <w:rFonts w:hint="eastAsia"/>
                <w:color w:val="000000" w:themeColor="text1"/>
                <w:kern w:val="0"/>
                <w:sz w:val="24"/>
              </w:rPr>
              <w:t>均质偶联，使整个</w:t>
            </w:r>
            <w:r w:rsidRPr="00E2439A">
              <w:rPr>
                <w:rFonts w:hint="eastAsia"/>
                <w:color w:val="000000" w:themeColor="text1"/>
                <w:kern w:val="0"/>
                <w:sz w:val="24"/>
              </w:rPr>
              <w:t>ADC</w:t>
            </w:r>
            <w:r w:rsidRPr="00E2439A">
              <w:rPr>
                <w:rFonts w:hint="eastAsia"/>
                <w:color w:val="000000" w:themeColor="text1"/>
                <w:kern w:val="0"/>
                <w:sz w:val="24"/>
              </w:rPr>
              <w:t>分子表现出优异的稳定性，减少了非特异性吞噬，扩宽了治疗窗口，进一步提升疗效潜力。</w:t>
            </w:r>
            <w:r w:rsidRPr="00E2439A">
              <w:rPr>
                <w:rFonts w:hint="eastAsia"/>
                <w:color w:val="000000" w:themeColor="text1"/>
                <w:kern w:val="0"/>
                <w:sz w:val="24"/>
              </w:rPr>
              <w:t>APL-2501</w:t>
            </w:r>
            <w:r w:rsidRPr="00E2439A">
              <w:rPr>
                <w:rFonts w:hint="eastAsia"/>
                <w:color w:val="000000" w:themeColor="text1"/>
                <w:kern w:val="0"/>
                <w:sz w:val="24"/>
              </w:rPr>
              <w:t>通过溶酶体组织蛋白酶触发释放载荷，确保肿瘤微环境特异性杀伤，旁观者效应显著好于微管蛋白抑制剂</w:t>
            </w:r>
            <w:r w:rsidRPr="00E2439A">
              <w:rPr>
                <w:rFonts w:hint="eastAsia"/>
                <w:color w:val="000000" w:themeColor="text1"/>
                <w:kern w:val="0"/>
                <w:sz w:val="24"/>
              </w:rPr>
              <w:t>MMAE</w:t>
            </w:r>
            <w:r w:rsidRPr="00E2439A">
              <w:rPr>
                <w:rFonts w:hint="eastAsia"/>
                <w:color w:val="000000" w:themeColor="text1"/>
                <w:kern w:val="0"/>
                <w:sz w:val="24"/>
              </w:rPr>
              <w:t>，预期在</w:t>
            </w:r>
            <w:r w:rsidRPr="00E2439A">
              <w:rPr>
                <w:rFonts w:hint="eastAsia"/>
                <w:color w:val="000000" w:themeColor="text1"/>
                <w:kern w:val="0"/>
                <w:sz w:val="24"/>
              </w:rPr>
              <w:t>CLDN6</w:t>
            </w:r>
            <w:r w:rsidRPr="00E2439A">
              <w:rPr>
                <w:rFonts w:hint="eastAsia"/>
                <w:color w:val="000000" w:themeColor="text1"/>
                <w:kern w:val="0"/>
                <w:sz w:val="24"/>
              </w:rPr>
              <w:t>弱阳性病人也有反应。现有</w:t>
            </w:r>
            <w:r w:rsidRPr="00E2439A">
              <w:rPr>
                <w:rFonts w:hint="eastAsia"/>
                <w:color w:val="000000" w:themeColor="text1"/>
                <w:kern w:val="0"/>
                <w:sz w:val="24"/>
              </w:rPr>
              <w:t>ADC</w:t>
            </w:r>
            <w:r w:rsidRPr="00E2439A">
              <w:rPr>
                <w:rFonts w:hint="eastAsia"/>
                <w:color w:val="000000" w:themeColor="text1"/>
                <w:kern w:val="0"/>
                <w:sz w:val="24"/>
              </w:rPr>
              <w:t>药物如</w:t>
            </w:r>
            <w:r w:rsidRPr="00E2439A">
              <w:rPr>
                <w:rFonts w:hint="eastAsia"/>
                <w:color w:val="000000" w:themeColor="text1"/>
                <w:kern w:val="0"/>
                <w:sz w:val="24"/>
              </w:rPr>
              <w:t>Mirvetuximab Soravtansine-gynx</w:t>
            </w:r>
            <w:r w:rsidRPr="00E2439A">
              <w:rPr>
                <w:rFonts w:hint="eastAsia"/>
                <w:color w:val="000000" w:themeColor="text1"/>
                <w:kern w:val="0"/>
                <w:sz w:val="24"/>
              </w:rPr>
              <w:t>对于卵巢癌的有效率（</w:t>
            </w:r>
            <w:r w:rsidRPr="00E2439A">
              <w:rPr>
                <w:rFonts w:hint="eastAsia"/>
                <w:color w:val="000000" w:themeColor="text1"/>
                <w:kern w:val="0"/>
                <w:sz w:val="24"/>
              </w:rPr>
              <w:t>ORR</w:t>
            </w:r>
            <w:r w:rsidRPr="00E2439A">
              <w:rPr>
                <w:rFonts w:hint="eastAsia"/>
                <w:color w:val="000000" w:themeColor="text1"/>
                <w:kern w:val="0"/>
                <w:sz w:val="24"/>
              </w:rPr>
              <w:t>）为</w:t>
            </w:r>
            <w:r w:rsidRPr="00E2439A">
              <w:rPr>
                <w:rFonts w:hint="eastAsia"/>
                <w:color w:val="000000" w:themeColor="text1"/>
                <w:kern w:val="0"/>
                <w:sz w:val="24"/>
              </w:rPr>
              <w:t>31%-42%</w:t>
            </w:r>
            <w:r w:rsidRPr="00E2439A">
              <w:rPr>
                <w:rFonts w:hint="eastAsia"/>
                <w:color w:val="000000" w:themeColor="text1"/>
                <w:kern w:val="0"/>
                <w:sz w:val="24"/>
              </w:rPr>
              <w:t>左右，表明仍有很大的未被满足的治疗需求。与上述药物所用的微管蛋白抑制剂载荷相比，</w:t>
            </w:r>
            <w:r w:rsidRPr="00E2439A">
              <w:rPr>
                <w:rFonts w:hint="eastAsia"/>
                <w:color w:val="000000" w:themeColor="text1"/>
                <w:kern w:val="0"/>
                <w:sz w:val="24"/>
              </w:rPr>
              <w:t>APL-2501</w:t>
            </w:r>
            <w:r w:rsidRPr="00E2439A">
              <w:rPr>
                <w:rFonts w:hint="eastAsia"/>
                <w:color w:val="000000" w:themeColor="text1"/>
                <w:kern w:val="0"/>
                <w:sz w:val="24"/>
              </w:rPr>
              <w:t>特点之一是提高了耐受剂量及扩大了治疗窗口（</w:t>
            </w:r>
            <w:r w:rsidRPr="00E2439A">
              <w:rPr>
                <w:rFonts w:hint="eastAsia"/>
                <w:color w:val="000000" w:themeColor="text1"/>
                <w:kern w:val="0"/>
                <w:sz w:val="24"/>
              </w:rPr>
              <w:t>TI</w:t>
            </w:r>
            <w:r w:rsidRPr="00E2439A">
              <w:rPr>
                <w:rFonts w:hint="eastAsia"/>
                <w:color w:val="000000" w:themeColor="text1"/>
                <w:kern w:val="0"/>
                <w:sz w:val="24"/>
              </w:rPr>
              <w:t>），同时体内药效试验中显示出比微管蛋白抑制剂类</w:t>
            </w:r>
            <w:r w:rsidRPr="00E2439A">
              <w:rPr>
                <w:rFonts w:hint="eastAsia"/>
                <w:color w:val="000000" w:themeColor="text1"/>
                <w:kern w:val="0"/>
                <w:sz w:val="24"/>
              </w:rPr>
              <w:t>ADC</w:t>
            </w:r>
            <w:r w:rsidRPr="00E2439A">
              <w:rPr>
                <w:rFonts w:hint="eastAsia"/>
                <w:color w:val="000000" w:themeColor="text1"/>
                <w:kern w:val="0"/>
                <w:sz w:val="24"/>
              </w:rPr>
              <w:t>更好的治疗效果，</w:t>
            </w:r>
            <w:r w:rsidRPr="00E2439A">
              <w:rPr>
                <w:rFonts w:hint="eastAsia"/>
                <w:color w:val="000000" w:themeColor="text1"/>
                <w:kern w:val="0"/>
                <w:sz w:val="24"/>
              </w:rPr>
              <w:t>APL-2501</w:t>
            </w:r>
            <w:r w:rsidRPr="00E2439A">
              <w:rPr>
                <w:rFonts w:hint="eastAsia"/>
                <w:color w:val="000000" w:themeColor="text1"/>
                <w:kern w:val="0"/>
                <w:sz w:val="24"/>
              </w:rPr>
              <w:t>的临床前数据提示产品将具有较强的临床竞争潜力。公司</w:t>
            </w:r>
            <w:r w:rsidRPr="00E2439A">
              <w:rPr>
                <w:rFonts w:hint="eastAsia"/>
                <w:color w:val="000000" w:themeColor="text1"/>
                <w:kern w:val="0"/>
                <w:sz w:val="24"/>
              </w:rPr>
              <w:t>APL-2501</w:t>
            </w:r>
            <w:r w:rsidRPr="00E2439A">
              <w:rPr>
                <w:rFonts w:hint="eastAsia"/>
                <w:color w:val="000000" w:themeColor="text1"/>
                <w:kern w:val="0"/>
                <w:sz w:val="24"/>
              </w:rPr>
              <w:t>的临床前研究及特有的连接子平台研究分别入选</w:t>
            </w:r>
            <w:r w:rsidRPr="00E2439A">
              <w:rPr>
                <w:rFonts w:hint="eastAsia"/>
                <w:color w:val="000000" w:themeColor="text1"/>
                <w:kern w:val="0"/>
                <w:sz w:val="24"/>
              </w:rPr>
              <w:t>2025</w:t>
            </w:r>
            <w:r w:rsidRPr="00E2439A">
              <w:rPr>
                <w:rFonts w:hint="eastAsia"/>
                <w:color w:val="000000" w:themeColor="text1"/>
                <w:kern w:val="0"/>
                <w:sz w:val="24"/>
              </w:rPr>
              <w:t>年美国癌症研究协会年会（</w:t>
            </w:r>
            <w:r w:rsidRPr="00E2439A">
              <w:rPr>
                <w:rFonts w:hint="eastAsia"/>
                <w:color w:val="000000" w:themeColor="text1"/>
                <w:kern w:val="0"/>
                <w:sz w:val="24"/>
              </w:rPr>
              <w:t>AACR2025</w:t>
            </w:r>
            <w:r w:rsidRPr="00E2439A">
              <w:rPr>
                <w:rFonts w:hint="eastAsia"/>
                <w:color w:val="000000" w:themeColor="text1"/>
                <w:kern w:val="0"/>
                <w:sz w:val="24"/>
              </w:rPr>
              <w:t>）壁报展示。</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6A3898AF"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885A73">
              <w:rPr>
                <w:rFonts w:hint="eastAsia"/>
                <w:bCs/>
                <w:iCs/>
                <w:color w:val="000000"/>
                <w:sz w:val="24"/>
              </w:rPr>
              <w:t>1</w:t>
            </w:r>
            <w:r w:rsidR="00F634D7">
              <w:rPr>
                <w:rFonts w:hint="eastAsia"/>
                <w:bCs/>
                <w:iCs/>
                <w:color w:val="000000"/>
                <w:sz w:val="24"/>
              </w:rPr>
              <w:t>2</w:t>
            </w:r>
            <w:r w:rsidRPr="004256C3">
              <w:rPr>
                <w:bCs/>
                <w:iCs/>
                <w:color w:val="000000"/>
                <w:sz w:val="24"/>
              </w:rPr>
              <w:t>月</w:t>
            </w:r>
            <w:r w:rsidR="00F634D7">
              <w:rPr>
                <w:rFonts w:hint="eastAsia"/>
                <w:bCs/>
                <w:iCs/>
                <w:color w:val="000000"/>
                <w:sz w:val="24"/>
              </w:rPr>
              <w:t>12</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289B" w14:textId="77777777" w:rsidR="004E5927" w:rsidRDefault="004E5927" w:rsidP="004D6884">
      <w:r>
        <w:separator/>
      </w:r>
    </w:p>
  </w:endnote>
  <w:endnote w:type="continuationSeparator" w:id="0">
    <w:p w14:paraId="5A41897C" w14:textId="77777777" w:rsidR="004E5927" w:rsidRDefault="004E5927"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5C069" w14:textId="77777777" w:rsidR="004E5927" w:rsidRDefault="004E5927" w:rsidP="004D6884">
      <w:r>
        <w:separator/>
      </w:r>
    </w:p>
  </w:footnote>
  <w:footnote w:type="continuationSeparator" w:id="0">
    <w:p w14:paraId="21FE0C85" w14:textId="77777777" w:rsidR="004E5927" w:rsidRDefault="004E5927"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70D"/>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95C"/>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610F"/>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F111F"/>
    <w:rsid w:val="000F15EC"/>
    <w:rsid w:val="000F191F"/>
    <w:rsid w:val="000F1B39"/>
    <w:rsid w:val="000F1D9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3D81"/>
    <w:rsid w:val="001644B2"/>
    <w:rsid w:val="0016482E"/>
    <w:rsid w:val="00164BF2"/>
    <w:rsid w:val="00165DB3"/>
    <w:rsid w:val="00167847"/>
    <w:rsid w:val="00167B1F"/>
    <w:rsid w:val="00171ED3"/>
    <w:rsid w:val="00172B87"/>
    <w:rsid w:val="00173C26"/>
    <w:rsid w:val="00174276"/>
    <w:rsid w:val="00175015"/>
    <w:rsid w:val="00176E1F"/>
    <w:rsid w:val="0017795F"/>
    <w:rsid w:val="00181466"/>
    <w:rsid w:val="00183931"/>
    <w:rsid w:val="00183D9A"/>
    <w:rsid w:val="0018417B"/>
    <w:rsid w:val="00184803"/>
    <w:rsid w:val="00184CFA"/>
    <w:rsid w:val="00185DB8"/>
    <w:rsid w:val="0018638C"/>
    <w:rsid w:val="00187C2F"/>
    <w:rsid w:val="00191549"/>
    <w:rsid w:val="001978A2"/>
    <w:rsid w:val="001A0325"/>
    <w:rsid w:val="001A03E8"/>
    <w:rsid w:val="001A065A"/>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3659"/>
    <w:rsid w:val="00253C88"/>
    <w:rsid w:val="00254C93"/>
    <w:rsid w:val="00254FE6"/>
    <w:rsid w:val="00255808"/>
    <w:rsid w:val="00260E4A"/>
    <w:rsid w:val="002613A4"/>
    <w:rsid w:val="002619AA"/>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8326D"/>
    <w:rsid w:val="002836B9"/>
    <w:rsid w:val="002861F9"/>
    <w:rsid w:val="00286A21"/>
    <w:rsid w:val="002877AB"/>
    <w:rsid w:val="00287D2B"/>
    <w:rsid w:val="00290982"/>
    <w:rsid w:val="002911FD"/>
    <w:rsid w:val="002915C9"/>
    <w:rsid w:val="00292F5A"/>
    <w:rsid w:val="00293C90"/>
    <w:rsid w:val="00293E36"/>
    <w:rsid w:val="00295CED"/>
    <w:rsid w:val="00297128"/>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6537"/>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087E"/>
    <w:rsid w:val="0031102B"/>
    <w:rsid w:val="0031210C"/>
    <w:rsid w:val="003131D6"/>
    <w:rsid w:val="003143E3"/>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555A"/>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57501"/>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B11"/>
    <w:rsid w:val="00381F71"/>
    <w:rsid w:val="003824FF"/>
    <w:rsid w:val="00385C47"/>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3BD"/>
    <w:rsid w:val="00410004"/>
    <w:rsid w:val="0041035E"/>
    <w:rsid w:val="00412A28"/>
    <w:rsid w:val="00412DA6"/>
    <w:rsid w:val="004130DC"/>
    <w:rsid w:val="004137F1"/>
    <w:rsid w:val="00413D95"/>
    <w:rsid w:val="0041589C"/>
    <w:rsid w:val="00416C27"/>
    <w:rsid w:val="00416FEB"/>
    <w:rsid w:val="00417170"/>
    <w:rsid w:val="004207E4"/>
    <w:rsid w:val="00420991"/>
    <w:rsid w:val="00421207"/>
    <w:rsid w:val="00421548"/>
    <w:rsid w:val="00424605"/>
    <w:rsid w:val="00424F47"/>
    <w:rsid w:val="00425608"/>
    <w:rsid w:val="004256C3"/>
    <w:rsid w:val="0042580C"/>
    <w:rsid w:val="00425D85"/>
    <w:rsid w:val="004265E5"/>
    <w:rsid w:val="00426D40"/>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1FFF"/>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6F42"/>
    <w:rsid w:val="00497450"/>
    <w:rsid w:val="004A091D"/>
    <w:rsid w:val="004A31A5"/>
    <w:rsid w:val="004A3F1F"/>
    <w:rsid w:val="004A42B0"/>
    <w:rsid w:val="004A467C"/>
    <w:rsid w:val="004A553E"/>
    <w:rsid w:val="004A77B4"/>
    <w:rsid w:val="004B0EE9"/>
    <w:rsid w:val="004B28CB"/>
    <w:rsid w:val="004B307A"/>
    <w:rsid w:val="004B36DC"/>
    <w:rsid w:val="004B4E00"/>
    <w:rsid w:val="004B52D0"/>
    <w:rsid w:val="004B5691"/>
    <w:rsid w:val="004B5701"/>
    <w:rsid w:val="004B58E4"/>
    <w:rsid w:val="004B7C8F"/>
    <w:rsid w:val="004C10CD"/>
    <w:rsid w:val="004C11B7"/>
    <w:rsid w:val="004C15B0"/>
    <w:rsid w:val="004C1FD3"/>
    <w:rsid w:val="004C2D1B"/>
    <w:rsid w:val="004C347B"/>
    <w:rsid w:val="004C6B45"/>
    <w:rsid w:val="004C7F5E"/>
    <w:rsid w:val="004D0477"/>
    <w:rsid w:val="004D3085"/>
    <w:rsid w:val="004D35FA"/>
    <w:rsid w:val="004D47A3"/>
    <w:rsid w:val="004D53EA"/>
    <w:rsid w:val="004D546C"/>
    <w:rsid w:val="004D6083"/>
    <w:rsid w:val="004D6884"/>
    <w:rsid w:val="004D77B8"/>
    <w:rsid w:val="004E0C11"/>
    <w:rsid w:val="004E1706"/>
    <w:rsid w:val="004E2D1D"/>
    <w:rsid w:val="004E2DF4"/>
    <w:rsid w:val="004E306E"/>
    <w:rsid w:val="004E31AA"/>
    <w:rsid w:val="004E35A8"/>
    <w:rsid w:val="004E3A38"/>
    <w:rsid w:val="004E4C5A"/>
    <w:rsid w:val="004E5927"/>
    <w:rsid w:val="004E6DD8"/>
    <w:rsid w:val="004E6F5A"/>
    <w:rsid w:val="004F2B03"/>
    <w:rsid w:val="004F38CA"/>
    <w:rsid w:val="004F46C8"/>
    <w:rsid w:val="004F4725"/>
    <w:rsid w:val="004F5243"/>
    <w:rsid w:val="004F6937"/>
    <w:rsid w:val="004F6AB2"/>
    <w:rsid w:val="004F6F0D"/>
    <w:rsid w:val="004F76A8"/>
    <w:rsid w:val="004F7BF6"/>
    <w:rsid w:val="005007A0"/>
    <w:rsid w:val="00501DAF"/>
    <w:rsid w:val="00502679"/>
    <w:rsid w:val="00503E85"/>
    <w:rsid w:val="005047BD"/>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64DB"/>
    <w:rsid w:val="005464F3"/>
    <w:rsid w:val="005507DE"/>
    <w:rsid w:val="005516A7"/>
    <w:rsid w:val="00552240"/>
    <w:rsid w:val="00552E18"/>
    <w:rsid w:val="005547B7"/>
    <w:rsid w:val="00555148"/>
    <w:rsid w:val="00555F80"/>
    <w:rsid w:val="00556DEC"/>
    <w:rsid w:val="00557D8E"/>
    <w:rsid w:val="0056033B"/>
    <w:rsid w:val="0056128E"/>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640"/>
    <w:rsid w:val="00580664"/>
    <w:rsid w:val="00581B99"/>
    <w:rsid w:val="005825A6"/>
    <w:rsid w:val="005826B8"/>
    <w:rsid w:val="00583012"/>
    <w:rsid w:val="00583341"/>
    <w:rsid w:val="00583D9D"/>
    <w:rsid w:val="00583E3F"/>
    <w:rsid w:val="00584659"/>
    <w:rsid w:val="0058725B"/>
    <w:rsid w:val="00587BEB"/>
    <w:rsid w:val="00590B96"/>
    <w:rsid w:val="005915BE"/>
    <w:rsid w:val="005919C1"/>
    <w:rsid w:val="005939A4"/>
    <w:rsid w:val="00593BA6"/>
    <w:rsid w:val="00595390"/>
    <w:rsid w:val="00597264"/>
    <w:rsid w:val="005A0E63"/>
    <w:rsid w:val="005A424A"/>
    <w:rsid w:val="005A55EE"/>
    <w:rsid w:val="005A5AE6"/>
    <w:rsid w:val="005A5BDE"/>
    <w:rsid w:val="005A6374"/>
    <w:rsid w:val="005A660F"/>
    <w:rsid w:val="005B1D6F"/>
    <w:rsid w:val="005B32E0"/>
    <w:rsid w:val="005B335A"/>
    <w:rsid w:val="005B3FE2"/>
    <w:rsid w:val="005B400D"/>
    <w:rsid w:val="005B41CD"/>
    <w:rsid w:val="005B5AD2"/>
    <w:rsid w:val="005B6CC8"/>
    <w:rsid w:val="005B72D5"/>
    <w:rsid w:val="005B7569"/>
    <w:rsid w:val="005B7FBD"/>
    <w:rsid w:val="005C07C2"/>
    <w:rsid w:val="005C1CD0"/>
    <w:rsid w:val="005C234B"/>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6014D1"/>
    <w:rsid w:val="00601513"/>
    <w:rsid w:val="0060314F"/>
    <w:rsid w:val="00603241"/>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17F7A"/>
    <w:rsid w:val="00620C96"/>
    <w:rsid w:val="00621F3A"/>
    <w:rsid w:val="0062212E"/>
    <w:rsid w:val="00622CFF"/>
    <w:rsid w:val="00623F19"/>
    <w:rsid w:val="00624057"/>
    <w:rsid w:val="006244A4"/>
    <w:rsid w:val="0062470E"/>
    <w:rsid w:val="006251FF"/>
    <w:rsid w:val="00626846"/>
    <w:rsid w:val="006272A7"/>
    <w:rsid w:val="00630A2C"/>
    <w:rsid w:val="0063126E"/>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EDB"/>
    <w:rsid w:val="0066202E"/>
    <w:rsid w:val="00662575"/>
    <w:rsid w:val="00662BA8"/>
    <w:rsid w:val="00665573"/>
    <w:rsid w:val="006657BD"/>
    <w:rsid w:val="00665A96"/>
    <w:rsid w:val="00666775"/>
    <w:rsid w:val="006704C8"/>
    <w:rsid w:val="006705A8"/>
    <w:rsid w:val="00670B07"/>
    <w:rsid w:val="00670D41"/>
    <w:rsid w:val="006710DA"/>
    <w:rsid w:val="0067141C"/>
    <w:rsid w:val="006717A2"/>
    <w:rsid w:val="00671BD0"/>
    <w:rsid w:val="00671E14"/>
    <w:rsid w:val="006735B4"/>
    <w:rsid w:val="0067376F"/>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B92"/>
    <w:rsid w:val="006C252F"/>
    <w:rsid w:val="006C274B"/>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E2C"/>
    <w:rsid w:val="00702143"/>
    <w:rsid w:val="00703284"/>
    <w:rsid w:val="0070379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943"/>
    <w:rsid w:val="00717B25"/>
    <w:rsid w:val="00720469"/>
    <w:rsid w:val="00721F9F"/>
    <w:rsid w:val="00722171"/>
    <w:rsid w:val="00723755"/>
    <w:rsid w:val="00724FF8"/>
    <w:rsid w:val="00725C37"/>
    <w:rsid w:val="00726E98"/>
    <w:rsid w:val="00727D24"/>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1A02"/>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2BE"/>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1260"/>
    <w:rsid w:val="007C1B3C"/>
    <w:rsid w:val="007C2C2C"/>
    <w:rsid w:val="007C38B7"/>
    <w:rsid w:val="007C5F02"/>
    <w:rsid w:val="007C617E"/>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38E2"/>
    <w:rsid w:val="008442C3"/>
    <w:rsid w:val="0084515B"/>
    <w:rsid w:val="00845350"/>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475B"/>
    <w:rsid w:val="00876EB3"/>
    <w:rsid w:val="0087760B"/>
    <w:rsid w:val="00880197"/>
    <w:rsid w:val="008813F7"/>
    <w:rsid w:val="00881484"/>
    <w:rsid w:val="00882B07"/>
    <w:rsid w:val="00883401"/>
    <w:rsid w:val="00884056"/>
    <w:rsid w:val="008845E6"/>
    <w:rsid w:val="00885A73"/>
    <w:rsid w:val="00886056"/>
    <w:rsid w:val="0088617D"/>
    <w:rsid w:val="0088652C"/>
    <w:rsid w:val="0088658E"/>
    <w:rsid w:val="00886612"/>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2CD"/>
    <w:rsid w:val="008C78D2"/>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8F30DC"/>
    <w:rsid w:val="008F79A7"/>
    <w:rsid w:val="00900A4A"/>
    <w:rsid w:val="009041C1"/>
    <w:rsid w:val="00904A19"/>
    <w:rsid w:val="00905631"/>
    <w:rsid w:val="00906EB0"/>
    <w:rsid w:val="009075E2"/>
    <w:rsid w:val="00907DC0"/>
    <w:rsid w:val="009102A5"/>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080"/>
    <w:rsid w:val="00957E84"/>
    <w:rsid w:val="0096013F"/>
    <w:rsid w:val="00961131"/>
    <w:rsid w:val="00961C1F"/>
    <w:rsid w:val="00961E09"/>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2061C"/>
    <w:rsid w:val="00A2066A"/>
    <w:rsid w:val="00A248D0"/>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5149"/>
    <w:rsid w:val="00A75163"/>
    <w:rsid w:val="00A75E6E"/>
    <w:rsid w:val="00A7671D"/>
    <w:rsid w:val="00A809CD"/>
    <w:rsid w:val="00A80E56"/>
    <w:rsid w:val="00A80EA5"/>
    <w:rsid w:val="00A81AF8"/>
    <w:rsid w:val="00A81C0C"/>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33E0"/>
    <w:rsid w:val="00AA36AE"/>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1301"/>
    <w:rsid w:val="00B4240E"/>
    <w:rsid w:val="00B42BB1"/>
    <w:rsid w:val="00B43022"/>
    <w:rsid w:val="00B4315E"/>
    <w:rsid w:val="00B44AFD"/>
    <w:rsid w:val="00B4548B"/>
    <w:rsid w:val="00B47159"/>
    <w:rsid w:val="00B47406"/>
    <w:rsid w:val="00B474B6"/>
    <w:rsid w:val="00B505E4"/>
    <w:rsid w:val="00B50D63"/>
    <w:rsid w:val="00B5161B"/>
    <w:rsid w:val="00B51906"/>
    <w:rsid w:val="00B53F79"/>
    <w:rsid w:val="00B5542B"/>
    <w:rsid w:val="00B563D3"/>
    <w:rsid w:val="00B564D1"/>
    <w:rsid w:val="00B56A30"/>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403"/>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096F"/>
    <w:rsid w:val="00BC0E71"/>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0A79"/>
    <w:rsid w:val="00C711F7"/>
    <w:rsid w:val="00C718DA"/>
    <w:rsid w:val="00C73F0C"/>
    <w:rsid w:val="00C74285"/>
    <w:rsid w:val="00C747AB"/>
    <w:rsid w:val="00C754F1"/>
    <w:rsid w:val="00C75D89"/>
    <w:rsid w:val="00C76EA1"/>
    <w:rsid w:val="00C800AD"/>
    <w:rsid w:val="00C800EF"/>
    <w:rsid w:val="00C808C5"/>
    <w:rsid w:val="00C8235C"/>
    <w:rsid w:val="00C85862"/>
    <w:rsid w:val="00C863B2"/>
    <w:rsid w:val="00C86F6E"/>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586"/>
    <w:rsid w:val="00CB07CC"/>
    <w:rsid w:val="00CB13BD"/>
    <w:rsid w:val="00CB1C4A"/>
    <w:rsid w:val="00CB2791"/>
    <w:rsid w:val="00CB3E90"/>
    <w:rsid w:val="00CB4948"/>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3116"/>
    <w:rsid w:val="00CE5B06"/>
    <w:rsid w:val="00CE73CC"/>
    <w:rsid w:val="00CE793C"/>
    <w:rsid w:val="00CF1F10"/>
    <w:rsid w:val="00CF2106"/>
    <w:rsid w:val="00CF255C"/>
    <w:rsid w:val="00CF2D55"/>
    <w:rsid w:val="00CF4C57"/>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50"/>
    <w:rsid w:val="00D477C1"/>
    <w:rsid w:val="00D47922"/>
    <w:rsid w:val="00D50EB6"/>
    <w:rsid w:val="00D520B4"/>
    <w:rsid w:val="00D526FD"/>
    <w:rsid w:val="00D529A7"/>
    <w:rsid w:val="00D53CA1"/>
    <w:rsid w:val="00D57981"/>
    <w:rsid w:val="00D60BFD"/>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BB"/>
    <w:rsid w:val="00E8127D"/>
    <w:rsid w:val="00E813D4"/>
    <w:rsid w:val="00E81824"/>
    <w:rsid w:val="00E81D11"/>
    <w:rsid w:val="00E83DA5"/>
    <w:rsid w:val="00E85AF5"/>
    <w:rsid w:val="00E86DA3"/>
    <w:rsid w:val="00E873F9"/>
    <w:rsid w:val="00E90949"/>
    <w:rsid w:val="00E916D0"/>
    <w:rsid w:val="00E917B8"/>
    <w:rsid w:val="00E9290B"/>
    <w:rsid w:val="00E93298"/>
    <w:rsid w:val="00E938D6"/>
    <w:rsid w:val="00E9560F"/>
    <w:rsid w:val="00E958C4"/>
    <w:rsid w:val="00E96356"/>
    <w:rsid w:val="00EA00E0"/>
    <w:rsid w:val="00EA00FF"/>
    <w:rsid w:val="00EA03DF"/>
    <w:rsid w:val="00EA0B4C"/>
    <w:rsid w:val="00EA0E80"/>
    <w:rsid w:val="00EA1FF7"/>
    <w:rsid w:val="00EA24EA"/>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69B"/>
    <w:rsid w:val="00EE5AE1"/>
    <w:rsid w:val="00EF01BF"/>
    <w:rsid w:val="00EF0E49"/>
    <w:rsid w:val="00EF164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E94"/>
    <w:rsid w:val="00F10FE0"/>
    <w:rsid w:val="00F137D6"/>
    <w:rsid w:val="00F13DF4"/>
    <w:rsid w:val="00F13F1B"/>
    <w:rsid w:val="00F14A53"/>
    <w:rsid w:val="00F17AF6"/>
    <w:rsid w:val="00F20189"/>
    <w:rsid w:val="00F21806"/>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0DD"/>
    <w:rsid w:val="00F35CB0"/>
    <w:rsid w:val="00F37F79"/>
    <w:rsid w:val="00F40877"/>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34D7"/>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D1B"/>
    <w:rsid w:val="00F90093"/>
    <w:rsid w:val="00F9089E"/>
    <w:rsid w:val="00F9368D"/>
    <w:rsid w:val="00F93C6D"/>
    <w:rsid w:val="00F95528"/>
    <w:rsid w:val="00F95F7D"/>
    <w:rsid w:val="00F9634B"/>
    <w:rsid w:val="00F97EE6"/>
    <w:rsid w:val="00FA0045"/>
    <w:rsid w:val="00FA08D9"/>
    <w:rsid w:val="00FA1119"/>
    <w:rsid w:val="00FA1AD2"/>
    <w:rsid w:val="00FA25BA"/>
    <w:rsid w:val="00FA30F2"/>
    <w:rsid w:val="00FA3ED5"/>
    <w:rsid w:val="00FA4479"/>
    <w:rsid w:val="00FA4CCD"/>
    <w:rsid w:val="00FA5EF3"/>
    <w:rsid w:val="00FA682D"/>
    <w:rsid w:val="00FA7574"/>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7EA"/>
    <w:rsid w:val="00FE3981"/>
    <w:rsid w:val="00FE3C25"/>
    <w:rsid w:val="00FE424E"/>
    <w:rsid w:val="00FE4E3B"/>
    <w:rsid w:val="00FF039D"/>
    <w:rsid w:val="00FF0717"/>
    <w:rsid w:val="00FF155E"/>
    <w:rsid w:val="00FF1E40"/>
    <w:rsid w:val="00FF20A7"/>
    <w:rsid w:val="00FF292A"/>
    <w:rsid w:val="00FF2E44"/>
    <w:rsid w:val="00FF33D0"/>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董办K</cp:lastModifiedBy>
  <cp:revision>590</cp:revision>
  <cp:lastPrinted>2022-02-09T01:17:00Z</cp:lastPrinted>
  <dcterms:created xsi:type="dcterms:W3CDTF">2024-04-19T09:43:00Z</dcterms:created>
  <dcterms:modified xsi:type="dcterms:W3CDTF">2025-12-12T08:09:00Z</dcterms:modified>
</cp:coreProperties>
</file>