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054D8">
      <w:pPr>
        <w:jc w:val="center"/>
        <w:rPr>
          <w:rFonts w:ascii="Times New Roman" w:hAnsi="Times New Roman" w:eastAsia="华文楷体"/>
          <w:b/>
          <w:bCs/>
          <w:iCs/>
          <w:color w:val="000000"/>
          <w:sz w:val="24"/>
        </w:rPr>
      </w:pPr>
      <w:bookmarkStart w:id="3" w:name="_GoBack"/>
      <w:bookmarkEnd w:id="3"/>
      <w:r>
        <w:rPr>
          <w:rFonts w:ascii="Times New Roman" w:hAnsi="Times New Roman" w:eastAsia="华文楷体"/>
          <w:bCs/>
          <w:iCs/>
          <w:color w:val="000000"/>
          <w:sz w:val="24"/>
        </w:rPr>
        <w:t>证券代码：</w:t>
      </w:r>
      <w:r>
        <w:rPr>
          <w:rFonts w:hint="eastAsia" w:ascii="Times New Roman" w:hAnsi="Times New Roman" w:eastAsia="华文楷体"/>
          <w:bCs/>
          <w:iCs/>
          <w:color w:val="000000"/>
          <w:sz w:val="24"/>
        </w:rPr>
        <w:t>603</w:t>
      </w:r>
      <w:r>
        <w:rPr>
          <w:rFonts w:ascii="Times New Roman" w:hAnsi="Times New Roman" w:eastAsia="华文楷体"/>
          <w:bCs/>
          <w:iCs/>
          <w:color w:val="000000"/>
          <w:sz w:val="24"/>
        </w:rPr>
        <w:t xml:space="preserve">360   </w:t>
      </w:r>
      <w:r>
        <w:rPr>
          <w:rFonts w:hint="eastAsia" w:ascii="Times New Roman" w:hAnsi="Times New Roman" w:eastAsia="华文楷体"/>
          <w:bCs/>
          <w:iCs/>
          <w:color w:val="000000"/>
          <w:sz w:val="24"/>
        </w:rPr>
        <w:t xml:space="preserve">               </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rPr>
        <w:t xml:space="preserve"> </w:t>
      </w:r>
      <w:r>
        <w:rPr>
          <w:rFonts w:ascii="Times New Roman" w:hAnsi="Times New Roman" w:eastAsia="华文楷体"/>
          <w:bCs/>
          <w:iCs/>
          <w:color w:val="000000"/>
          <w:sz w:val="24"/>
        </w:rPr>
        <w:t xml:space="preserve">               证券简称：</w:t>
      </w:r>
      <w:r>
        <w:rPr>
          <w:rFonts w:hint="eastAsia" w:ascii="Times New Roman" w:hAnsi="Times New Roman" w:eastAsia="华文楷体"/>
          <w:bCs/>
          <w:iCs/>
          <w:color w:val="000000"/>
          <w:sz w:val="24"/>
        </w:rPr>
        <w:t>百傲化学</w:t>
      </w:r>
    </w:p>
    <w:p w14:paraId="53B5E829">
      <w:pPr>
        <w:ind w:firstLine="0"/>
        <w:jc w:val="center"/>
        <w:rPr>
          <w:rFonts w:ascii="Times New Roman" w:hAnsi="Times New Roman" w:eastAsia="华文楷体"/>
          <w:b/>
          <w:bCs/>
          <w:iCs/>
          <w:color w:val="000000"/>
          <w:sz w:val="32"/>
        </w:rPr>
      </w:pPr>
      <w:r>
        <w:rPr>
          <w:rFonts w:hint="eastAsia" w:ascii="Times New Roman" w:hAnsi="Times New Roman" w:eastAsia="华文楷体"/>
          <w:b/>
          <w:bCs/>
          <w:iCs/>
          <w:color w:val="000000"/>
          <w:sz w:val="32"/>
        </w:rPr>
        <w:t>大连百傲化学</w:t>
      </w:r>
      <w:r>
        <w:rPr>
          <w:rFonts w:ascii="Times New Roman" w:hAnsi="Times New Roman" w:eastAsia="华文楷体"/>
          <w:b/>
          <w:bCs/>
          <w:iCs/>
          <w:color w:val="000000"/>
          <w:sz w:val="32"/>
        </w:rPr>
        <w:t>股份有限公司</w:t>
      </w:r>
    </w:p>
    <w:p w14:paraId="04985A25">
      <w:pPr>
        <w:ind w:firstLine="0"/>
        <w:jc w:val="center"/>
        <w:rPr>
          <w:rFonts w:ascii="Times New Roman" w:hAnsi="Times New Roman" w:eastAsia="华文楷体"/>
          <w:b/>
          <w:bCs/>
          <w:iCs/>
          <w:color w:val="000000"/>
          <w:sz w:val="32"/>
        </w:rPr>
      </w:pPr>
      <w:r>
        <w:rPr>
          <w:rFonts w:ascii="Times New Roman" w:hAnsi="Times New Roman" w:eastAsia="华文楷体"/>
          <w:b/>
          <w:bCs/>
          <w:iCs/>
          <w:color w:val="000000"/>
          <w:sz w:val="32"/>
        </w:rPr>
        <w:t>投资者关系活动记录表</w:t>
      </w:r>
    </w:p>
    <w:p w14:paraId="63C6EA79">
      <w:pPr>
        <w:spacing w:line="400" w:lineRule="exact"/>
        <w:ind w:firstLine="480"/>
        <w:rPr>
          <w:rFonts w:ascii="Times New Roman" w:hAnsi="Times New Roman" w:eastAsia="华文楷体"/>
          <w:bCs/>
          <w:iCs/>
          <w:color w:val="000000"/>
          <w:sz w:val="24"/>
        </w:rPr>
      </w:pPr>
      <w:r>
        <w:rPr>
          <w:rFonts w:ascii="Times New Roman" w:hAnsi="Times New Roman" w:eastAsia="华文楷体"/>
          <w:bCs/>
          <w:iCs/>
          <w:color w:val="000000"/>
          <w:sz w:val="24"/>
        </w:rPr>
        <w:t xml:space="preserve">                                                    编号：</w:t>
      </w:r>
      <w:r>
        <w:rPr>
          <w:rFonts w:hint="eastAsia" w:ascii="Times New Roman" w:hAnsi="Times New Roman" w:eastAsia="华文楷体"/>
          <w:bCs/>
          <w:iCs/>
          <w:color w:val="000000"/>
          <w:sz w:val="24"/>
        </w:rPr>
        <w:t>2025-001</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2A9E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5792A1CA">
            <w:pPr>
              <w:adjustRightInd w:val="0"/>
              <w:snapToGrid w:val="0"/>
              <w:spacing w:line="360" w:lineRule="auto"/>
              <w:rPr>
                <w:rFonts w:hint="eastAsia" w:ascii="Times New Roman" w:hAnsi="Times New Roman" w:eastAsia="华文楷体"/>
                <w:bCs/>
                <w:iCs/>
                <w:color w:val="000000"/>
                <w:sz w:val="24"/>
              </w:rPr>
            </w:pPr>
            <w:r>
              <w:rPr>
                <w:rFonts w:ascii="Times New Roman" w:hAnsi="Times New Roman" w:eastAsia="华文楷体"/>
                <w:bCs/>
                <w:iCs/>
                <w:color w:val="000000"/>
                <w:sz w:val="24"/>
              </w:rPr>
              <w:t>投资者关系活动类别</w:t>
            </w:r>
          </w:p>
        </w:tc>
        <w:tc>
          <w:tcPr>
            <w:tcW w:w="6614" w:type="dxa"/>
            <w:tcBorders>
              <w:tl2br w:val="nil"/>
              <w:tr2bl w:val="nil"/>
            </w:tcBorders>
          </w:tcPr>
          <w:p w14:paraId="2F5596C1">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特定对象调研        </w:t>
            </w:r>
            <w:r>
              <w:rPr>
                <w:rFonts w:ascii="Times New Roman" w:hAnsi="Times New Roman" w:eastAsia="华文楷体"/>
                <w:bCs/>
                <w:iCs/>
                <w:color w:val="000000"/>
                <w:sz w:val="24"/>
              </w:rPr>
              <w:t>□</w:t>
            </w:r>
            <w:r>
              <w:rPr>
                <w:rFonts w:ascii="Times New Roman" w:hAnsi="Times New Roman" w:eastAsia="华文楷体"/>
                <w:sz w:val="24"/>
              </w:rPr>
              <w:t>分析师会议</w:t>
            </w:r>
          </w:p>
          <w:p w14:paraId="018531D3">
            <w:pPr>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媒体采访            </w:t>
            </w:r>
            <w:r>
              <w:rPr>
                <w:rFonts w:ascii="Times New Roman" w:hAnsi="Times New Roman" w:eastAsia="华文楷体"/>
                <w:bCs/>
                <w:iCs/>
                <w:color w:val="000000"/>
                <w:sz w:val="24"/>
              </w:rPr>
              <w:t>□</w:t>
            </w:r>
            <w:r>
              <w:rPr>
                <w:rFonts w:ascii="Times New Roman" w:hAnsi="Times New Roman" w:eastAsia="华文楷体"/>
                <w:sz w:val="24"/>
              </w:rPr>
              <w:t>业绩说明会</w:t>
            </w:r>
          </w:p>
          <w:p w14:paraId="6DD5189B">
            <w:pPr>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新闻发布会          </w:t>
            </w:r>
            <w:r>
              <w:rPr>
                <w:rFonts w:hint="eastAsia" w:ascii="Times New Roman" w:hAnsi="Times New Roman" w:eastAsia="华文楷体"/>
                <w:bCs/>
                <w:iCs/>
                <w:color w:val="000000"/>
                <w:sz w:val="24"/>
              </w:rPr>
              <w:t>☑</w:t>
            </w:r>
            <w:r>
              <w:rPr>
                <w:rFonts w:ascii="Times New Roman" w:hAnsi="Times New Roman" w:eastAsia="华文楷体"/>
                <w:sz w:val="24"/>
              </w:rPr>
              <w:t>路演活动</w:t>
            </w:r>
          </w:p>
          <w:p w14:paraId="231DF1EA">
            <w:pPr>
              <w:tabs>
                <w:tab w:val="left" w:pos="3045"/>
                <w:tab w:val="center" w:pos="3199"/>
              </w:tabs>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现场参观</w:t>
            </w:r>
            <w:r>
              <w:rPr>
                <w:rFonts w:ascii="Times New Roman" w:hAnsi="Times New Roman" w:eastAsia="华文楷体"/>
                <w:bCs/>
                <w:iCs/>
                <w:color w:val="000000"/>
                <w:sz w:val="24"/>
              </w:rPr>
              <w:tab/>
            </w:r>
          </w:p>
          <w:p w14:paraId="4ED669E9">
            <w:pPr>
              <w:tabs>
                <w:tab w:val="center" w:pos="3199"/>
              </w:tabs>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其他 （</w:t>
            </w:r>
            <w:r>
              <w:rPr>
                <w:rFonts w:ascii="Times New Roman" w:hAnsi="Times New Roman" w:eastAsia="华文楷体"/>
                <w:sz w:val="24"/>
                <w:u w:val="single"/>
              </w:rPr>
              <w:t>请文字说明其他活动内容）</w:t>
            </w:r>
          </w:p>
        </w:tc>
      </w:tr>
      <w:tr w14:paraId="3667F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1B71EB98">
            <w:pPr>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参与单位名称及人员姓名</w:t>
            </w:r>
          </w:p>
        </w:tc>
        <w:tc>
          <w:tcPr>
            <w:tcW w:w="6614" w:type="dxa"/>
            <w:tcBorders>
              <w:tl2br w:val="nil"/>
              <w:tr2bl w:val="nil"/>
            </w:tcBorders>
          </w:tcPr>
          <w:p w14:paraId="7C67D51F">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中银资管、浙商证券、工银瑞信、国联民生、东方财富证券、国投瑞银基金、泰康资产、平安养老、西部证券、财通资管、华泰保兴、健顺投资、太平资产、华泰证券、安联基金、招商基金、万家基金、永望资产、青骊投资、远惟投资、明达资产、趣时资管、西藏昱皓荣创投、长信基金、工银安盛、猫头鹰基金、江晟店溪谷科技、泓泰三益投资、杭州麋乐科技</w:t>
            </w:r>
          </w:p>
        </w:tc>
      </w:tr>
      <w:tr w14:paraId="12E6B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4E1DA860">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时间</w:t>
            </w:r>
          </w:p>
        </w:tc>
        <w:tc>
          <w:tcPr>
            <w:tcW w:w="6614" w:type="dxa"/>
            <w:tcBorders>
              <w:tl2br w:val="nil"/>
              <w:tr2bl w:val="nil"/>
            </w:tcBorders>
          </w:tcPr>
          <w:p w14:paraId="62D14F94">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2025年12月</w:t>
            </w:r>
            <w:r>
              <w:rPr>
                <w:rFonts w:ascii="Times New Roman" w:hAnsi="Times New Roman" w:eastAsia="华文楷体"/>
                <w:bCs/>
                <w:iCs/>
                <w:color w:val="000000"/>
                <w:sz w:val="24"/>
              </w:rPr>
              <w:t>11</w:t>
            </w:r>
            <w:r>
              <w:rPr>
                <w:rFonts w:hint="eastAsia" w:ascii="Times New Roman" w:hAnsi="Times New Roman" w:eastAsia="华文楷体"/>
                <w:bCs/>
                <w:iCs/>
                <w:color w:val="000000"/>
                <w:sz w:val="24"/>
              </w:rPr>
              <w:t>日1</w:t>
            </w:r>
            <w:r>
              <w:rPr>
                <w:rFonts w:ascii="Times New Roman" w:hAnsi="Times New Roman" w:eastAsia="华文楷体"/>
                <w:bCs/>
                <w:iCs/>
                <w:color w:val="000000"/>
                <w:sz w:val="24"/>
              </w:rPr>
              <w:t>5</w:t>
            </w:r>
            <w:r>
              <w:rPr>
                <w:rFonts w:hint="eastAsia" w:ascii="Times New Roman" w:hAnsi="Times New Roman" w:eastAsia="华文楷体"/>
                <w:bCs/>
                <w:iCs/>
                <w:color w:val="000000"/>
                <w:sz w:val="24"/>
              </w:rPr>
              <w:t>:</w:t>
            </w:r>
            <w:r>
              <w:rPr>
                <w:rFonts w:ascii="Times New Roman" w:hAnsi="Times New Roman" w:eastAsia="华文楷体"/>
                <w:bCs/>
                <w:iCs/>
                <w:color w:val="000000"/>
                <w:sz w:val="24"/>
              </w:rPr>
              <w:t>0</w:t>
            </w:r>
            <w:r>
              <w:rPr>
                <w:rFonts w:hint="eastAsia" w:ascii="Times New Roman" w:hAnsi="Times New Roman" w:eastAsia="华文楷体"/>
                <w:bCs/>
                <w:iCs/>
                <w:color w:val="000000"/>
                <w:sz w:val="24"/>
              </w:rPr>
              <w:t>0-1</w:t>
            </w:r>
            <w:r>
              <w:rPr>
                <w:rFonts w:ascii="Times New Roman" w:hAnsi="Times New Roman" w:eastAsia="华文楷体"/>
                <w:bCs/>
                <w:iCs/>
                <w:color w:val="000000"/>
                <w:sz w:val="24"/>
              </w:rPr>
              <w:t>7</w:t>
            </w:r>
            <w:r>
              <w:rPr>
                <w:rFonts w:hint="eastAsia" w:ascii="Times New Roman" w:hAnsi="Times New Roman" w:eastAsia="华文楷体"/>
                <w:bCs/>
                <w:iCs/>
                <w:color w:val="000000"/>
                <w:sz w:val="24"/>
              </w:rPr>
              <w:t>:00</w:t>
            </w:r>
          </w:p>
        </w:tc>
      </w:tr>
      <w:tr w14:paraId="5B4D0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394995B4">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地点</w:t>
            </w:r>
          </w:p>
        </w:tc>
        <w:tc>
          <w:tcPr>
            <w:tcW w:w="6614" w:type="dxa"/>
            <w:tcBorders>
              <w:tl2br w:val="nil"/>
              <w:tr2bl w:val="nil"/>
            </w:tcBorders>
          </w:tcPr>
          <w:p w14:paraId="5700F893">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上海市甬虹路69号虹桥绿谷广场</w:t>
            </w:r>
          </w:p>
        </w:tc>
      </w:tr>
      <w:tr w14:paraId="3AB55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34DCDBDC">
            <w:pPr>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上市公司接待人员姓名</w:t>
            </w:r>
          </w:p>
        </w:tc>
        <w:tc>
          <w:tcPr>
            <w:tcW w:w="6614" w:type="dxa"/>
            <w:tcBorders>
              <w:tl2br w:val="nil"/>
              <w:tr2bl w:val="nil"/>
            </w:tcBorders>
          </w:tcPr>
          <w:p w14:paraId="17EB4484">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董事、联席总经理：刘红军</w:t>
            </w:r>
          </w:p>
          <w:p w14:paraId="37B03B45">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副总经理：赵良峰</w:t>
            </w:r>
          </w:p>
          <w:p w14:paraId="7EDE8C32">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董事会秘书：王超</w:t>
            </w:r>
          </w:p>
        </w:tc>
      </w:tr>
      <w:tr w14:paraId="4E327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l2br w:val="nil"/>
              <w:tr2bl w:val="nil"/>
            </w:tcBorders>
            <w:vAlign w:val="center"/>
          </w:tcPr>
          <w:p w14:paraId="064815AE">
            <w:pPr>
              <w:adjustRightInd w:val="0"/>
              <w:snapToGrid w:val="0"/>
              <w:spacing w:line="360" w:lineRule="auto"/>
              <w:rPr>
                <w:rFonts w:hint="eastAsia" w:ascii="Times New Roman" w:hAnsi="Times New Roman" w:eastAsia="华文楷体"/>
                <w:bCs/>
                <w:iCs/>
                <w:color w:val="000000"/>
                <w:sz w:val="24"/>
              </w:rPr>
            </w:pPr>
            <w:r>
              <w:rPr>
                <w:rFonts w:ascii="Times New Roman" w:hAnsi="Times New Roman" w:eastAsia="华文楷体"/>
                <w:bCs/>
                <w:iCs/>
                <w:color w:val="000000"/>
                <w:sz w:val="24"/>
              </w:rPr>
              <w:t>投资者关系活动主要内容介绍</w:t>
            </w:r>
          </w:p>
        </w:tc>
        <w:tc>
          <w:tcPr>
            <w:tcW w:w="6614" w:type="dxa"/>
            <w:tcBorders>
              <w:tl2br w:val="nil"/>
              <w:tr2bl w:val="nil"/>
            </w:tcBorders>
          </w:tcPr>
          <w:p w14:paraId="10AFDAE4">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一、上市公司整体介绍</w:t>
            </w:r>
          </w:p>
          <w:p w14:paraId="16745AF4">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百傲化学成立于2003年，主要从事异噻唑啉酮类工业杀菌剂原药剂的研发、生产和销售。公司于2017年在上交所主板成功上市。2</w:t>
            </w:r>
            <w:r>
              <w:rPr>
                <w:rFonts w:ascii="Times New Roman" w:hAnsi="Times New Roman" w:eastAsia="华文楷体"/>
                <w:bCs/>
                <w:iCs/>
                <w:color w:val="000000"/>
                <w:sz w:val="24"/>
              </w:rPr>
              <w:t>024年，</w:t>
            </w:r>
            <w:r>
              <w:rPr>
                <w:rFonts w:hint="eastAsia" w:ascii="Times New Roman" w:hAnsi="Times New Roman" w:eastAsia="华文楷体"/>
                <w:bCs/>
                <w:iCs/>
                <w:color w:val="000000"/>
                <w:sz w:val="24"/>
              </w:rPr>
              <w:t>公司积极开拓第二增长曲线，通过对半导体设备企业芯慧联的战略控股和芯慧联新的参股，正式进入半导体设备领域。目前，公司半导体相关业务快速发展，半导体设备已成为公司重要的战略发展方向。</w:t>
            </w:r>
          </w:p>
          <w:p w14:paraId="08D1F299">
            <w:pPr>
              <w:adjustRightInd w:val="0"/>
              <w:snapToGrid w:val="0"/>
              <w:spacing w:before="156" w:beforeLines="50" w:after="156" w:after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二、回答投资者提问</w:t>
            </w:r>
          </w:p>
          <w:p w14:paraId="795494A5">
            <w:pPr>
              <w:adjustRightInd w:val="0"/>
              <w:snapToGrid w:val="0"/>
              <w:spacing w:line="360" w:lineRule="auto"/>
              <w:rPr>
                <w:rFonts w:ascii="Times New Roman" w:hAnsi="Times New Roman" w:eastAsia="华文楷体"/>
                <w:b/>
                <w:iCs/>
                <w:color w:val="000000"/>
                <w:sz w:val="24"/>
              </w:rPr>
            </w:pPr>
            <w:bookmarkStart w:id="0" w:name="OLE_LINK1"/>
            <w:r>
              <w:rPr>
                <w:rFonts w:hint="eastAsia" w:ascii="Times New Roman" w:hAnsi="Times New Roman" w:eastAsia="华文楷体"/>
                <w:b/>
                <w:iCs/>
                <w:color w:val="000000"/>
                <w:sz w:val="24"/>
              </w:rPr>
              <w:t>问题1：刘红军先生作为芯慧联和芯慧联新的创始人，在半导体行业是如何进行布局并推进的？</w:t>
            </w:r>
          </w:p>
          <w:p w14:paraId="061CDDC3">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w:t>
            </w:r>
            <w:bookmarkEnd w:id="0"/>
            <w:r>
              <w:rPr>
                <w:rFonts w:hint="eastAsia" w:ascii="Times New Roman" w:hAnsi="Times New Roman" w:eastAsia="华文楷体"/>
                <w:bCs/>
                <w:iCs/>
                <w:color w:val="000000"/>
                <w:sz w:val="24"/>
              </w:rPr>
              <w:t>：我是从9</w:t>
            </w:r>
            <w:r>
              <w:rPr>
                <w:rFonts w:ascii="Times New Roman" w:hAnsi="Times New Roman" w:eastAsia="华文楷体"/>
                <w:bCs/>
                <w:iCs/>
                <w:color w:val="000000"/>
                <w:sz w:val="24"/>
              </w:rPr>
              <w:t>0年代初进入的半导体行业，</w:t>
            </w:r>
            <w:r>
              <w:rPr>
                <w:rFonts w:hint="eastAsia" w:ascii="Times New Roman" w:hAnsi="Times New Roman" w:eastAsia="华文楷体"/>
                <w:bCs/>
                <w:iCs/>
                <w:color w:val="000000"/>
                <w:sz w:val="24"/>
              </w:rPr>
              <w:t>至今已三十余年。在长期的从业过程中，我深切感受到，核心设备的自主可控是国家科技自立自强和产业发展的基石。因此，秉承着推动实现中国半导体技术自主可控的理念，我于2</w:t>
            </w:r>
            <w:r>
              <w:rPr>
                <w:rFonts w:ascii="Times New Roman" w:hAnsi="Times New Roman" w:eastAsia="华文楷体"/>
                <w:bCs/>
                <w:iCs/>
                <w:color w:val="000000"/>
                <w:sz w:val="24"/>
              </w:rPr>
              <w:t>019年</w:t>
            </w:r>
            <w:r>
              <w:rPr>
                <w:rFonts w:hint="eastAsia" w:ascii="Times New Roman" w:hAnsi="Times New Roman" w:eastAsia="华文楷体"/>
                <w:bCs/>
                <w:iCs/>
                <w:color w:val="000000"/>
                <w:sz w:val="24"/>
              </w:rPr>
              <w:t>成立了芯慧联</w:t>
            </w:r>
            <w:r>
              <w:rPr>
                <w:rFonts w:ascii="Times New Roman" w:hAnsi="Times New Roman" w:eastAsia="华文楷体"/>
                <w:bCs/>
                <w:iCs/>
                <w:color w:val="000000"/>
                <w:sz w:val="24"/>
              </w:rPr>
              <w:t>，</w:t>
            </w:r>
            <w:r>
              <w:rPr>
                <w:rFonts w:hint="eastAsia" w:ascii="Times New Roman" w:hAnsi="Times New Roman" w:eastAsia="华文楷体"/>
                <w:bCs/>
                <w:iCs/>
                <w:color w:val="000000"/>
                <w:sz w:val="24"/>
              </w:rPr>
              <w:t>目前已布局了先进封装、黄光制程、湿法清洗、产线自动化、设备综合服务、关键零部件及耗材、电镀设备等多个业务板块，致力于为半导体制造的关键环节提供设备与解决方案，并依靠服务与耗材供应构建长期客户关系。</w:t>
            </w:r>
          </w:p>
          <w:p w14:paraId="3CD77F91">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芯慧联新是2</w:t>
            </w:r>
            <w:r>
              <w:rPr>
                <w:rFonts w:ascii="Times New Roman" w:hAnsi="Times New Roman" w:eastAsia="华文楷体"/>
                <w:bCs/>
                <w:iCs/>
                <w:color w:val="000000"/>
                <w:sz w:val="24"/>
              </w:rPr>
              <w:t>024年</w:t>
            </w:r>
            <w:r>
              <w:rPr>
                <w:rFonts w:hint="eastAsia" w:ascii="Times New Roman" w:hAnsi="Times New Roman" w:eastAsia="华文楷体"/>
                <w:bCs/>
                <w:iCs/>
                <w:color w:val="000000"/>
                <w:sz w:val="24"/>
              </w:rPr>
              <w:t>9月自芯慧联派生分立出来的，主要从事半导体键合设备的研发、生产和销售。作为一家专注于细分领域前沿技术的专业企业，芯慧联新目前已实现核心设备的</w:t>
            </w:r>
            <w:r>
              <w:rPr>
                <w:rFonts w:ascii="Times New Roman" w:hAnsi="Times New Roman" w:eastAsia="华文楷体"/>
                <w:bCs/>
                <w:iCs/>
                <w:color w:val="000000"/>
                <w:sz w:val="24"/>
              </w:rPr>
              <w:t>全流程工艺自研，</w:t>
            </w:r>
            <w:r>
              <w:rPr>
                <w:rFonts w:hint="eastAsia" w:ascii="Times New Roman" w:hAnsi="Times New Roman" w:eastAsia="华文楷体"/>
                <w:bCs/>
                <w:iCs/>
                <w:color w:val="000000"/>
                <w:sz w:val="24"/>
              </w:rPr>
              <w:t>建立了完整的自主知识产权体系，并且成功实现了自主研发设备的出厂与交付，迈出了从“0到1”的关键一步。未来，我们将继续围绕先进封装，打造半导体设备平台化企业，目前也在积极布局符合产业技术趋势和国家战略需要的相关核心设备。</w:t>
            </w:r>
          </w:p>
          <w:p w14:paraId="77F8C46F">
            <w:pPr>
              <w:adjustRightInd w:val="0"/>
              <w:snapToGrid w:val="0"/>
              <w:spacing w:line="360" w:lineRule="auto"/>
              <w:rPr>
                <w:rFonts w:ascii="Times New Roman" w:hAnsi="Times New Roman" w:eastAsia="华文楷体"/>
                <w:b/>
                <w:iCs/>
                <w:color w:val="000000"/>
                <w:sz w:val="24"/>
              </w:rPr>
            </w:pPr>
            <w:r>
              <w:rPr>
                <w:rFonts w:hint="eastAsia" w:ascii="Times New Roman" w:hAnsi="Times New Roman" w:eastAsia="华文楷体"/>
                <w:b/>
                <w:iCs/>
                <w:color w:val="000000"/>
                <w:sz w:val="24"/>
              </w:rPr>
              <w:t>问题2：公司参股公司芯慧联新主要从事键合设备的研发生产，能否请刘红军先生介绍下键合设备的发展空间？</w:t>
            </w:r>
          </w:p>
          <w:p w14:paraId="4C6643E1">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半导体产业发展面临后摩尔时代考验，随着先进制程的发展速度逐步放缓，通过先进封装实现半导体性能提升的重要性不断凸显。键合设备是半导体3D化发展和先进封装的关键设备，其未来的重要性在某种程度上不亚于光刻机等前道设备，具有非常广阔的发展空间。目前，芯慧联新键合设备聚焦先进制程、先进封装、先进显示和先进材料四大领域，正积极与各领域的龙头企业开展合作。</w:t>
            </w:r>
          </w:p>
          <w:p w14:paraId="4DADEFC3">
            <w:pPr>
              <w:adjustRightInd w:val="0"/>
              <w:snapToGrid w:val="0"/>
              <w:spacing w:line="360" w:lineRule="auto"/>
              <w:rPr>
                <w:rFonts w:ascii="Times New Roman" w:hAnsi="Times New Roman" w:eastAsia="华文楷体"/>
                <w:b/>
                <w:iCs/>
                <w:color w:val="000000"/>
                <w:sz w:val="24"/>
              </w:rPr>
            </w:pPr>
            <w:r>
              <w:rPr>
                <w:rFonts w:hint="eastAsia" w:ascii="Times New Roman" w:hAnsi="Times New Roman" w:eastAsia="华文楷体"/>
                <w:b/>
                <w:iCs/>
                <w:color w:val="000000"/>
                <w:sz w:val="24"/>
              </w:rPr>
              <w:t>问题3：公司之前披露的关于参与研发大世代刻蚀设备的公告，这个产品对公司来说有怎样的意义？</w:t>
            </w:r>
          </w:p>
          <w:p w14:paraId="5D95FA07">
            <w:pPr>
              <w:adjustRightInd w:val="0"/>
              <w:snapToGrid w:val="0"/>
              <w:spacing w:line="360" w:lineRule="auto"/>
              <w:rPr>
                <w:rFonts w:ascii="Times New Roman" w:hAnsi="Times New Roman" w:eastAsia="华文楷体"/>
                <w:iCs/>
                <w:color w:val="000000"/>
                <w:sz w:val="24"/>
              </w:rPr>
            </w:pPr>
            <w:r>
              <w:rPr>
                <w:rFonts w:ascii="Times New Roman" w:hAnsi="Times New Roman" w:eastAsia="华文楷体"/>
                <w:iCs/>
                <w:color w:val="000000"/>
                <w:sz w:val="24"/>
              </w:rPr>
              <w:t>答：</w:t>
            </w:r>
            <w:r>
              <w:rPr>
                <w:rFonts w:hint="eastAsia" w:ascii="Times New Roman" w:hAnsi="Times New Roman" w:eastAsia="华文楷体"/>
                <w:iCs/>
                <w:color w:val="000000"/>
                <w:sz w:val="24"/>
              </w:rPr>
              <w:t>大世代刻蚀设备主要用于平板显示面板的生产，是推动显示技术发展的关键设备之一，目前国内大世代刻蚀设备市场主要以东京电子为代表的日韩厂商所主导，国产化率非常低。在此背景下，公司联合国内领先的研发机构，牵头参与大世代刻蚀设备的研发，项目瞄准被“卡脖子”的核心设备领域，致力于通过技术攻关实现国产化替代，无论对国家战略还是公司自身发展，都具有重要的战略意义。</w:t>
            </w:r>
          </w:p>
          <w:p w14:paraId="3245C0CF">
            <w:pPr>
              <w:adjustRightInd w:val="0"/>
              <w:snapToGrid w:val="0"/>
              <w:spacing w:line="360" w:lineRule="auto"/>
              <w:rPr>
                <w:rFonts w:ascii="Times New Roman" w:hAnsi="Times New Roman" w:eastAsia="华文楷体"/>
                <w:b/>
                <w:bCs/>
                <w:iCs/>
                <w:color w:val="000000"/>
                <w:sz w:val="24"/>
              </w:rPr>
            </w:pPr>
            <w:r>
              <w:rPr>
                <w:rFonts w:hint="eastAsia" w:ascii="Times New Roman" w:hAnsi="Times New Roman" w:eastAsia="华文楷体"/>
                <w:b/>
                <w:iCs/>
                <w:color w:val="000000"/>
                <w:sz w:val="24"/>
              </w:rPr>
              <w:t>问题4</w:t>
            </w:r>
            <w:r>
              <w:rPr>
                <w:rFonts w:hint="eastAsia" w:ascii="Times New Roman" w:hAnsi="Times New Roman" w:eastAsia="华文楷体"/>
                <w:b/>
                <w:bCs/>
                <w:iCs/>
                <w:color w:val="000000"/>
                <w:sz w:val="24"/>
              </w:rPr>
              <w:t>：</w:t>
            </w:r>
            <w:r>
              <w:rPr>
                <w:rFonts w:ascii="Times New Roman" w:hAnsi="Times New Roman" w:eastAsia="华文楷体"/>
                <w:b/>
                <w:bCs/>
                <w:iCs/>
                <w:color w:val="000000"/>
                <w:sz w:val="24"/>
              </w:rPr>
              <w:t>公司半导体业务发展的核心驱动力是什么？具体举措有哪些？</w:t>
            </w:r>
          </w:p>
          <w:p w14:paraId="39028497">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公司半导体业务发展的核心驱动力源于半导体业务团队深厚的技术积淀和国际化视野，刘红军先生领衔的核心技术团队曾任职于国际半导体设备龙头企业，具有丰富的半导体行业从业经验，对于产业发展趋势和关键技术路线选择等具有前瞻性的判断能力。目前，公司已构建了完善的技术和研发体系，并在部分半导体设备研发领域取得阶段性突破，未来公司将依托技术驱动，争取取得更好的发展。</w:t>
            </w:r>
          </w:p>
          <w:p w14:paraId="5F5E474A">
            <w:pPr>
              <w:adjustRightInd w:val="0"/>
              <w:snapToGrid w:val="0"/>
              <w:spacing w:line="360" w:lineRule="auto"/>
              <w:rPr>
                <w:rFonts w:ascii="Times New Roman" w:hAnsi="Times New Roman" w:eastAsia="华文楷体"/>
                <w:b/>
                <w:iCs/>
                <w:color w:val="000000"/>
                <w:sz w:val="24"/>
              </w:rPr>
            </w:pPr>
            <w:r>
              <w:rPr>
                <w:rFonts w:hint="eastAsia" w:ascii="Times New Roman" w:hAnsi="Times New Roman" w:eastAsia="华文楷体"/>
                <w:b/>
                <w:iCs/>
                <w:color w:val="000000"/>
                <w:sz w:val="24"/>
              </w:rPr>
              <w:t>问题5：公司对半导体业务的定位是什么？未来对芯慧联和芯慧联新剩余股权是如何计划的？</w:t>
            </w:r>
          </w:p>
          <w:p w14:paraId="3EE1C550">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答：半导体设备业务是公司未来重要战略发展方向，公司将通过平台化的资源倾斜和持续研发，构建在细分领域的深度竞争优势，使之成为驱动公司未来增长的主要引擎。</w:t>
            </w:r>
          </w:p>
          <w:p w14:paraId="765B6952">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目前公司已战略控股芯慧联并参股芯慧联新，公司高度重视半导体业务板块的未来发展与上市公司的深度融合，公司后续如有涉及对芯慧联及芯慧联新股权的进一步安排或规划，将严格按照相关法律法规及《公司章程》的规定，履行必要的审议程序和信息披露义务。请您关注公司后续在指定信息披露媒体上发布的正式公告。</w:t>
            </w:r>
          </w:p>
          <w:p w14:paraId="20A16947">
            <w:pPr>
              <w:adjustRightInd w:val="0"/>
              <w:snapToGrid w:val="0"/>
              <w:spacing w:line="360" w:lineRule="auto"/>
              <w:rPr>
                <w:rFonts w:ascii="Times New Roman" w:hAnsi="Times New Roman" w:eastAsia="华文楷体"/>
                <w:b/>
                <w:bCs/>
                <w:iCs/>
                <w:color w:val="000000"/>
                <w:sz w:val="24"/>
              </w:rPr>
            </w:pPr>
            <w:r>
              <w:rPr>
                <w:rFonts w:ascii="Times New Roman" w:hAnsi="Times New Roman" w:eastAsia="华文楷体"/>
                <w:b/>
                <w:bCs/>
                <w:iCs/>
                <w:color w:val="000000"/>
                <w:sz w:val="24"/>
              </w:rPr>
              <w:t>问题</w:t>
            </w:r>
            <w:r>
              <w:rPr>
                <w:rFonts w:hint="eastAsia" w:ascii="Times New Roman" w:hAnsi="Times New Roman" w:eastAsia="华文楷体"/>
                <w:b/>
                <w:bCs/>
                <w:iCs/>
                <w:color w:val="000000"/>
                <w:sz w:val="24"/>
              </w:rPr>
              <w:t>6</w:t>
            </w:r>
            <w:r>
              <w:rPr>
                <w:rFonts w:ascii="Times New Roman" w:hAnsi="Times New Roman" w:eastAsia="华文楷体"/>
                <w:b/>
                <w:bCs/>
                <w:iCs/>
                <w:color w:val="000000"/>
                <w:sz w:val="24"/>
              </w:rPr>
              <w:t>：</w:t>
            </w:r>
            <w:r>
              <w:rPr>
                <w:rFonts w:hint="eastAsia" w:ascii="Times New Roman" w:hAnsi="Times New Roman" w:eastAsia="华文楷体"/>
                <w:b/>
                <w:bCs/>
                <w:iCs/>
                <w:color w:val="000000"/>
                <w:sz w:val="24"/>
              </w:rPr>
              <w:t>请介绍下</w:t>
            </w:r>
            <w:r>
              <w:rPr>
                <w:rFonts w:ascii="Times New Roman" w:hAnsi="Times New Roman" w:eastAsia="华文楷体"/>
                <w:b/>
                <w:bCs/>
                <w:iCs/>
                <w:color w:val="000000"/>
                <w:sz w:val="24"/>
              </w:rPr>
              <w:t>公司在</w:t>
            </w:r>
            <w:r>
              <w:rPr>
                <w:rFonts w:hint="eastAsia" w:ascii="Times New Roman" w:hAnsi="Times New Roman" w:eastAsia="华文楷体"/>
                <w:b/>
                <w:bCs/>
                <w:iCs/>
                <w:color w:val="000000"/>
                <w:sz w:val="24"/>
              </w:rPr>
              <w:t>1</w:t>
            </w:r>
            <w:r>
              <w:rPr>
                <w:rFonts w:ascii="Times New Roman" w:hAnsi="Times New Roman" w:eastAsia="华文楷体"/>
                <w:b/>
                <w:bCs/>
                <w:iCs/>
                <w:color w:val="000000"/>
                <w:sz w:val="24"/>
              </w:rPr>
              <w:t>1月份披露的大股东协议转让的</w:t>
            </w:r>
            <w:r>
              <w:rPr>
                <w:rFonts w:hint="eastAsia" w:ascii="Times New Roman" w:hAnsi="Times New Roman" w:eastAsia="华文楷体"/>
                <w:b/>
                <w:bCs/>
                <w:iCs/>
                <w:color w:val="000000"/>
                <w:sz w:val="24"/>
              </w:rPr>
              <w:t>背景和</w:t>
            </w:r>
            <w:r>
              <w:rPr>
                <w:rFonts w:ascii="Times New Roman" w:hAnsi="Times New Roman" w:eastAsia="华文楷体"/>
                <w:b/>
                <w:bCs/>
                <w:iCs/>
                <w:color w:val="000000"/>
                <w:sz w:val="24"/>
              </w:rPr>
              <w:t>进展</w:t>
            </w:r>
            <w:r>
              <w:rPr>
                <w:rFonts w:hint="eastAsia" w:ascii="Times New Roman" w:hAnsi="Times New Roman" w:eastAsia="华文楷体"/>
                <w:b/>
                <w:bCs/>
                <w:iCs/>
                <w:color w:val="000000"/>
                <w:sz w:val="24"/>
              </w:rPr>
              <w:t>情况。</w:t>
            </w:r>
          </w:p>
          <w:p w14:paraId="494AC246">
            <w:pPr>
              <w:adjustRightInd w:val="0"/>
              <w:snapToGrid w:val="0"/>
              <w:spacing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答：</w:t>
            </w:r>
            <w:r>
              <w:rPr>
                <w:rFonts w:hint="eastAsia" w:ascii="Times New Roman" w:hAnsi="Times New Roman" w:eastAsia="华文楷体"/>
                <w:bCs/>
                <w:iCs/>
                <w:color w:val="000000"/>
                <w:sz w:val="24"/>
              </w:rPr>
              <w:t>公司大股东的协议转让旨在提升上市公司与半导体业务团队的深度融合，为公司半导体业务发展注入长期动能。目前，</w:t>
            </w:r>
            <w:r>
              <w:rPr>
                <w:rFonts w:ascii="Times New Roman" w:hAnsi="Times New Roman" w:eastAsia="华文楷体"/>
                <w:bCs/>
                <w:iCs/>
                <w:color w:val="000000"/>
                <w:sz w:val="24"/>
              </w:rPr>
              <w:t>股东协议转让事项</w:t>
            </w:r>
            <w:r>
              <w:rPr>
                <w:rFonts w:hint="eastAsia" w:ascii="Times New Roman" w:hAnsi="Times New Roman" w:eastAsia="华文楷体"/>
                <w:bCs/>
                <w:iCs/>
                <w:color w:val="000000"/>
                <w:sz w:val="24"/>
              </w:rPr>
              <w:t>正按照前期披露的时间安排</w:t>
            </w:r>
            <w:r>
              <w:rPr>
                <w:rFonts w:ascii="Times New Roman" w:hAnsi="Times New Roman" w:eastAsia="华文楷体"/>
                <w:bCs/>
                <w:iCs/>
                <w:color w:val="000000"/>
                <w:sz w:val="24"/>
              </w:rPr>
              <w:t>有序推进，后续</w:t>
            </w:r>
            <w:r>
              <w:rPr>
                <w:rFonts w:hint="eastAsia" w:ascii="Times New Roman" w:hAnsi="Times New Roman" w:eastAsia="华文楷体"/>
                <w:bCs/>
                <w:iCs/>
                <w:color w:val="000000"/>
                <w:sz w:val="24"/>
              </w:rPr>
              <w:t>具体进展请关注公司相关公告。</w:t>
            </w:r>
          </w:p>
          <w:p w14:paraId="2EEB9DA2">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
                <w:iCs/>
                <w:color w:val="000000"/>
                <w:sz w:val="24"/>
              </w:rPr>
              <w:t>问题7：市场比较关注的抓取机械手，目前是什么进展？</w:t>
            </w:r>
          </w:p>
          <w:p w14:paraId="200B2054">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机械手即洁净搬运机器人，应用于半导体、面板、光伏等行业，满足大气、真空、大尺寸、高负载等需求，可根据需求进行定制化开发，以满足不同工艺与产率要求。目前，芯慧联在抓取机械手方面的进展，已从早期的技术研发和定制化探索，进入到了产品系列化、客户验证与批量交付的实质性阶段。</w:t>
            </w:r>
          </w:p>
          <w:p w14:paraId="65E3ED23">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
                <w:iCs/>
                <w:color w:val="000000"/>
                <w:sz w:val="24"/>
              </w:rPr>
              <w:t>问题8：公司的定价策略是如何制定的？</w:t>
            </w:r>
          </w:p>
          <w:p w14:paraId="62FAAB26">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公司半导体产品的定价策略是基于“解决方案价值定价”原则，遵循“一单一议”的严谨模式。是对每个定制项目所涉及的专属研发投入、特定工艺与供应链成本、产品为客户创造的市场价值，以及长期合作风险与条款进行综合评估后的结果。该策略确保我们与客户公平分享技术创造的价值，实现深度绑定与共赢，是公司核心竞争力的直接体现。</w:t>
            </w:r>
          </w:p>
          <w:p w14:paraId="2BE47822">
            <w:pPr>
              <w:adjustRightInd w:val="0"/>
              <w:snapToGrid w:val="0"/>
              <w:spacing w:line="360" w:lineRule="auto"/>
              <w:rPr>
                <w:rFonts w:ascii="Times New Roman" w:hAnsi="Times New Roman" w:eastAsia="华文楷体"/>
                <w:b/>
                <w:iCs/>
                <w:color w:val="000000"/>
                <w:sz w:val="24"/>
              </w:rPr>
            </w:pPr>
            <w:bookmarkStart w:id="1" w:name="OLE_LINK3"/>
            <w:r>
              <w:rPr>
                <w:rFonts w:hint="eastAsia" w:ascii="Times New Roman" w:hAnsi="Times New Roman" w:eastAsia="华文楷体"/>
                <w:b/>
                <w:iCs/>
                <w:color w:val="000000"/>
                <w:sz w:val="24"/>
              </w:rPr>
              <w:t>问题9：</w:t>
            </w:r>
            <w:r>
              <w:rPr>
                <w:rFonts w:ascii="Times New Roman" w:hAnsi="Times New Roman" w:eastAsia="华文楷体"/>
                <w:b/>
                <w:iCs/>
                <w:color w:val="000000"/>
                <w:sz w:val="24"/>
              </w:rPr>
              <w:t>未来百傲化学考虑更名吗？比如加上“芯片”和“半导体”这种？</w:t>
            </w:r>
          </w:p>
          <w:p w14:paraId="76E1883D">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答：感谢您对公司未来发展的关注与宝贵建议。关于公司名称中是否纳入“芯片”、“半导体”等元素，我们理解这体现了市场对公司半导体业务板块的重视与期待。</w:t>
            </w:r>
          </w:p>
          <w:p w14:paraId="45348ED6">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公司目前的主营业务涵盖精细化工与半导体设备两大领域。若有变更公司名称的计划，这将是一个涉及公司整体战略、业务结构及长期品牌形象的审慎决策。我们将基于主营业务的发展态势、战略重心以及市场认知等多方面因素进行综合考量与审慎评估。若有相关具体计划，公司将严格按照法律法规及《公司章程》的规定，履行相应的内部决策程序及信息披露义务，及时向投资者通报。</w:t>
            </w:r>
          </w:p>
          <w:p w14:paraId="3759F81C">
            <w:pPr>
              <w:adjustRightInd w:val="0"/>
              <w:snapToGrid w:val="0"/>
              <w:spacing w:line="360" w:lineRule="auto"/>
              <w:rPr>
                <w:rFonts w:ascii="Times New Roman" w:hAnsi="Times New Roman" w:eastAsia="华文楷体"/>
                <w:b/>
                <w:iCs/>
                <w:color w:val="000000"/>
                <w:sz w:val="24"/>
              </w:rPr>
            </w:pPr>
            <w:r>
              <w:rPr>
                <w:rFonts w:ascii="Times New Roman" w:hAnsi="Times New Roman" w:eastAsia="华文楷体"/>
                <w:b/>
                <w:iCs/>
                <w:color w:val="000000"/>
                <w:sz w:val="24"/>
              </w:rPr>
              <w:t>问题</w:t>
            </w:r>
            <w:r>
              <w:rPr>
                <w:rFonts w:hint="eastAsia" w:ascii="Times New Roman" w:hAnsi="Times New Roman" w:eastAsia="华文楷体"/>
                <w:b/>
                <w:iCs/>
                <w:color w:val="000000"/>
                <w:sz w:val="24"/>
              </w:rPr>
              <w:t>10：我们光刻机售后服务现在是怎样的？</w:t>
            </w:r>
          </w:p>
          <w:p w14:paraId="119014CE">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w:t>
            </w:r>
            <w:bookmarkEnd w:id="1"/>
            <w:r>
              <w:rPr>
                <w:rFonts w:hint="eastAsia" w:ascii="Times New Roman" w:hAnsi="Times New Roman" w:eastAsia="华文楷体"/>
                <w:bCs/>
                <w:iCs/>
                <w:color w:val="000000"/>
                <w:sz w:val="24"/>
              </w:rPr>
              <w:t>因光刻机售后服务的敏感性，目前没有开展该业务。</w:t>
            </w:r>
          </w:p>
          <w:p w14:paraId="5F7AD303">
            <w:pPr>
              <w:adjustRightInd w:val="0"/>
              <w:snapToGrid w:val="0"/>
              <w:spacing w:line="360" w:lineRule="auto"/>
              <w:rPr>
                <w:rFonts w:ascii="Times New Roman" w:hAnsi="Times New Roman" w:eastAsia="华文楷体"/>
                <w:b/>
                <w:iCs/>
                <w:color w:val="000000"/>
                <w:sz w:val="24"/>
              </w:rPr>
            </w:pPr>
            <w:bookmarkStart w:id="2" w:name="OLE_LINK4"/>
            <w:r>
              <w:rPr>
                <w:rFonts w:hint="eastAsia" w:ascii="Times New Roman" w:hAnsi="Times New Roman" w:eastAsia="华文楷体"/>
                <w:b/>
                <w:iCs/>
                <w:color w:val="000000"/>
                <w:sz w:val="24"/>
              </w:rPr>
              <w:t>问题11：公司产学研合作进展如何？</w:t>
            </w:r>
          </w:p>
          <w:p w14:paraId="7DD4223D">
            <w:pPr>
              <w:adjustRightInd w:val="0"/>
              <w:snapToGrid w:val="0"/>
              <w:spacing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答：</w:t>
            </w:r>
            <w:bookmarkEnd w:id="2"/>
            <w:r>
              <w:rPr>
                <w:rFonts w:hint="eastAsia" w:ascii="Times New Roman" w:hAnsi="Times New Roman" w:eastAsia="华文楷体"/>
                <w:bCs/>
                <w:iCs/>
                <w:color w:val="000000"/>
                <w:sz w:val="24"/>
              </w:rPr>
              <w:t>公司产学研合作已系统化展开，目前形成了以基础研究为源头、产业需求为导向、人才培养为核心的多层次合作体系，未来将持续通过产学研深度融合，将前沿学术洞察、高端人才资源与产业实际需求紧密结合，为技术创新和长期发展注入核心动力。</w:t>
            </w:r>
          </w:p>
        </w:tc>
      </w:tr>
      <w:tr w14:paraId="16BB2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00439D43">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关于本次活动是否涉及应当披露重大信息的说明</w:t>
            </w:r>
          </w:p>
        </w:tc>
        <w:tc>
          <w:tcPr>
            <w:tcW w:w="6614" w:type="dxa"/>
            <w:tcBorders>
              <w:tl2br w:val="nil"/>
              <w:tr2bl w:val="nil"/>
            </w:tcBorders>
            <w:vAlign w:val="center"/>
          </w:tcPr>
          <w:p w14:paraId="3CF4CF22">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本次活动不涉及未公开披露的重大信息。</w:t>
            </w:r>
          </w:p>
        </w:tc>
      </w:tr>
      <w:tr w14:paraId="4F558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2443EC39">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附件清单（如有）</w:t>
            </w:r>
          </w:p>
        </w:tc>
        <w:tc>
          <w:tcPr>
            <w:tcW w:w="6614" w:type="dxa"/>
            <w:tcBorders>
              <w:tl2br w:val="nil"/>
              <w:tr2bl w:val="nil"/>
            </w:tcBorders>
            <w:vAlign w:val="center"/>
          </w:tcPr>
          <w:p w14:paraId="5CCA135B">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无</w:t>
            </w:r>
          </w:p>
        </w:tc>
      </w:tr>
      <w:tr w14:paraId="1D5D2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14:paraId="1E9AAA0B">
            <w:pPr>
              <w:adjustRightInd w:val="0"/>
              <w:snapToGrid w:val="0"/>
              <w:spacing w:before="156" w:beforeLines="50" w:line="360" w:lineRule="auto"/>
              <w:rPr>
                <w:rFonts w:ascii="Times New Roman" w:hAnsi="Times New Roman" w:eastAsia="华文楷体"/>
                <w:bCs/>
                <w:iCs/>
                <w:color w:val="000000"/>
                <w:sz w:val="24"/>
              </w:rPr>
            </w:pPr>
            <w:r>
              <w:rPr>
                <w:rFonts w:ascii="Times New Roman" w:hAnsi="Times New Roman" w:eastAsia="华文楷体"/>
                <w:bCs/>
                <w:iCs/>
                <w:color w:val="000000"/>
                <w:sz w:val="24"/>
              </w:rPr>
              <w:t>日期</w:t>
            </w:r>
          </w:p>
        </w:tc>
        <w:tc>
          <w:tcPr>
            <w:tcW w:w="6614" w:type="dxa"/>
            <w:tcBorders>
              <w:tl2br w:val="nil"/>
              <w:tr2bl w:val="nil"/>
            </w:tcBorders>
            <w:vAlign w:val="center"/>
          </w:tcPr>
          <w:p w14:paraId="2E7A1AA6">
            <w:pPr>
              <w:adjustRightInd w:val="0"/>
              <w:snapToGrid w:val="0"/>
              <w:spacing w:before="156" w:beforeLines="50" w:line="360" w:lineRule="auto"/>
              <w:rPr>
                <w:rFonts w:ascii="Times New Roman" w:hAnsi="Times New Roman" w:eastAsia="华文楷体"/>
                <w:bCs/>
                <w:iCs/>
                <w:color w:val="000000"/>
                <w:sz w:val="24"/>
              </w:rPr>
            </w:pPr>
            <w:r>
              <w:rPr>
                <w:rFonts w:hint="eastAsia" w:ascii="Times New Roman" w:hAnsi="Times New Roman" w:eastAsia="华文楷体"/>
                <w:bCs/>
                <w:iCs/>
                <w:color w:val="000000"/>
                <w:sz w:val="24"/>
              </w:rPr>
              <w:t>2025年12月</w:t>
            </w:r>
            <w:r>
              <w:rPr>
                <w:rFonts w:ascii="Times New Roman" w:hAnsi="Times New Roman" w:eastAsia="华文楷体"/>
                <w:bCs/>
                <w:iCs/>
                <w:color w:val="000000"/>
                <w:sz w:val="24"/>
              </w:rPr>
              <w:t>11</w:t>
            </w:r>
            <w:r>
              <w:rPr>
                <w:rFonts w:hint="eastAsia" w:ascii="Times New Roman" w:hAnsi="Times New Roman" w:eastAsia="华文楷体"/>
                <w:bCs/>
                <w:iCs/>
                <w:color w:val="000000"/>
                <w:sz w:val="24"/>
              </w:rPr>
              <w:t>日</w:t>
            </w:r>
          </w:p>
        </w:tc>
      </w:tr>
    </w:tbl>
    <w:p w14:paraId="193CE715">
      <w:pPr>
        <w:rPr>
          <w:rFonts w:ascii="Times New Roman" w:hAnsi="Times New Roman" w:eastAsia="华文楷体"/>
          <w:sz w:val="24"/>
        </w:rPr>
      </w:pPr>
    </w:p>
    <w:p w14:paraId="5079DABB">
      <w:pPr>
        <w:widowControl/>
        <w:jc w:val="left"/>
        <w:rPr>
          <w:rFonts w:ascii="Times New Roman" w:hAnsi="Times New Roman" w:eastAsia="华文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30" w:right="1797" w:bottom="1440" w:left="1797" w:header="737"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B720">
    <w:pPr>
      <w:pStyle w:val="6"/>
      <w:tabs>
        <w:tab w:val="left" w:pos="741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06F6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AAF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53A">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C76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23A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3237"/>
    <w:rsid w:val="00006FB8"/>
    <w:rsid w:val="000144C4"/>
    <w:rsid w:val="0002486E"/>
    <w:rsid w:val="0004494E"/>
    <w:rsid w:val="00056B3D"/>
    <w:rsid w:val="00071AB5"/>
    <w:rsid w:val="00077C35"/>
    <w:rsid w:val="000A0C4F"/>
    <w:rsid w:val="000A4ED2"/>
    <w:rsid w:val="000B059B"/>
    <w:rsid w:val="000B10E7"/>
    <w:rsid w:val="000B6759"/>
    <w:rsid w:val="000C161D"/>
    <w:rsid w:val="000C7887"/>
    <w:rsid w:val="000F1EE3"/>
    <w:rsid w:val="0013459F"/>
    <w:rsid w:val="00151AD6"/>
    <w:rsid w:val="00173F8B"/>
    <w:rsid w:val="0017433B"/>
    <w:rsid w:val="001B58A3"/>
    <w:rsid w:val="001C4E9C"/>
    <w:rsid w:val="001E0C2D"/>
    <w:rsid w:val="001E5B0E"/>
    <w:rsid w:val="00202DAA"/>
    <w:rsid w:val="002079F0"/>
    <w:rsid w:val="002241CA"/>
    <w:rsid w:val="002325B0"/>
    <w:rsid w:val="0023431C"/>
    <w:rsid w:val="00272011"/>
    <w:rsid w:val="002739BD"/>
    <w:rsid w:val="002A58B1"/>
    <w:rsid w:val="002B3EB3"/>
    <w:rsid w:val="002B54AE"/>
    <w:rsid w:val="002D6DB2"/>
    <w:rsid w:val="002E2240"/>
    <w:rsid w:val="002E71E6"/>
    <w:rsid w:val="002F478D"/>
    <w:rsid w:val="00300958"/>
    <w:rsid w:val="00302C7A"/>
    <w:rsid w:val="00310665"/>
    <w:rsid w:val="00312615"/>
    <w:rsid w:val="00316EE5"/>
    <w:rsid w:val="00325630"/>
    <w:rsid w:val="00331BD4"/>
    <w:rsid w:val="00334E22"/>
    <w:rsid w:val="003401BA"/>
    <w:rsid w:val="00351F58"/>
    <w:rsid w:val="00360160"/>
    <w:rsid w:val="00361D2D"/>
    <w:rsid w:val="003653CE"/>
    <w:rsid w:val="0038081E"/>
    <w:rsid w:val="00381E5F"/>
    <w:rsid w:val="00387DAE"/>
    <w:rsid w:val="003B3476"/>
    <w:rsid w:val="003C6788"/>
    <w:rsid w:val="003C6FD3"/>
    <w:rsid w:val="003E09D6"/>
    <w:rsid w:val="003F43E9"/>
    <w:rsid w:val="0040196F"/>
    <w:rsid w:val="00405E58"/>
    <w:rsid w:val="004134CD"/>
    <w:rsid w:val="004153F4"/>
    <w:rsid w:val="0042487F"/>
    <w:rsid w:val="00425118"/>
    <w:rsid w:val="00430D5C"/>
    <w:rsid w:val="0043372C"/>
    <w:rsid w:val="00433836"/>
    <w:rsid w:val="00462055"/>
    <w:rsid w:val="0046360A"/>
    <w:rsid w:val="004710A1"/>
    <w:rsid w:val="0048557C"/>
    <w:rsid w:val="004913BC"/>
    <w:rsid w:val="00492BBF"/>
    <w:rsid w:val="00494A95"/>
    <w:rsid w:val="004B0B73"/>
    <w:rsid w:val="004B77A0"/>
    <w:rsid w:val="004C0357"/>
    <w:rsid w:val="004C2F98"/>
    <w:rsid w:val="004D6307"/>
    <w:rsid w:val="004D7FAC"/>
    <w:rsid w:val="004E7DAE"/>
    <w:rsid w:val="00500654"/>
    <w:rsid w:val="0050343A"/>
    <w:rsid w:val="00515810"/>
    <w:rsid w:val="0052341E"/>
    <w:rsid w:val="00523922"/>
    <w:rsid w:val="005263AA"/>
    <w:rsid w:val="0054044A"/>
    <w:rsid w:val="00553D9F"/>
    <w:rsid w:val="00587FB6"/>
    <w:rsid w:val="005A4426"/>
    <w:rsid w:val="005B4322"/>
    <w:rsid w:val="005B5353"/>
    <w:rsid w:val="005F1A92"/>
    <w:rsid w:val="005F32CA"/>
    <w:rsid w:val="005F79C9"/>
    <w:rsid w:val="006059BD"/>
    <w:rsid w:val="00612813"/>
    <w:rsid w:val="00623311"/>
    <w:rsid w:val="00644768"/>
    <w:rsid w:val="00685507"/>
    <w:rsid w:val="006879CB"/>
    <w:rsid w:val="006B0F2B"/>
    <w:rsid w:val="006B5C83"/>
    <w:rsid w:val="006C36EA"/>
    <w:rsid w:val="006C737B"/>
    <w:rsid w:val="006D403E"/>
    <w:rsid w:val="00710E31"/>
    <w:rsid w:val="00712276"/>
    <w:rsid w:val="0071616D"/>
    <w:rsid w:val="00725F7E"/>
    <w:rsid w:val="0074039A"/>
    <w:rsid w:val="007516F7"/>
    <w:rsid w:val="00781BAC"/>
    <w:rsid w:val="007908CD"/>
    <w:rsid w:val="007958E1"/>
    <w:rsid w:val="007B380E"/>
    <w:rsid w:val="007C0148"/>
    <w:rsid w:val="007C74FA"/>
    <w:rsid w:val="007D5EBF"/>
    <w:rsid w:val="007E3476"/>
    <w:rsid w:val="007F3235"/>
    <w:rsid w:val="0080146E"/>
    <w:rsid w:val="00803D91"/>
    <w:rsid w:val="0081618F"/>
    <w:rsid w:val="00822BD6"/>
    <w:rsid w:val="0082672A"/>
    <w:rsid w:val="008328C2"/>
    <w:rsid w:val="0084662D"/>
    <w:rsid w:val="00854004"/>
    <w:rsid w:val="0086040F"/>
    <w:rsid w:val="00870865"/>
    <w:rsid w:val="00880FC4"/>
    <w:rsid w:val="008A1451"/>
    <w:rsid w:val="008B47B8"/>
    <w:rsid w:val="008C1D0E"/>
    <w:rsid w:val="008D13EA"/>
    <w:rsid w:val="008D1B74"/>
    <w:rsid w:val="008D2963"/>
    <w:rsid w:val="008D66DD"/>
    <w:rsid w:val="008E2265"/>
    <w:rsid w:val="00905937"/>
    <w:rsid w:val="00937852"/>
    <w:rsid w:val="009478D9"/>
    <w:rsid w:val="009517F3"/>
    <w:rsid w:val="00954ACD"/>
    <w:rsid w:val="009807F6"/>
    <w:rsid w:val="009900EE"/>
    <w:rsid w:val="00990AE4"/>
    <w:rsid w:val="009922DF"/>
    <w:rsid w:val="00997BB5"/>
    <w:rsid w:val="009A0BFF"/>
    <w:rsid w:val="009B237E"/>
    <w:rsid w:val="009B4B8D"/>
    <w:rsid w:val="009D4444"/>
    <w:rsid w:val="00A025F1"/>
    <w:rsid w:val="00A04EF8"/>
    <w:rsid w:val="00A13E60"/>
    <w:rsid w:val="00A15AB1"/>
    <w:rsid w:val="00A17E32"/>
    <w:rsid w:val="00A35071"/>
    <w:rsid w:val="00A36119"/>
    <w:rsid w:val="00A44A6C"/>
    <w:rsid w:val="00A60A36"/>
    <w:rsid w:val="00A71887"/>
    <w:rsid w:val="00A7359A"/>
    <w:rsid w:val="00A83CC2"/>
    <w:rsid w:val="00A8567B"/>
    <w:rsid w:val="00A860A0"/>
    <w:rsid w:val="00AA4308"/>
    <w:rsid w:val="00AC63E6"/>
    <w:rsid w:val="00AD2C28"/>
    <w:rsid w:val="00AE4DA4"/>
    <w:rsid w:val="00AF7782"/>
    <w:rsid w:val="00B01B7E"/>
    <w:rsid w:val="00B102BD"/>
    <w:rsid w:val="00B650AC"/>
    <w:rsid w:val="00B7514C"/>
    <w:rsid w:val="00BA5FD8"/>
    <w:rsid w:val="00BB3EE8"/>
    <w:rsid w:val="00BB5B5A"/>
    <w:rsid w:val="00BC1881"/>
    <w:rsid w:val="00BE088C"/>
    <w:rsid w:val="00BE4C86"/>
    <w:rsid w:val="00BE6811"/>
    <w:rsid w:val="00C071A7"/>
    <w:rsid w:val="00C0730D"/>
    <w:rsid w:val="00C21305"/>
    <w:rsid w:val="00C33351"/>
    <w:rsid w:val="00C33667"/>
    <w:rsid w:val="00C50F3E"/>
    <w:rsid w:val="00C63EDF"/>
    <w:rsid w:val="00C7268F"/>
    <w:rsid w:val="00C86C34"/>
    <w:rsid w:val="00C931DF"/>
    <w:rsid w:val="00CA4D3E"/>
    <w:rsid w:val="00CB32F5"/>
    <w:rsid w:val="00CE0D87"/>
    <w:rsid w:val="00CE74EF"/>
    <w:rsid w:val="00CF70BF"/>
    <w:rsid w:val="00D064B1"/>
    <w:rsid w:val="00D44B54"/>
    <w:rsid w:val="00D46200"/>
    <w:rsid w:val="00D60EF1"/>
    <w:rsid w:val="00D743F3"/>
    <w:rsid w:val="00D82513"/>
    <w:rsid w:val="00DC13E8"/>
    <w:rsid w:val="00DD659D"/>
    <w:rsid w:val="00DE4790"/>
    <w:rsid w:val="00DF4636"/>
    <w:rsid w:val="00DF4BB6"/>
    <w:rsid w:val="00DF716B"/>
    <w:rsid w:val="00E470C2"/>
    <w:rsid w:val="00E6058F"/>
    <w:rsid w:val="00E90303"/>
    <w:rsid w:val="00E9327D"/>
    <w:rsid w:val="00EC0DAA"/>
    <w:rsid w:val="00EE241D"/>
    <w:rsid w:val="00EE6DA8"/>
    <w:rsid w:val="00F14245"/>
    <w:rsid w:val="00F435F9"/>
    <w:rsid w:val="00F46CA0"/>
    <w:rsid w:val="00F54506"/>
    <w:rsid w:val="00F56194"/>
    <w:rsid w:val="00F83F9C"/>
    <w:rsid w:val="00F95168"/>
    <w:rsid w:val="00FA0D44"/>
    <w:rsid w:val="00FC574D"/>
    <w:rsid w:val="00FC7ACF"/>
    <w:rsid w:val="00FD4854"/>
    <w:rsid w:val="08C808C1"/>
    <w:rsid w:val="092F7EC0"/>
    <w:rsid w:val="0B55365C"/>
    <w:rsid w:val="116E602C"/>
    <w:rsid w:val="117F2C6F"/>
    <w:rsid w:val="161C14DA"/>
    <w:rsid w:val="17353237"/>
    <w:rsid w:val="1AD17875"/>
    <w:rsid w:val="1ECB56F7"/>
    <w:rsid w:val="2D782FCB"/>
    <w:rsid w:val="2F4335DC"/>
    <w:rsid w:val="36F71AE2"/>
    <w:rsid w:val="374953E8"/>
    <w:rsid w:val="39A2026C"/>
    <w:rsid w:val="39C44B4D"/>
    <w:rsid w:val="3AD065E2"/>
    <w:rsid w:val="3E0F2786"/>
    <w:rsid w:val="42FD36E9"/>
    <w:rsid w:val="442370E9"/>
    <w:rsid w:val="462514F4"/>
    <w:rsid w:val="483B1CF7"/>
    <w:rsid w:val="4FFFCAFE"/>
    <w:rsid w:val="566F654E"/>
    <w:rsid w:val="5A33385C"/>
    <w:rsid w:val="5CAF40AC"/>
    <w:rsid w:val="5CB13D29"/>
    <w:rsid w:val="5D1B08E5"/>
    <w:rsid w:val="6780210D"/>
    <w:rsid w:val="6D416D73"/>
    <w:rsid w:val="71365500"/>
    <w:rsid w:val="71FA7B65"/>
    <w:rsid w:val="79DBA059"/>
    <w:rsid w:val="7A444920"/>
    <w:rsid w:val="7BD5BBAD"/>
    <w:rsid w:val="7FA178CD"/>
    <w:rsid w:val="7FFF9C4C"/>
    <w:rsid w:val="AFBB2423"/>
    <w:rsid w:val="B76F28A5"/>
    <w:rsid w:val="B9FDE687"/>
    <w:rsid w:val="BDFF8A21"/>
    <w:rsid w:val="D4FFF143"/>
    <w:rsid w:val="D7BF1A25"/>
    <w:rsid w:val="FF7E23B7"/>
    <w:rsid w:val="FFD9AE20"/>
    <w:rsid w:val="FFDD8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szCs w:val="22"/>
    </w:rPr>
  </w:style>
  <w:style w:type="paragraph" w:styleId="4">
    <w:name w:val="Date"/>
    <w:basedOn w:val="1"/>
    <w:next w:val="1"/>
    <w:link w:val="15"/>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0"/>
    <w:rPr>
      <w:b/>
      <w:bCs/>
      <w:szCs w:val="24"/>
    </w:r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日期 Char"/>
    <w:basedOn w:val="12"/>
    <w:link w:val="4"/>
    <w:qFormat/>
    <w:uiPriority w:val="0"/>
    <w:rPr>
      <w:rFonts w:ascii="Calibri" w:hAnsi="Calibri"/>
      <w:kern w:val="2"/>
      <w:sz w:val="21"/>
      <w:szCs w:val="24"/>
    </w:rPr>
  </w:style>
  <w:style w:type="character" w:customStyle="1" w:styleId="16">
    <w:name w:val="批注文字 Char"/>
    <w:basedOn w:val="12"/>
    <w:link w:val="3"/>
    <w:qFormat/>
    <w:uiPriority w:val="99"/>
    <w:rPr>
      <w:rFonts w:ascii="Calibri" w:hAnsi="Calibri"/>
      <w:kern w:val="2"/>
      <w:sz w:val="21"/>
      <w:szCs w:val="22"/>
    </w:rPr>
  </w:style>
  <w:style w:type="character" w:customStyle="1" w:styleId="17">
    <w:name w:val="批注框文本 Char"/>
    <w:basedOn w:val="12"/>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主题 Char"/>
    <w:basedOn w:val="16"/>
    <w:link w:val="9"/>
    <w:semiHidden/>
    <w:qFormat/>
    <w:uiPriority w:val="0"/>
    <w:rPr>
      <w:rFonts w:ascii="Calibri" w:hAnsi="Calibri"/>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character" w:customStyle="1" w:styleId="21">
    <w:name w:val="标题 2 Char"/>
    <w:basedOn w:val="12"/>
    <w:link w:val="2"/>
    <w:qFormat/>
    <w:uiPriority w:val="9"/>
    <w:rPr>
      <w:rFonts w:ascii="宋体" w:hAnsi="宋体" w:cs="宋体"/>
      <w:b/>
      <w:bCs/>
      <w:sz w:val="36"/>
      <w:szCs w:val="36"/>
    </w:rPr>
  </w:style>
  <w:style w:type="character" w:customStyle="1" w:styleId="22">
    <w:name w:val="bgchighlight-anchor"/>
    <w:basedOn w:val="12"/>
    <w:qFormat/>
    <w:uiPriority w:val="0"/>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EA29-42FB-4F64-B23A-0CD3AAB29E59}">
  <ds:schemaRefs/>
</ds:datastoreItem>
</file>

<file path=docProps/app.xml><?xml version="1.0" encoding="utf-8"?>
<Properties xmlns="http://schemas.openxmlformats.org/officeDocument/2006/extended-properties" xmlns:vt="http://schemas.openxmlformats.org/officeDocument/2006/docPropsVTypes">
  <Template>Normal</Template>
  <Pages>5</Pages>
  <Words>2839</Words>
  <Characters>2892</Characters>
  <Lines>21</Lines>
  <Paragraphs>6</Paragraphs>
  <TotalTime>758</TotalTime>
  <ScaleCrop>false</ScaleCrop>
  <LinksUpToDate>false</LinksUpToDate>
  <CharactersWithSpaces>3011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2025-12-03T07:08:00Z</dcterms:created>
  <dc:creator>夜火</dc:creator>
  <cp:lastModifiedBy>郭晓男</cp:lastModifiedBy>
  <cp:lastPrinted>2025-12-16T08:17:00Z</cp:lastPrinted>
  <dcterms:modified xsi:type="dcterms:W3CDTF">2025-12-16T08:40:06Z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E34121EC2E7A401383F62AEE581075A2</vt:lpwstr>
  </property>
  <property fmtid="{D5CDD505-2E9C-101B-9397-08002B2CF9AE}" pid="4" name="KSOTemplateDocerSaveRecord">
    <vt:lpwstr>eyJoZGlkIjoiNTEzMWRmMTFlNWI4N2ZjYTA0YzJiZDEzYTQzNzQ2ZjEiLCJ1c2VySWQiOiI1MjgxNDgzODMifQ==</vt:lpwstr>
  </property>
</Properties>
</file>