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D77C" w14:textId="77777777" w:rsidR="00BB411D" w:rsidRDefault="00000000">
      <w:pPr>
        <w:pStyle w:val="1"/>
        <w:rPr>
          <w:rFonts w:ascii="宋体" w:eastAsia="宋体" w:hAnsi="宋体" w:cs="宋体" w:hint="eastAsia"/>
          <w:sz w:val="24"/>
          <w:szCs w:val="24"/>
          <w:lang w:val="en-US"/>
        </w:rPr>
      </w:pPr>
      <w:r>
        <w:rPr>
          <w:rFonts w:ascii="宋体" w:eastAsia="宋体" w:hAnsi="宋体" w:cs="宋体" w:hint="eastAsia"/>
          <w:sz w:val="24"/>
          <w:szCs w:val="24"/>
          <w:lang w:val="en-US"/>
        </w:rPr>
        <w:t>证券代码：600153                                  证券简称：建发股份</w:t>
      </w:r>
    </w:p>
    <w:p w14:paraId="1D81481B" w14:textId="77777777" w:rsidR="00BB411D" w:rsidRDefault="00BB411D">
      <w:pPr>
        <w:spacing w:line="360" w:lineRule="auto"/>
        <w:jc w:val="center"/>
        <w:rPr>
          <w:rFonts w:ascii="宋体" w:eastAsia="宋体" w:hAnsi="宋体" w:cs="宋体" w:hint="eastAsia"/>
          <w:b/>
          <w:bCs/>
          <w:sz w:val="24"/>
          <w:szCs w:val="24"/>
        </w:rPr>
      </w:pPr>
    </w:p>
    <w:p w14:paraId="3429A03F" w14:textId="77777777" w:rsidR="00BB411D" w:rsidRDefault="00000000">
      <w:pPr>
        <w:spacing w:line="360" w:lineRule="auto"/>
        <w:jc w:val="center"/>
        <w:rPr>
          <w:rFonts w:ascii="宋体" w:eastAsia="宋体" w:hAnsi="宋体" w:cs="宋体" w:hint="eastAsia"/>
          <w:b/>
          <w:bCs/>
          <w:sz w:val="32"/>
          <w:szCs w:val="32"/>
        </w:rPr>
      </w:pPr>
      <w:r>
        <w:rPr>
          <w:rFonts w:ascii="宋体" w:eastAsia="宋体" w:hAnsi="宋体" w:cs="宋体" w:hint="eastAsia"/>
          <w:b/>
          <w:bCs/>
          <w:sz w:val="32"/>
          <w:szCs w:val="32"/>
        </w:rPr>
        <w:t>厦门建发股份有限公司</w:t>
      </w:r>
    </w:p>
    <w:p w14:paraId="5691C55C" w14:textId="77777777" w:rsidR="00BB411D" w:rsidRDefault="00000000">
      <w:pPr>
        <w:spacing w:line="360" w:lineRule="auto"/>
        <w:jc w:val="center"/>
        <w:rPr>
          <w:rFonts w:ascii="宋体" w:eastAsia="宋体" w:hAnsi="宋体" w:cs="宋体" w:hint="eastAsia"/>
          <w:sz w:val="24"/>
          <w:szCs w:val="24"/>
          <w:lang w:val="en-US"/>
        </w:rPr>
      </w:pPr>
      <w:r>
        <w:rPr>
          <w:rFonts w:ascii="宋体" w:eastAsia="宋体" w:hAnsi="宋体" w:cs="宋体" w:hint="eastAsia"/>
          <w:b/>
          <w:bCs/>
          <w:sz w:val="32"/>
          <w:szCs w:val="32"/>
        </w:rPr>
        <w:t>投资者关系活动记录表</w:t>
      </w:r>
    </w:p>
    <w:tbl>
      <w:tblPr>
        <w:tblW w:w="8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1961"/>
        <w:gridCol w:w="6320"/>
      </w:tblGrid>
      <w:tr w:rsidR="00BB411D" w14:paraId="04E9C6C6" w14:textId="77777777">
        <w:trPr>
          <w:trHeight w:val="1744"/>
          <w:jc w:val="center"/>
        </w:trPr>
        <w:tc>
          <w:tcPr>
            <w:tcW w:w="1961" w:type="dxa"/>
          </w:tcPr>
          <w:p w14:paraId="52B7B64A" w14:textId="77777777" w:rsidR="00BB411D" w:rsidRDefault="00BB411D">
            <w:pPr>
              <w:pStyle w:val="TableParagraph"/>
              <w:spacing w:before="7"/>
              <w:rPr>
                <w:rFonts w:ascii="宋体" w:eastAsia="宋体" w:hAnsi="宋体" w:cs="宋体" w:hint="eastAsia"/>
                <w:b/>
                <w:bCs/>
                <w:sz w:val="24"/>
                <w:szCs w:val="24"/>
              </w:rPr>
            </w:pPr>
          </w:p>
          <w:p w14:paraId="60EEF3A0" w14:textId="77777777" w:rsidR="00BB411D"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t>投资者关系活动类别</w:t>
            </w:r>
          </w:p>
        </w:tc>
        <w:tc>
          <w:tcPr>
            <w:tcW w:w="6320" w:type="dxa"/>
          </w:tcPr>
          <w:p w14:paraId="770851F5" w14:textId="618FAF8F" w:rsidR="00BB411D" w:rsidRDefault="00000000">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249780449"/>
                <w14:checkbox>
                  <w14:checked w14:val="1"/>
                  <w14:checkedState w14:val="0052" w14:font="Wingdings 2"/>
                  <w14:uncheckedState w14:val="2610" w14:font="MS Gothic"/>
                </w14:checkbox>
              </w:sdtPr>
              <w:sdtContent>
                <w:r w:rsidR="00DD7B8A">
                  <w:rPr>
                    <w:rFonts w:ascii="宋体" w:eastAsia="宋体" w:hAnsi="宋体" w:cs="宋体" w:hint="eastAsia"/>
                    <w:sz w:val="24"/>
                    <w:szCs w:val="24"/>
                  </w:rPr>
                  <w:sym w:font="Wingdings 2" w:char="F052"/>
                </w:r>
              </w:sdtContent>
            </w:sdt>
            <w:r>
              <w:rPr>
                <w:rFonts w:ascii="宋体" w:eastAsia="宋体" w:hAnsi="宋体" w:cs="宋体" w:hint="eastAsia"/>
                <w:sz w:val="24"/>
                <w:szCs w:val="24"/>
              </w:rPr>
              <w:t>特</w:t>
            </w:r>
            <w:r>
              <w:rPr>
                <w:rFonts w:ascii="宋体" w:eastAsia="宋体" w:hAnsi="宋体" w:cs="宋体" w:hint="eastAsia"/>
                <w:spacing w:val="-3"/>
                <w:sz w:val="24"/>
                <w:szCs w:val="24"/>
              </w:rPr>
              <w:t>定</w:t>
            </w:r>
            <w:r>
              <w:rPr>
                <w:rFonts w:ascii="宋体" w:eastAsia="宋体" w:hAnsi="宋体" w:cs="宋体" w:hint="eastAsia"/>
                <w:sz w:val="24"/>
                <w:szCs w:val="24"/>
              </w:rPr>
              <w:t>对</w:t>
            </w:r>
            <w:r>
              <w:rPr>
                <w:rFonts w:ascii="宋体" w:eastAsia="宋体" w:hAnsi="宋体" w:cs="宋体" w:hint="eastAsia"/>
                <w:spacing w:val="-3"/>
                <w:sz w:val="24"/>
                <w:szCs w:val="24"/>
              </w:rPr>
              <w:t>象</w:t>
            </w:r>
            <w:r>
              <w:rPr>
                <w:rFonts w:ascii="宋体" w:eastAsia="宋体" w:hAnsi="宋体" w:cs="宋体" w:hint="eastAsia"/>
                <w:sz w:val="24"/>
                <w:szCs w:val="24"/>
              </w:rPr>
              <w:t>调研</w:t>
            </w:r>
            <w:r>
              <w:rPr>
                <w:rFonts w:ascii="宋体" w:eastAsia="宋体" w:hAnsi="宋体" w:cs="宋体" w:hint="eastAsia"/>
                <w:sz w:val="24"/>
                <w:szCs w:val="24"/>
              </w:rPr>
              <w:tab/>
            </w:r>
            <w:sdt>
              <w:sdtPr>
                <w:rPr>
                  <w:rFonts w:ascii="宋体" w:eastAsia="宋体" w:hAnsi="宋体" w:cs="宋体" w:hint="eastAsia"/>
                  <w:sz w:val="24"/>
                  <w:szCs w:val="24"/>
                </w:rPr>
                <w:id w:val="-416875725"/>
                <w14:checkbox>
                  <w14:checked w14:val="0"/>
                  <w14:checkedState w14:val="0052" w14:font="Wingdings 2"/>
                  <w14:uncheckedState w14:val="2610" w14:font="MS Gothic"/>
                </w14:checkbox>
              </w:sdtPr>
              <w:sdtContent>
                <w:r w:rsidR="00DD7B8A">
                  <w:rPr>
                    <w:rFonts w:ascii="MS Gothic" w:eastAsia="MS Gothic" w:hAnsi="MS Gothic" w:cs="宋体" w:hint="eastAsia"/>
                    <w:sz w:val="24"/>
                    <w:szCs w:val="24"/>
                  </w:rPr>
                  <w:t>☐</w:t>
                </w:r>
              </w:sdtContent>
            </w:sdt>
            <w:r>
              <w:rPr>
                <w:rFonts w:ascii="宋体" w:eastAsia="宋体" w:hAnsi="宋体" w:cs="宋体" w:hint="eastAsia"/>
                <w:sz w:val="24"/>
                <w:szCs w:val="24"/>
              </w:rPr>
              <w:t>分</w:t>
            </w:r>
            <w:r>
              <w:rPr>
                <w:rFonts w:ascii="宋体" w:eastAsia="宋体" w:hAnsi="宋体" w:cs="宋体" w:hint="eastAsia"/>
                <w:spacing w:val="-3"/>
                <w:sz w:val="24"/>
                <w:szCs w:val="24"/>
              </w:rPr>
              <w:t>析</w:t>
            </w:r>
            <w:r>
              <w:rPr>
                <w:rFonts w:ascii="宋体" w:eastAsia="宋体" w:hAnsi="宋体" w:cs="宋体" w:hint="eastAsia"/>
                <w:sz w:val="24"/>
                <w:szCs w:val="24"/>
              </w:rPr>
              <w:t>师</w:t>
            </w:r>
            <w:r>
              <w:rPr>
                <w:rFonts w:ascii="宋体" w:eastAsia="宋体" w:hAnsi="宋体" w:cs="宋体" w:hint="eastAsia"/>
                <w:spacing w:val="-3"/>
                <w:sz w:val="24"/>
                <w:szCs w:val="24"/>
              </w:rPr>
              <w:t>会</w:t>
            </w:r>
            <w:r>
              <w:rPr>
                <w:rFonts w:ascii="宋体" w:eastAsia="宋体" w:hAnsi="宋体" w:cs="宋体" w:hint="eastAsia"/>
                <w:sz w:val="24"/>
                <w:szCs w:val="24"/>
              </w:rPr>
              <w:t>议</w:t>
            </w:r>
          </w:p>
          <w:p w14:paraId="0CABF7C2" w14:textId="79E6B41A" w:rsidR="00DD7B8A" w:rsidRDefault="00000000" w:rsidP="00DD7B8A">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1068079683"/>
                <w14:checkbox>
                  <w14:checked w14:val="0"/>
                  <w14:checkedState w14:val="0052" w14:font="Wingdings 2"/>
                  <w14:uncheckedState w14:val="2610" w14:font="MS Gothic"/>
                </w14:checkbox>
              </w:sdtPr>
              <w:sdtContent>
                <w:r w:rsidR="00824640">
                  <w:rPr>
                    <w:rFonts w:ascii="MS Gothic" w:eastAsia="MS Gothic" w:hAnsi="MS Gothic" w:cs="宋体" w:hint="eastAsia"/>
                    <w:sz w:val="24"/>
                    <w:szCs w:val="24"/>
                  </w:rPr>
                  <w:t>☐</w:t>
                </w:r>
              </w:sdtContent>
            </w:sdt>
            <w:r w:rsidR="00824640">
              <w:rPr>
                <w:rFonts w:ascii="宋体" w:eastAsia="宋体" w:hAnsi="宋体" w:cs="宋体" w:hint="eastAsia"/>
                <w:sz w:val="24"/>
                <w:szCs w:val="24"/>
              </w:rPr>
              <w:t>媒体采访</w:t>
            </w:r>
            <w:r w:rsidR="00DD7B8A">
              <w:rPr>
                <w:rFonts w:ascii="宋体" w:eastAsia="宋体" w:hAnsi="宋体" w:cs="宋体" w:hint="eastAsia"/>
                <w:sz w:val="24"/>
                <w:szCs w:val="24"/>
              </w:rPr>
              <w:tab/>
            </w:r>
            <w:sdt>
              <w:sdtPr>
                <w:rPr>
                  <w:rFonts w:ascii="宋体" w:eastAsia="宋体" w:hAnsi="宋体" w:cs="宋体" w:hint="eastAsia"/>
                  <w:sz w:val="24"/>
                  <w:szCs w:val="24"/>
                </w:rPr>
                <w:id w:val="1311449810"/>
                <w14:checkbox>
                  <w14:checked w14:val="0"/>
                  <w14:checkedState w14:val="0052" w14:font="Wingdings 2"/>
                  <w14:uncheckedState w14:val="2610" w14:font="MS Gothic"/>
                </w14:checkbox>
              </w:sdtPr>
              <w:sdtContent>
                <w:r w:rsidR="00DD7B8A">
                  <w:rPr>
                    <w:rFonts w:ascii="MS Gothic" w:eastAsia="MS Gothic" w:hAnsi="MS Gothic" w:cs="宋体" w:hint="eastAsia"/>
                    <w:sz w:val="24"/>
                    <w:szCs w:val="24"/>
                  </w:rPr>
                  <w:t>☐</w:t>
                </w:r>
              </w:sdtContent>
            </w:sdt>
            <w:r w:rsidR="00824640">
              <w:rPr>
                <w:rFonts w:ascii="宋体" w:eastAsia="宋体" w:hAnsi="宋体" w:cs="宋体" w:hint="eastAsia"/>
                <w:sz w:val="24"/>
                <w:szCs w:val="24"/>
              </w:rPr>
              <w:t>业绩说明会</w:t>
            </w:r>
          </w:p>
          <w:p w14:paraId="13B52ADD" w14:textId="73C387D4" w:rsidR="00DD7B8A" w:rsidRDefault="00000000" w:rsidP="00DD7B8A">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1974365171"/>
                <w14:checkbox>
                  <w14:checked w14:val="0"/>
                  <w14:checkedState w14:val="0052" w14:font="Wingdings 2"/>
                  <w14:uncheckedState w14:val="2610" w14:font="MS Gothic"/>
                </w14:checkbox>
              </w:sdtPr>
              <w:sdtContent>
                <w:r w:rsidR="00824640">
                  <w:rPr>
                    <w:rFonts w:ascii="MS Gothic" w:eastAsia="MS Gothic" w:hAnsi="MS Gothic" w:cs="宋体" w:hint="eastAsia"/>
                    <w:sz w:val="24"/>
                    <w:szCs w:val="24"/>
                  </w:rPr>
                  <w:t>☐</w:t>
                </w:r>
              </w:sdtContent>
            </w:sdt>
            <w:r w:rsidR="00824640">
              <w:rPr>
                <w:rFonts w:ascii="宋体" w:eastAsia="宋体" w:hAnsi="宋体" w:cs="宋体" w:hint="eastAsia"/>
                <w:sz w:val="24"/>
                <w:szCs w:val="24"/>
              </w:rPr>
              <w:t>新闻发布会</w:t>
            </w:r>
            <w:r w:rsidR="00DD7B8A">
              <w:rPr>
                <w:rFonts w:ascii="宋体" w:eastAsia="宋体" w:hAnsi="宋体" w:cs="宋体" w:hint="eastAsia"/>
                <w:sz w:val="24"/>
                <w:szCs w:val="24"/>
              </w:rPr>
              <w:tab/>
            </w:r>
            <w:sdt>
              <w:sdtPr>
                <w:rPr>
                  <w:rFonts w:ascii="宋体" w:eastAsia="宋体" w:hAnsi="宋体" w:cs="宋体" w:hint="eastAsia"/>
                  <w:sz w:val="24"/>
                  <w:szCs w:val="24"/>
                </w:rPr>
                <w:id w:val="443896354"/>
                <w14:checkbox>
                  <w14:checked w14:val="1"/>
                  <w14:checkedState w14:val="0052" w14:font="Wingdings 2"/>
                  <w14:uncheckedState w14:val="2610" w14:font="MS Gothic"/>
                </w14:checkbox>
              </w:sdtPr>
              <w:sdtContent>
                <w:r w:rsidR="00824640">
                  <w:rPr>
                    <w:rFonts w:ascii="宋体" w:eastAsia="宋体" w:hAnsi="宋体" w:cs="宋体" w:hint="eastAsia"/>
                    <w:sz w:val="24"/>
                    <w:szCs w:val="24"/>
                  </w:rPr>
                  <w:sym w:font="Wingdings 2" w:char="F052"/>
                </w:r>
              </w:sdtContent>
            </w:sdt>
            <w:r w:rsidR="00824640">
              <w:rPr>
                <w:rFonts w:ascii="宋体" w:eastAsia="宋体" w:hAnsi="宋体" w:cs="宋体" w:hint="eastAsia"/>
                <w:sz w:val="24"/>
                <w:szCs w:val="24"/>
              </w:rPr>
              <w:t>路演活动</w:t>
            </w:r>
          </w:p>
          <w:p w14:paraId="39936BE3" w14:textId="4100B0AE" w:rsidR="00DD7B8A" w:rsidRDefault="00000000" w:rsidP="00DD7B8A">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1130980481"/>
                <w14:checkbox>
                  <w14:checked w14:val="0"/>
                  <w14:checkedState w14:val="0052" w14:font="Wingdings 2"/>
                  <w14:uncheckedState w14:val="2610" w14:font="MS Gothic"/>
                </w14:checkbox>
              </w:sdtPr>
              <w:sdtContent>
                <w:r w:rsidR="00824640">
                  <w:rPr>
                    <w:rFonts w:ascii="MS Gothic" w:eastAsia="MS Gothic" w:hAnsi="MS Gothic" w:cs="宋体" w:hint="eastAsia"/>
                    <w:sz w:val="24"/>
                    <w:szCs w:val="24"/>
                  </w:rPr>
                  <w:t>☐</w:t>
                </w:r>
              </w:sdtContent>
            </w:sdt>
            <w:r w:rsidR="00DD7B8A">
              <w:rPr>
                <w:rFonts w:ascii="宋体" w:eastAsia="宋体" w:hAnsi="宋体" w:cs="宋体" w:hint="eastAsia"/>
                <w:sz w:val="24"/>
                <w:szCs w:val="24"/>
              </w:rPr>
              <w:t>现场参观</w:t>
            </w:r>
            <w:r w:rsidR="00DD7B8A">
              <w:rPr>
                <w:rFonts w:ascii="宋体" w:eastAsia="宋体" w:hAnsi="宋体" w:cs="宋体" w:hint="eastAsia"/>
                <w:sz w:val="24"/>
                <w:szCs w:val="24"/>
              </w:rPr>
              <w:tab/>
            </w:r>
            <w:sdt>
              <w:sdtPr>
                <w:rPr>
                  <w:rFonts w:ascii="宋体" w:eastAsia="宋体" w:hAnsi="宋体" w:cs="宋体" w:hint="eastAsia"/>
                  <w:sz w:val="24"/>
                  <w:szCs w:val="24"/>
                </w:rPr>
                <w:id w:val="-273948174"/>
                <w14:checkbox>
                  <w14:checked w14:val="1"/>
                  <w14:checkedState w14:val="0052" w14:font="Wingdings 2"/>
                  <w14:uncheckedState w14:val="2610" w14:font="MS Gothic"/>
                </w14:checkbox>
              </w:sdtPr>
              <w:sdtContent>
                <w:r w:rsidR="00824640">
                  <w:rPr>
                    <w:rFonts w:ascii="MS Gothic" w:eastAsia="MS Gothic" w:hAnsi="MS Gothic" w:cs="宋体" w:hint="eastAsia"/>
                    <w:sz w:val="24"/>
                    <w:szCs w:val="24"/>
                  </w:rPr>
                  <w:sym w:font="Wingdings 2" w:char="F052"/>
                </w:r>
              </w:sdtContent>
            </w:sdt>
            <w:r w:rsidR="00DD7B8A">
              <w:rPr>
                <w:rFonts w:ascii="宋体" w:eastAsia="宋体" w:hAnsi="宋体" w:cs="宋体" w:hint="eastAsia"/>
                <w:sz w:val="24"/>
                <w:szCs w:val="24"/>
              </w:rPr>
              <w:t>线上会议</w:t>
            </w:r>
          </w:p>
          <w:p w14:paraId="3130DB18" w14:textId="15CAD855" w:rsidR="00BB411D" w:rsidRDefault="00000000" w:rsidP="00824640">
            <w:pPr>
              <w:pStyle w:val="TableParagraph"/>
              <w:tabs>
                <w:tab w:val="left" w:pos="2418"/>
              </w:tabs>
              <w:spacing w:before="1"/>
              <w:ind w:left="107"/>
              <w:rPr>
                <w:rFonts w:ascii="宋体" w:eastAsia="宋体" w:hAnsi="宋体" w:cs="宋体" w:hint="eastAsia"/>
                <w:sz w:val="24"/>
                <w:szCs w:val="24"/>
              </w:rPr>
            </w:pPr>
            <w:sdt>
              <w:sdtPr>
                <w:rPr>
                  <w:rFonts w:ascii="宋体" w:eastAsia="宋体" w:hAnsi="宋体" w:cs="宋体" w:hint="eastAsia"/>
                  <w:sz w:val="24"/>
                  <w:szCs w:val="24"/>
                </w:rPr>
                <w:id w:val="561365787"/>
                <w14:checkbox>
                  <w14:checked w14:val="0"/>
                  <w14:checkedState w14:val="0052" w14:font="Wingdings 2"/>
                  <w14:uncheckedState w14:val="2610" w14:font="MS Gothic"/>
                </w14:checkbox>
              </w:sdtPr>
              <w:sdtContent>
                <w:r w:rsidR="00824640">
                  <w:rPr>
                    <w:rFonts w:ascii="MS Gothic" w:eastAsia="MS Gothic" w:hAnsi="MS Gothic" w:cs="宋体" w:hint="eastAsia"/>
                    <w:sz w:val="24"/>
                    <w:szCs w:val="24"/>
                  </w:rPr>
                  <w:t>☐</w:t>
                </w:r>
              </w:sdtContent>
            </w:sdt>
            <w:r w:rsidR="00DD7B8A">
              <w:rPr>
                <w:rFonts w:ascii="宋体" w:eastAsia="宋体" w:hAnsi="宋体" w:cs="宋体" w:hint="eastAsia"/>
                <w:sz w:val="24"/>
                <w:szCs w:val="24"/>
              </w:rPr>
              <w:t>其他（</w:t>
            </w:r>
            <w:proofErr w:type="gramStart"/>
            <w:r w:rsidR="00DD7B8A">
              <w:rPr>
                <w:rFonts w:ascii="宋体" w:eastAsia="宋体" w:hAnsi="宋体" w:cs="宋体" w:hint="eastAsia"/>
                <w:sz w:val="24"/>
                <w:szCs w:val="24"/>
                <w:u w:val="single"/>
              </w:rPr>
              <w:t>请文字</w:t>
            </w:r>
            <w:proofErr w:type="gramEnd"/>
            <w:r w:rsidR="00DD7B8A">
              <w:rPr>
                <w:rFonts w:ascii="宋体" w:eastAsia="宋体" w:hAnsi="宋体" w:cs="宋体" w:hint="eastAsia"/>
                <w:sz w:val="24"/>
                <w:szCs w:val="24"/>
                <w:u w:val="single"/>
              </w:rPr>
              <w:t>说明其他活动内容）</w:t>
            </w:r>
          </w:p>
        </w:tc>
      </w:tr>
      <w:tr w:rsidR="00BB411D" w14:paraId="47B61A15" w14:textId="77777777">
        <w:trPr>
          <w:trHeight w:val="528"/>
          <w:jc w:val="center"/>
        </w:trPr>
        <w:tc>
          <w:tcPr>
            <w:tcW w:w="1961" w:type="dxa"/>
            <w:vAlign w:val="center"/>
          </w:tcPr>
          <w:p w14:paraId="3E0559E1" w14:textId="77777777" w:rsidR="00BB411D" w:rsidRDefault="00000000">
            <w:pPr>
              <w:pStyle w:val="TableParagraph"/>
              <w:spacing w:line="360" w:lineRule="auto"/>
              <w:ind w:left="108" w:right="96"/>
              <w:rPr>
                <w:rFonts w:ascii="宋体" w:eastAsia="宋体" w:hAnsi="宋体" w:cs="宋体" w:hint="eastAsia"/>
                <w:b/>
                <w:bCs/>
                <w:sz w:val="24"/>
                <w:szCs w:val="24"/>
              </w:rPr>
            </w:pPr>
            <w:r>
              <w:rPr>
                <w:rFonts w:ascii="宋体" w:eastAsia="宋体" w:hAnsi="宋体" w:cs="宋体" w:hint="eastAsia"/>
                <w:b/>
                <w:bCs/>
                <w:sz w:val="24"/>
                <w:szCs w:val="24"/>
              </w:rPr>
              <w:t>机构名称</w:t>
            </w:r>
          </w:p>
        </w:tc>
        <w:tc>
          <w:tcPr>
            <w:tcW w:w="6320" w:type="dxa"/>
            <w:vAlign w:val="center"/>
          </w:tcPr>
          <w:p w14:paraId="2D592F3E" w14:textId="77777777" w:rsidR="00BB411D" w:rsidRDefault="00000000">
            <w:pPr>
              <w:pStyle w:val="TableParagraph"/>
              <w:spacing w:line="360" w:lineRule="auto"/>
              <w:jc w:val="both"/>
              <w:rPr>
                <w:rFonts w:ascii="宋体" w:eastAsia="宋体" w:hAnsi="宋体" w:cs="宋体" w:hint="eastAsia"/>
                <w:sz w:val="24"/>
                <w:szCs w:val="24"/>
              </w:rPr>
            </w:pPr>
            <w:r>
              <w:rPr>
                <w:rFonts w:ascii="宋体" w:eastAsia="宋体" w:hAnsi="宋体" w:cs="宋体"/>
                <w:sz w:val="24"/>
                <w:szCs w:val="24"/>
              </w:rPr>
              <w:t>详见附表。</w:t>
            </w:r>
          </w:p>
        </w:tc>
      </w:tr>
      <w:tr w:rsidR="00BB411D" w14:paraId="531F85BF" w14:textId="77777777">
        <w:trPr>
          <w:trHeight w:val="272"/>
          <w:jc w:val="center"/>
        </w:trPr>
        <w:tc>
          <w:tcPr>
            <w:tcW w:w="1961" w:type="dxa"/>
            <w:vAlign w:val="center"/>
          </w:tcPr>
          <w:p w14:paraId="2DD165B3" w14:textId="77777777" w:rsidR="00BB411D" w:rsidRDefault="00000000">
            <w:pPr>
              <w:pStyle w:val="TableParagraph"/>
              <w:spacing w:line="360" w:lineRule="auto"/>
              <w:ind w:left="107"/>
              <w:jc w:val="both"/>
              <w:rPr>
                <w:rFonts w:ascii="宋体" w:eastAsia="宋体" w:hAnsi="宋体" w:cs="宋体" w:hint="eastAsia"/>
                <w:b/>
                <w:bCs/>
                <w:sz w:val="24"/>
                <w:szCs w:val="24"/>
              </w:rPr>
            </w:pPr>
            <w:r>
              <w:rPr>
                <w:rFonts w:ascii="宋体" w:eastAsia="宋体" w:hAnsi="宋体" w:cs="宋体" w:hint="eastAsia"/>
                <w:b/>
                <w:bCs/>
                <w:sz w:val="24"/>
                <w:szCs w:val="24"/>
              </w:rPr>
              <w:t>时间</w:t>
            </w:r>
          </w:p>
        </w:tc>
        <w:tc>
          <w:tcPr>
            <w:tcW w:w="6320" w:type="dxa"/>
            <w:vAlign w:val="center"/>
          </w:tcPr>
          <w:p w14:paraId="26A2CCD3" w14:textId="1E093EF0" w:rsidR="00BB411D" w:rsidRDefault="00000000">
            <w:pPr>
              <w:pStyle w:val="TableParagraph"/>
              <w:spacing w:line="360" w:lineRule="auto"/>
              <w:jc w:val="both"/>
              <w:rPr>
                <w:rFonts w:ascii="宋体" w:eastAsia="宋体" w:hAnsi="宋体" w:cs="宋体" w:hint="eastAsia"/>
                <w:sz w:val="24"/>
                <w:szCs w:val="24"/>
                <w:lang w:val="en-US"/>
              </w:rPr>
            </w:pPr>
            <w:r>
              <w:rPr>
                <w:rFonts w:ascii="宋体" w:eastAsia="宋体" w:hAnsi="宋体" w:cs="宋体"/>
                <w:sz w:val="24"/>
                <w:szCs w:val="24"/>
              </w:rPr>
              <w:t>2025年</w:t>
            </w:r>
            <w:r>
              <w:rPr>
                <w:rFonts w:ascii="宋体" w:eastAsia="宋体" w:hAnsi="宋体" w:cs="宋体" w:hint="eastAsia"/>
                <w:sz w:val="24"/>
                <w:szCs w:val="24"/>
                <w:lang w:val="en-US"/>
              </w:rPr>
              <w:t>1</w:t>
            </w:r>
            <w:r w:rsidR="00F65241">
              <w:rPr>
                <w:rFonts w:ascii="宋体" w:eastAsia="宋体" w:hAnsi="宋体" w:cs="宋体" w:hint="eastAsia"/>
                <w:sz w:val="24"/>
                <w:szCs w:val="24"/>
                <w:lang w:val="en-US"/>
              </w:rPr>
              <w:t>1</w:t>
            </w:r>
            <w:r>
              <w:rPr>
                <w:rFonts w:ascii="宋体" w:eastAsia="宋体" w:hAnsi="宋体" w:cs="宋体"/>
                <w:sz w:val="24"/>
                <w:szCs w:val="24"/>
              </w:rPr>
              <w:t>月1日</w:t>
            </w:r>
            <w:r>
              <w:rPr>
                <w:rFonts w:ascii="宋体" w:eastAsia="宋体" w:hAnsi="宋体" w:cs="宋体" w:hint="eastAsia"/>
                <w:sz w:val="24"/>
                <w:szCs w:val="24"/>
                <w:lang w:val="en-US"/>
              </w:rPr>
              <w:t>至2025年1</w:t>
            </w:r>
            <w:r w:rsidR="00F65241">
              <w:rPr>
                <w:rFonts w:ascii="宋体" w:eastAsia="宋体" w:hAnsi="宋体" w:cs="宋体" w:hint="eastAsia"/>
                <w:sz w:val="24"/>
                <w:szCs w:val="24"/>
                <w:lang w:val="en-US"/>
              </w:rPr>
              <w:t>1</w:t>
            </w:r>
            <w:r>
              <w:rPr>
                <w:rFonts w:ascii="宋体" w:eastAsia="宋体" w:hAnsi="宋体" w:cs="宋体" w:hint="eastAsia"/>
                <w:sz w:val="24"/>
                <w:szCs w:val="24"/>
                <w:lang w:val="en-US"/>
              </w:rPr>
              <w:t>月3</w:t>
            </w:r>
            <w:r w:rsidR="00F65241">
              <w:rPr>
                <w:rFonts w:ascii="宋体" w:eastAsia="宋体" w:hAnsi="宋体" w:cs="宋体" w:hint="eastAsia"/>
                <w:sz w:val="24"/>
                <w:szCs w:val="24"/>
                <w:lang w:val="en-US"/>
              </w:rPr>
              <w:t>0</w:t>
            </w:r>
            <w:r>
              <w:rPr>
                <w:rFonts w:ascii="宋体" w:eastAsia="宋体" w:hAnsi="宋体" w:cs="宋体" w:hint="eastAsia"/>
                <w:sz w:val="24"/>
                <w:szCs w:val="24"/>
                <w:lang w:val="en-US"/>
              </w:rPr>
              <w:t>日</w:t>
            </w:r>
          </w:p>
        </w:tc>
      </w:tr>
      <w:tr w:rsidR="00BB411D" w14:paraId="4D9D170B" w14:textId="77777777">
        <w:trPr>
          <w:trHeight w:val="340"/>
          <w:jc w:val="center"/>
        </w:trPr>
        <w:tc>
          <w:tcPr>
            <w:tcW w:w="1961" w:type="dxa"/>
            <w:vAlign w:val="center"/>
          </w:tcPr>
          <w:p w14:paraId="3D952AD1" w14:textId="77777777" w:rsidR="00BB411D" w:rsidRDefault="00000000">
            <w:pPr>
              <w:pStyle w:val="TableParagraph"/>
              <w:spacing w:line="360" w:lineRule="auto"/>
              <w:ind w:left="107"/>
              <w:jc w:val="both"/>
              <w:rPr>
                <w:rFonts w:ascii="宋体" w:eastAsia="宋体" w:hAnsi="宋体" w:cs="宋体" w:hint="eastAsia"/>
                <w:b/>
                <w:bCs/>
                <w:sz w:val="24"/>
                <w:szCs w:val="24"/>
              </w:rPr>
            </w:pPr>
            <w:r>
              <w:rPr>
                <w:rFonts w:ascii="宋体" w:eastAsia="宋体" w:hAnsi="宋体" w:cs="宋体" w:hint="eastAsia"/>
                <w:b/>
                <w:bCs/>
                <w:sz w:val="24"/>
                <w:szCs w:val="24"/>
              </w:rPr>
              <w:t>地点</w:t>
            </w:r>
          </w:p>
        </w:tc>
        <w:tc>
          <w:tcPr>
            <w:tcW w:w="6320" w:type="dxa"/>
            <w:vAlign w:val="center"/>
          </w:tcPr>
          <w:p w14:paraId="5989A4B5" w14:textId="51C0E58B" w:rsidR="00BB411D" w:rsidRDefault="00BC77EB">
            <w:pPr>
              <w:pStyle w:val="TableParagraph"/>
              <w:spacing w:line="360" w:lineRule="auto"/>
              <w:jc w:val="both"/>
              <w:rPr>
                <w:rFonts w:ascii="宋体" w:eastAsia="宋体" w:hAnsi="宋体" w:cs="宋体" w:hint="eastAsia"/>
                <w:sz w:val="24"/>
                <w:szCs w:val="24"/>
                <w:lang w:val="en-US"/>
              </w:rPr>
            </w:pPr>
            <w:r>
              <w:rPr>
                <w:rFonts w:ascii="宋体" w:eastAsia="宋体" w:hAnsi="宋体" w:cs="宋体" w:hint="eastAsia"/>
                <w:sz w:val="24"/>
                <w:szCs w:val="24"/>
              </w:rPr>
              <w:t>公司会议室，券商策略会现场，</w:t>
            </w:r>
            <w:r>
              <w:rPr>
                <w:rFonts w:ascii="宋体" w:eastAsia="宋体" w:hAnsi="宋体" w:cs="宋体" w:hint="eastAsia"/>
                <w:sz w:val="24"/>
                <w:szCs w:val="24"/>
                <w:lang w:val="en-US"/>
              </w:rPr>
              <w:t>机构会议室</w:t>
            </w:r>
          </w:p>
        </w:tc>
      </w:tr>
      <w:tr w:rsidR="00BB411D" w14:paraId="0BB7D542" w14:textId="77777777">
        <w:trPr>
          <w:trHeight w:val="895"/>
          <w:jc w:val="center"/>
        </w:trPr>
        <w:tc>
          <w:tcPr>
            <w:tcW w:w="1961" w:type="dxa"/>
            <w:vAlign w:val="center"/>
          </w:tcPr>
          <w:p w14:paraId="5B40C5CE" w14:textId="77777777" w:rsidR="00BB411D" w:rsidRDefault="00000000">
            <w:pPr>
              <w:pStyle w:val="TableParagraph"/>
              <w:spacing w:before="1" w:line="360" w:lineRule="auto"/>
              <w:ind w:left="107"/>
              <w:rPr>
                <w:rFonts w:ascii="宋体" w:eastAsia="宋体" w:hAnsi="宋体" w:cs="宋体" w:hint="eastAsia"/>
                <w:b/>
                <w:bCs/>
                <w:sz w:val="24"/>
                <w:szCs w:val="24"/>
              </w:rPr>
            </w:pPr>
            <w:r>
              <w:rPr>
                <w:rFonts w:ascii="宋体" w:eastAsia="宋体" w:hAnsi="宋体" w:cs="宋体" w:hint="eastAsia"/>
                <w:b/>
                <w:bCs/>
                <w:sz w:val="24"/>
                <w:szCs w:val="24"/>
              </w:rPr>
              <w:t>上市公司接待人员姓名</w:t>
            </w:r>
          </w:p>
        </w:tc>
        <w:tc>
          <w:tcPr>
            <w:tcW w:w="6320" w:type="dxa"/>
            <w:vAlign w:val="center"/>
          </w:tcPr>
          <w:p w14:paraId="7B8D2B21" w14:textId="77777777" w:rsidR="00BB411D" w:rsidRDefault="00000000">
            <w:pPr>
              <w:pStyle w:val="TableParagraph"/>
              <w:snapToGrid w:val="0"/>
              <w:spacing w:line="400" w:lineRule="exact"/>
              <w:rPr>
                <w:rFonts w:ascii="宋体" w:eastAsia="宋体" w:hAnsi="宋体" w:cs="宋体" w:hint="eastAsia"/>
                <w:sz w:val="24"/>
                <w:szCs w:val="24"/>
              </w:rPr>
            </w:pPr>
            <w:r>
              <w:rPr>
                <w:rFonts w:ascii="宋体" w:eastAsia="宋体" w:hAnsi="宋体" w:cs="宋体" w:hint="eastAsia"/>
                <w:sz w:val="24"/>
                <w:szCs w:val="24"/>
              </w:rPr>
              <w:t xml:space="preserve">副总经理兼董事会秘书 </w:t>
            </w:r>
            <w:proofErr w:type="gramStart"/>
            <w:r>
              <w:rPr>
                <w:rFonts w:ascii="宋体" w:eastAsia="宋体" w:hAnsi="宋体" w:cs="宋体" w:hint="eastAsia"/>
                <w:sz w:val="24"/>
                <w:szCs w:val="24"/>
              </w:rPr>
              <w:t>江桂芝</w:t>
            </w:r>
            <w:proofErr w:type="gramEnd"/>
            <w:r>
              <w:rPr>
                <w:rFonts w:ascii="宋体" w:eastAsia="宋体" w:hAnsi="宋体" w:cs="宋体" w:hint="eastAsia"/>
                <w:sz w:val="24"/>
                <w:szCs w:val="24"/>
              </w:rPr>
              <w:t>女士</w:t>
            </w:r>
          </w:p>
          <w:p w14:paraId="57A06664" w14:textId="77777777" w:rsidR="00BB411D" w:rsidRDefault="00000000">
            <w:pPr>
              <w:pStyle w:val="TableParagraph"/>
              <w:snapToGrid w:val="0"/>
              <w:spacing w:line="400" w:lineRule="exact"/>
              <w:rPr>
                <w:rFonts w:ascii="宋体" w:eastAsia="宋体" w:hAnsi="宋体" w:cs="宋体" w:hint="eastAsia"/>
                <w:sz w:val="24"/>
                <w:szCs w:val="24"/>
              </w:rPr>
            </w:pPr>
            <w:r>
              <w:rPr>
                <w:rFonts w:ascii="宋体" w:eastAsia="宋体" w:hAnsi="宋体" w:cs="宋体" w:hint="eastAsia"/>
                <w:sz w:val="24"/>
                <w:szCs w:val="24"/>
              </w:rPr>
              <w:t>证券事务代表 黄丽琼女士</w:t>
            </w:r>
          </w:p>
        </w:tc>
      </w:tr>
      <w:tr w:rsidR="00BB411D" w14:paraId="4CE101DB" w14:textId="77777777">
        <w:trPr>
          <w:trHeight w:val="557"/>
          <w:jc w:val="center"/>
        </w:trPr>
        <w:tc>
          <w:tcPr>
            <w:tcW w:w="1961" w:type="dxa"/>
          </w:tcPr>
          <w:p w14:paraId="240967BD" w14:textId="77777777" w:rsidR="00BB411D" w:rsidRDefault="00BB411D">
            <w:pPr>
              <w:pStyle w:val="TableParagraph"/>
              <w:rPr>
                <w:rFonts w:ascii="宋体" w:eastAsia="宋体" w:hAnsi="宋体" w:cs="宋体" w:hint="eastAsia"/>
                <w:b/>
                <w:bCs/>
                <w:sz w:val="24"/>
                <w:szCs w:val="24"/>
              </w:rPr>
            </w:pPr>
          </w:p>
          <w:p w14:paraId="5EAA0121" w14:textId="77777777" w:rsidR="00BB411D" w:rsidRDefault="00BB411D">
            <w:pPr>
              <w:pStyle w:val="TableParagraph"/>
              <w:rPr>
                <w:rFonts w:ascii="宋体" w:eastAsia="宋体" w:hAnsi="宋体" w:cs="宋体" w:hint="eastAsia"/>
                <w:b/>
                <w:bCs/>
                <w:sz w:val="24"/>
                <w:szCs w:val="24"/>
              </w:rPr>
            </w:pPr>
          </w:p>
          <w:p w14:paraId="7190E571" w14:textId="77777777" w:rsidR="00BB411D" w:rsidRDefault="00BB411D">
            <w:pPr>
              <w:pStyle w:val="TableParagraph"/>
              <w:spacing w:before="5"/>
              <w:rPr>
                <w:rFonts w:ascii="宋体" w:eastAsia="宋体" w:hAnsi="宋体" w:cs="宋体" w:hint="eastAsia"/>
                <w:b/>
                <w:bCs/>
                <w:sz w:val="24"/>
                <w:szCs w:val="24"/>
              </w:rPr>
            </w:pPr>
          </w:p>
          <w:p w14:paraId="777271FC" w14:textId="77777777" w:rsidR="00BB411D" w:rsidRDefault="00000000">
            <w:pPr>
              <w:pStyle w:val="TableParagraph"/>
              <w:spacing w:before="1" w:line="499" w:lineRule="auto"/>
              <w:ind w:left="107" w:right="96"/>
              <w:rPr>
                <w:rFonts w:ascii="宋体" w:eastAsia="宋体" w:hAnsi="宋体" w:cs="宋体" w:hint="eastAsia"/>
                <w:b/>
                <w:bCs/>
                <w:sz w:val="24"/>
                <w:szCs w:val="24"/>
              </w:rPr>
            </w:pPr>
            <w:r>
              <w:rPr>
                <w:rFonts w:ascii="宋体" w:eastAsia="宋体" w:hAnsi="宋体" w:cs="宋体" w:hint="eastAsia"/>
                <w:b/>
                <w:bCs/>
                <w:sz w:val="24"/>
                <w:szCs w:val="24"/>
              </w:rPr>
              <w:t>投资者关系活动主要内容介绍</w:t>
            </w:r>
          </w:p>
        </w:tc>
        <w:tc>
          <w:tcPr>
            <w:tcW w:w="6320" w:type="dxa"/>
          </w:tcPr>
          <w:p w14:paraId="47664BA2" w14:textId="717F5452" w:rsidR="00B94E1B" w:rsidRDefault="00B94E1B" w:rsidP="00B94E1B">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1.公司供应链运营业务近期在客户拓展方面有什么进展？</w:t>
            </w:r>
          </w:p>
          <w:p w14:paraId="3A7064F0" w14:textId="11FF10FB" w:rsidR="00B94E1B" w:rsidRPr="00D16968" w:rsidRDefault="00B94E1B" w:rsidP="00B94E1B">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w:t>
            </w:r>
            <w:r w:rsidRPr="00D16968">
              <w:rPr>
                <w:rFonts w:ascii="宋体" w:eastAsia="宋体" w:hAnsi="宋体" w:cs="宋体" w:hint="eastAsia"/>
                <w:kern w:val="2"/>
                <w:sz w:val="24"/>
                <w:szCs w:val="24"/>
                <w:lang w:val="en-US" w:bidi="ar-SA"/>
                <w14:ligatures w14:val="standardContextual"/>
              </w:rPr>
              <w:t>农产品集团层面，公司在</w:t>
            </w:r>
            <w:proofErr w:type="gramStart"/>
            <w:r w:rsidRPr="00D16968">
              <w:rPr>
                <w:rFonts w:ascii="宋体" w:eastAsia="宋体" w:hAnsi="宋体" w:cs="宋体" w:hint="eastAsia"/>
                <w:kern w:val="2"/>
                <w:sz w:val="24"/>
                <w:szCs w:val="24"/>
                <w:lang w:val="en-US" w:bidi="ar-SA"/>
                <w14:ligatures w14:val="standardContextual"/>
              </w:rPr>
              <w:t>11月进博会</w:t>
            </w:r>
            <w:proofErr w:type="gramEnd"/>
            <w:r w:rsidRPr="00D16968">
              <w:rPr>
                <w:rFonts w:ascii="宋体" w:eastAsia="宋体" w:hAnsi="宋体" w:cs="宋体" w:hint="eastAsia"/>
                <w:kern w:val="2"/>
                <w:sz w:val="24"/>
                <w:szCs w:val="24"/>
                <w:lang w:val="en-US" w:bidi="ar-SA"/>
                <w14:ligatures w14:val="standardContextual"/>
              </w:rPr>
              <w:t>期间与路易达孚、BTG PACTUAL、</w:t>
            </w:r>
            <w:proofErr w:type="gramStart"/>
            <w:r w:rsidRPr="00D16968">
              <w:rPr>
                <w:rFonts w:ascii="宋体" w:eastAsia="宋体" w:hAnsi="宋体" w:cs="宋体" w:hint="eastAsia"/>
                <w:kern w:val="2"/>
                <w:sz w:val="24"/>
                <w:szCs w:val="24"/>
                <w:lang w:val="en-US" w:bidi="ar-SA"/>
                <w14:ligatures w14:val="standardContextual"/>
              </w:rPr>
              <w:t>翱</w:t>
            </w:r>
            <w:proofErr w:type="gramEnd"/>
            <w:r w:rsidRPr="00D16968">
              <w:rPr>
                <w:rFonts w:ascii="宋体" w:eastAsia="宋体" w:hAnsi="宋体" w:cs="宋体" w:hint="eastAsia"/>
                <w:kern w:val="2"/>
                <w:sz w:val="24"/>
                <w:szCs w:val="24"/>
                <w:lang w:val="en-US" w:bidi="ar-SA"/>
                <w14:ligatures w14:val="standardContextual"/>
              </w:rPr>
              <w:t>兰农业（OLAM）、CUTRALE TRADING SA、CHS INC.、嘉吉（CARGILL）、先正达（SYNGENTA）等全球七家农业与贸易领域知名企业达成合作协议，签约总额突破52亿美元，涵盖大豆、玉米、油脂、棉花等重要品类，</w:t>
            </w:r>
            <w:r w:rsidRPr="00152300">
              <w:rPr>
                <w:rFonts w:ascii="宋体" w:eastAsia="宋体" w:hAnsi="宋体" w:cs="宋体" w:hint="eastAsia"/>
                <w:kern w:val="2"/>
                <w:sz w:val="24"/>
                <w:szCs w:val="24"/>
                <w:lang w:val="en-US" w:bidi="ar-SA"/>
                <w14:ligatures w14:val="standardContextual"/>
              </w:rPr>
              <w:t>进一步拓展</w:t>
            </w:r>
            <w:r w:rsidR="00824640" w:rsidRPr="00152300">
              <w:rPr>
                <w:rFonts w:ascii="宋体" w:eastAsia="宋体" w:hAnsi="宋体" w:cs="宋体" w:hint="eastAsia"/>
                <w:kern w:val="2"/>
                <w:sz w:val="24"/>
                <w:szCs w:val="24"/>
                <w:lang w:val="en-US" w:bidi="ar-SA"/>
                <w14:ligatures w14:val="standardContextual"/>
              </w:rPr>
              <w:t>了</w:t>
            </w:r>
            <w:r w:rsidRPr="00152300">
              <w:rPr>
                <w:rFonts w:ascii="宋体" w:eastAsia="宋体" w:hAnsi="宋体" w:cs="宋体" w:hint="eastAsia"/>
                <w:kern w:val="2"/>
                <w:sz w:val="24"/>
                <w:szCs w:val="24"/>
                <w:lang w:val="en-US" w:bidi="ar-SA"/>
                <w14:ligatures w14:val="standardContextual"/>
              </w:rPr>
              <w:t>农产品多品类、多产区的战略布局，</w:t>
            </w:r>
            <w:r w:rsidRPr="00D16968">
              <w:rPr>
                <w:rFonts w:ascii="宋体" w:eastAsia="宋体" w:hAnsi="宋体" w:cs="宋体" w:hint="eastAsia"/>
                <w:kern w:val="2"/>
                <w:sz w:val="24"/>
                <w:szCs w:val="24"/>
                <w:lang w:val="en-US" w:bidi="ar-SA"/>
                <w14:ligatures w14:val="standardContextual"/>
              </w:rPr>
              <w:t>持续强化建发</w:t>
            </w:r>
            <w:r w:rsidR="00824640" w:rsidRPr="00D16968">
              <w:rPr>
                <w:rFonts w:ascii="宋体" w:eastAsia="宋体" w:hAnsi="宋体" w:cs="宋体" w:hint="eastAsia"/>
                <w:kern w:val="2"/>
                <w:sz w:val="24"/>
                <w:szCs w:val="24"/>
                <w:lang w:val="en-US" w:bidi="ar-SA"/>
                <w14:ligatures w14:val="standardContextual"/>
              </w:rPr>
              <w:t>股份</w:t>
            </w:r>
            <w:r w:rsidRPr="00D16968">
              <w:rPr>
                <w:rFonts w:ascii="宋体" w:eastAsia="宋体" w:hAnsi="宋体" w:cs="宋体" w:hint="eastAsia"/>
                <w:kern w:val="2"/>
                <w:sz w:val="24"/>
                <w:szCs w:val="24"/>
                <w:lang w:val="en-US" w:bidi="ar-SA"/>
                <w14:ligatures w14:val="standardContextual"/>
              </w:rPr>
              <w:t>在全球范围内的供应</w:t>
            </w:r>
            <w:proofErr w:type="gramStart"/>
            <w:r w:rsidRPr="00D16968">
              <w:rPr>
                <w:rFonts w:ascii="宋体" w:eastAsia="宋体" w:hAnsi="宋体" w:cs="宋体" w:hint="eastAsia"/>
                <w:kern w:val="2"/>
                <w:sz w:val="24"/>
                <w:szCs w:val="24"/>
                <w:lang w:val="en-US" w:bidi="ar-SA"/>
                <w14:ligatures w14:val="standardContextual"/>
              </w:rPr>
              <w:t>链资源</w:t>
            </w:r>
            <w:proofErr w:type="gramEnd"/>
            <w:r w:rsidRPr="00D16968">
              <w:rPr>
                <w:rFonts w:ascii="宋体" w:eastAsia="宋体" w:hAnsi="宋体" w:cs="宋体" w:hint="eastAsia"/>
                <w:kern w:val="2"/>
                <w:sz w:val="24"/>
                <w:szCs w:val="24"/>
                <w:lang w:val="en-US" w:bidi="ar-SA"/>
                <w14:ligatures w14:val="standardContextual"/>
              </w:rPr>
              <w:t>配置能力。</w:t>
            </w:r>
          </w:p>
          <w:p w14:paraId="04DD11EC" w14:textId="77777777" w:rsidR="00B94E1B" w:rsidRPr="00D16968" w:rsidRDefault="00B94E1B" w:rsidP="00B94E1B">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D16968">
              <w:rPr>
                <w:rFonts w:ascii="宋体" w:eastAsia="宋体" w:hAnsi="宋体" w:cs="宋体" w:hint="eastAsia"/>
                <w:kern w:val="2"/>
                <w:sz w:val="24"/>
                <w:szCs w:val="24"/>
                <w:lang w:val="en-US" w:bidi="ar-SA"/>
                <w14:ligatures w14:val="standardContextual"/>
              </w:rPr>
              <w:t>消费品集团层面，旗下生活资材有限公司于10月</w:t>
            </w:r>
            <w:proofErr w:type="gramStart"/>
            <w:r w:rsidRPr="00D16968">
              <w:rPr>
                <w:rFonts w:ascii="宋体" w:eastAsia="宋体" w:hAnsi="宋体" w:cs="宋体" w:hint="eastAsia"/>
                <w:kern w:val="2"/>
                <w:sz w:val="24"/>
                <w:szCs w:val="24"/>
                <w:lang w:val="en-US" w:bidi="ar-SA"/>
                <w14:ligatures w14:val="standardContextual"/>
              </w:rPr>
              <w:t>和云米科技</w:t>
            </w:r>
            <w:proofErr w:type="gramEnd"/>
            <w:r w:rsidRPr="00D16968">
              <w:rPr>
                <w:rFonts w:ascii="宋体" w:eastAsia="宋体" w:hAnsi="宋体" w:cs="宋体" w:hint="eastAsia"/>
                <w:kern w:val="2"/>
                <w:sz w:val="24"/>
                <w:szCs w:val="24"/>
                <w:lang w:val="en-US" w:bidi="ar-SA"/>
                <w14:ligatures w14:val="standardContextual"/>
              </w:rPr>
              <w:t>签署战略合作备忘录，未来将围绕技术研发、产品制造、市场拓展和供应</w:t>
            </w:r>
            <w:proofErr w:type="gramStart"/>
            <w:r w:rsidRPr="00D16968">
              <w:rPr>
                <w:rFonts w:ascii="宋体" w:eastAsia="宋体" w:hAnsi="宋体" w:cs="宋体" w:hint="eastAsia"/>
                <w:kern w:val="2"/>
                <w:sz w:val="24"/>
                <w:szCs w:val="24"/>
                <w:lang w:val="en-US" w:bidi="ar-SA"/>
                <w14:ligatures w14:val="standardContextual"/>
              </w:rPr>
              <w:t>链服务</w:t>
            </w:r>
            <w:proofErr w:type="gramEnd"/>
            <w:r w:rsidRPr="00D16968">
              <w:rPr>
                <w:rFonts w:ascii="宋体" w:eastAsia="宋体" w:hAnsi="宋体" w:cs="宋体" w:hint="eastAsia"/>
                <w:kern w:val="2"/>
                <w:sz w:val="24"/>
                <w:szCs w:val="24"/>
                <w:lang w:val="en-US" w:bidi="ar-SA"/>
                <w14:ligatures w14:val="standardContextual"/>
              </w:rPr>
              <w:t>等方面展开全面合作；此外，生活资材亦于11月与</w:t>
            </w:r>
            <w:r w:rsidRPr="00D16968">
              <w:rPr>
                <w:rFonts w:ascii="宋体" w:eastAsia="宋体" w:hAnsi="宋体" w:cs="宋体" w:hint="eastAsia"/>
                <w:kern w:val="2"/>
                <w:sz w:val="24"/>
                <w:szCs w:val="24"/>
                <w:lang w:val="en-US"/>
                <w14:ligatures w14:val="standardContextual"/>
              </w:rPr>
              <w:t>华为终端有限公司达成鸿蒙智选产品合作，公司将依托自身渠道网络与供应链运营领域的核心能力协助推动鸿蒙智选产品在零售与工程市场的规模化落地与渗透</w:t>
            </w:r>
            <w:r w:rsidRPr="00D16968">
              <w:rPr>
                <w:rFonts w:ascii="宋体" w:eastAsia="宋体" w:hAnsi="宋体" w:cs="宋体" w:hint="eastAsia"/>
                <w:kern w:val="2"/>
                <w:sz w:val="24"/>
                <w:szCs w:val="24"/>
                <w:lang w:val="en-US" w:bidi="ar-SA"/>
                <w14:ligatures w14:val="standardContextual"/>
              </w:rPr>
              <w:t>。</w:t>
            </w:r>
          </w:p>
          <w:p w14:paraId="30055032" w14:textId="77777777" w:rsidR="00B94E1B" w:rsidRDefault="00B94E1B" w:rsidP="00B94E1B">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sidRPr="00D16968">
              <w:rPr>
                <w:rFonts w:ascii="宋体" w:eastAsia="宋体" w:hAnsi="宋体" w:cs="宋体" w:hint="eastAsia"/>
                <w:kern w:val="2"/>
                <w:sz w:val="24"/>
                <w:szCs w:val="24"/>
                <w:lang w:val="en-US" w:bidi="ar-SA"/>
                <w14:ligatures w14:val="standardContextual"/>
              </w:rPr>
              <w:t>能化集团层面，建发股份所属建发新兴能源、</w:t>
            </w:r>
            <w:proofErr w:type="gramStart"/>
            <w:r w:rsidRPr="00D16968">
              <w:rPr>
                <w:rFonts w:ascii="宋体" w:eastAsia="宋体" w:hAnsi="宋体" w:cs="宋体" w:hint="eastAsia"/>
                <w:kern w:val="2"/>
                <w:sz w:val="24"/>
                <w:szCs w:val="24"/>
                <w:lang w:val="en-US" w:bidi="ar-SA"/>
                <w14:ligatures w14:val="standardContextual"/>
              </w:rPr>
              <w:t>腾晖光</w:t>
            </w:r>
            <w:proofErr w:type="gramEnd"/>
            <w:r w:rsidRPr="00D16968">
              <w:rPr>
                <w:rFonts w:ascii="宋体" w:eastAsia="宋体" w:hAnsi="宋体" w:cs="宋体" w:hint="eastAsia"/>
                <w:kern w:val="2"/>
                <w:sz w:val="24"/>
                <w:szCs w:val="24"/>
                <w:lang w:val="en-US" w:bidi="ar-SA"/>
                <w14:ligatures w14:val="standardContextual"/>
              </w:rPr>
              <w:t>伏与澳大利亚本地清洁能源企业Go Solar签署战略合作协议。</w:t>
            </w:r>
            <w:r w:rsidRPr="00D16968">
              <w:rPr>
                <w:rFonts w:ascii="宋体" w:eastAsia="宋体" w:hAnsi="宋体" w:cs="宋体" w:hint="eastAsia"/>
                <w:kern w:val="2"/>
                <w:sz w:val="24"/>
                <w:szCs w:val="24"/>
                <w:lang w:val="en-US" w:bidi="ar-SA"/>
                <w14:ligatures w14:val="standardContextual"/>
              </w:rPr>
              <w:lastRenderedPageBreak/>
              <w:t>三方将围绕供应链协同、产品线拓展及渠道建设</w:t>
            </w:r>
            <w:r w:rsidRPr="00D60F17">
              <w:rPr>
                <w:rFonts w:ascii="宋体" w:eastAsia="宋体" w:hAnsi="宋体" w:cs="宋体" w:hint="eastAsia"/>
                <w:kern w:val="2"/>
                <w:sz w:val="24"/>
                <w:szCs w:val="24"/>
                <w:lang w:val="en-US" w:bidi="ar-SA"/>
                <w14:ligatures w14:val="standardContextual"/>
              </w:rPr>
              <w:t>展开深度合作，加速高效光伏与储能解决方案在澳大利亚市场的落地</w:t>
            </w:r>
            <w:r>
              <w:rPr>
                <w:rFonts w:ascii="宋体" w:eastAsia="宋体" w:hAnsi="宋体" w:cs="宋体" w:hint="eastAsia"/>
                <w:kern w:val="2"/>
                <w:sz w:val="24"/>
                <w:szCs w:val="24"/>
                <w:lang w:val="en-US" w:bidi="ar-SA"/>
                <w14:ligatures w14:val="standardContextual"/>
              </w:rPr>
              <w:t xml:space="preserve">。 </w:t>
            </w:r>
          </w:p>
          <w:p w14:paraId="32DE3B85" w14:textId="77777777" w:rsidR="00E51C25" w:rsidRDefault="00E51C25" w:rsidP="00B94E1B">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4F8AA080" w14:textId="67F1AEC1" w:rsidR="00401B41" w:rsidRDefault="00E51C25" w:rsidP="00C40BA8">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2</w:t>
            </w:r>
            <w:r w:rsidR="00401B41">
              <w:rPr>
                <w:rFonts w:ascii="宋体" w:eastAsia="宋体" w:hAnsi="宋体" w:cs="宋体" w:hint="eastAsia"/>
                <w:b/>
                <w:bCs/>
                <w:kern w:val="2"/>
                <w:sz w:val="24"/>
                <w:szCs w:val="24"/>
                <w:lang w:val="en-US" w:bidi="ar-SA"/>
                <w14:ligatures w14:val="standardContextual"/>
              </w:rPr>
              <w:t>.公司供应链运营业务的回报率在什么水平？</w:t>
            </w:r>
          </w:p>
          <w:p w14:paraId="6490B001" w14:textId="77D51E9E" w:rsidR="00401B41" w:rsidRDefault="00401B41" w:rsidP="00C40BA8">
            <w:pPr>
              <w:autoSpaceDE/>
              <w:autoSpaceDN/>
              <w:spacing w:line="360" w:lineRule="auto"/>
              <w:jc w:val="both"/>
              <w:rPr>
                <w:rFonts w:ascii="宋体" w:eastAsia="宋体" w:hAnsi="宋体" w:cs="宋体" w:hint="eastAsia"/>
                <w:kern w:val="2"/>
                <w:sz w:val="24"/>
                <w:szCs w:val="24"/>
                <w:lang w:val="en-US" w:bidi="ar-SA"/>
                <w14:ligatures w14:val="standardContextual"/>
              </w:rPr>
            </w:pPr>
            <w:r w:rsidRPr="00401B41">
              <w:rPr>
                <w:rFonts w:ascii="宋体" w:eastAsia="宋体" w:hAnsi="宋体" w:cs="宋体" w:hint="eastAsia"/>
                <w:kern w:val="2"/>
                <w:sz w:val="24"/>
                <w:szCs w:val="24"/>
                <w:lang w:val="en-US" w:bidi="ar-SA"/>
                <w14:ligatures w14:val="standardContextual"/>
              </w:rPr>
              <w:t>答：</w:t>
            </w:r>
            <w:r w:rsidR="001F7AEA">
              <w:rPr>
                <w:rFonts w:ascii="宋体" w:eastAsia="宋体" w:hAnsi="宋体" w:cs="宋体" w:hint="eastAsia"/>
                <w:kern w:val="2"/>
                <w:sz w:val="24"/>
                <w:szCs w:val="24"/>
                <w:lang w:val="en-US" w:bidi="ar-SA"/>
                <w14:ligatures w14:val="standardContextual"/>
              </w:rPr>
              <w:t>建发股份</w:t>
            </w:r>
            <w:r>
              <w:rPr>
                <w:rFonts w:ascii="宋体" w:eastAsia="宋体" w:hAnsi="宋体" w:cs="宋体" w:hint="eastAsia"/>
                <w:kern w:val="2"/>
                <w:sz w:val="24"/>
                <w:szCs w:val="24"/>
                <w:lang w:val="en-US" w:bidi="ar-SA"/>
                <w14:ligatures w14:val="standardContextual"/>
              </w:rPr>
              <w:t>供应链运营业务依托自身强大的资源力、人才力</w:t>
            </w:r>
            <w:proofErr w:type="gramStart"/>
            <w:r>
              <w:rPr>
                <w:rFonts w:ascii="宋体" w:eastAsia="宋体" w:hAnsi="宋体" w:cs="宋体" w:hint="eastAsia"/>
                <w:kern w:val="2"/>
                <w:sz w:val="24"/>
                <w:szCs w:val="24"/>
                <w:lang w:val="en-US" w:bidi="ar-SA"/>
                <w14:ligatures w14:val="standardContextual"/>
              </w:rPr>
              <w:t>与风控能力</w:t>
            </w:r>
            <w:proofErr w:type="gramEnd"/>
            <w:r>
              <w:rPr>
                <w:rFonts w:ascii="宋体" w:eastAsia="宋体" w:hAnsi="宋体" w:cs="宋体" w:hint="eastAsia"/>
                <w:kern w:val="2"/>
                <w:sz w:val="24"/>
                <w:szCs w:val="24"/>
                <w:lang w:val="en-US" w:bidi="ar-SA"/>
                <w14:ligatures w14:val="standardContextual"/>
              </w:rPr>
              <w:t>，在大宗商品价格周期波动的背景下持续贡献稳定的业绩回报。</w:t>
            </w:r>
            <w:r w:rsidR="00E0075B" w:rsidRPr="00E0075B">
              <w:rPr>
                <w:rFonts w:ascii="宋体" w:eastAsia="宋体" w:hAnsi="宋体" w:cs="宋体" w:hint="eastAsia"/>
                <w:kern w:val="2"/>
                <w:sz w:val="24"/>
                <w:szCs w:val="24"/>
                <w:lang w:val="en-US" w:bidi="ar-SA"/>
                <w14:ligatures w14:val="standardContextual"/>
              </w:rPr>
              <w:t>在2021-2024年间</w:t>
            </w:r>
            <w:r w:rsidR="00E0075B">
              <w:rPr>
                <w:rFonts w:ascii="宋体" w:eastAsia="宋体" w:hAnsi="宋体" w:cs="宋体" w:hint="eastAsia"/>
                <w:kern w:val="2"/>
                <w:sz w:val="24"/>
                <w:szCs w:val="24"/>
                <w:lang w:val="en-US" w:bidi="ar-SA"/>
                <w14:ligatures w14:val="standardContextual"/>
              </w:rPr>
              <w:t>，</w:t>
            </w:r>
            <w:r>
              <w:rPr>
                <w:rFonts w:ascii="宋体" w:eastAsia="宋体" w:hAnsi="宋体" w:cs="宋体" w:hint="eastAsia"/>
                <w:kern w:val="2"/>
                <w:sz w:val="24"/>
                <w:szCs w:val="24"/>
                <w:lang w:val="en-US" w:bidi="ar-SA"/>
                <w14:ligatures w14:val="standardContextual"/>
              </w:rPr>
              <w:t>公司供应链运营业务</w:t>
            </w:r>
            <w:proofErr w:type="gramStart"/>
            <w:r>
              <w:rPr>
                <w:rFonts w:ascii="宋体" w:eastAsia="宋体" w:hAnsi="宋体" w:cs="宋体" w:hint="eastAsia"/>
                <w:kern w:val="2"/>
                <w:sz w:val="24"/>
                <w:szCs w:val="24"/>
                <w:lang w:val="en-US" w:bidi="ar-SA"/>
                <w14:ligatures w14:val="standardContextual"/>
              </w:rPr>
              <w:t>归母净利润</w:t>
            </w:r>
            <w:proofErr w:type="gramEnd"/>
            <w:r>
              <w:rPr>
                <w:rFonts w:ascii="宋体" w:eastAsia="宋体" w:hAnsi="宋体" w:cs="宋体" w:hint="eastAsia"/>
                <w:kern w:val="2"/>
                <w:sz w:val="24"/>
                <w:szCs w:val="24"/>
                <w:lang w:val="en-US" w:bidi="ar-SA"/>
                <w14:ligatures w14:val="standardContextual"/>
              </w:rPr>
              <w:t>规模在33-40亿元</w:t>
            </w:r>
            <w:r w:rsidR="00B21636">
              <w:rPr>
                <w:rFonts w:ascii="宋体" w:eastAsia="宋体" w:hAnsi="宋体" w:cs="宋体" w:hint="eastAsia"/>
                <w:kern w:val="2"/>
                <w:sz w:val="24"/>
                <w:szCs w:val="24"/>
                <w:lang w:val="en-US" w:bidi="ar-SA"/>
                <w14:ligatures w14:val="standardContextual"/>
              </w:rPr>
              <w:t>区间</w:t>
            </w:r>
            <w:r>
              <w:rPr>
                <w:rFonts w:ascii="宋体" w:eastAsia="宋体" w:hAnsi="宋体" w:cs="宋体" w:hint="eastAsia"/>
                <w:kern w:val="2"/>
                <w:sz w:val="24"/>
                <w:szCs w:val="24"/>
                <w:lang w:val="en-US" w:bidi="ar-SA"/>
                <w14:ligatures w14:val="standardContextual"/>
              </w:rPr>
              <w:t>，对应ROE</w:t>
            </w:r>
            <w:r w:rsidR="00B21636">
              <w:rPr>
                <w:rFonts w:ascii="宋体" w:eastAsia="宋体" w:hAnsi="宋体" w:cs="宋体" w:hint="eastAsia"/>
                <w:kern w:val="2"/>
                <w:sz w:val="24"/>
                <w:szCs w:val="24"/>
                <w:lang w:val="en-US" w:bidi="ar-SA"/>
                <w14:ligatures w14:val="standardContextual"/>
              </w:rPr>
              <w:t>超15%</w:t>
            </w:r>
            <w:r>
              <w:rPr>
                <w:rFonts w:ascii="宋体" w:eastAsia="宋体" w:hAnsi="宋体" w:cs="宋体" w:hint="eastAsia"/>
                <w:kern w:val="2"/>
                <w:sz w:val="24"/>
                <w:szCs w:val="24"/>
                <w:lang w:val="en-US" w:bidi="ar-SA"/>
                <w14:ligatures w14:val="standardContextual"/>
              </w:rPr>
              <w:t>，业绩压舱石作用凸显。</w:t>
            </w:r>
          </w:p>
          <w:p w14:paraId="6757D7D7" w14:textId="77777777" w:rsidR="00401B41" w:rsidRPr="00401B41" w:rsidRDefault="00401B41" w:rsidP="00C40BA8">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5F03FB5C" w14:textId="20CC91C5" w:rsidR="00BB411D" w:rsidRDefault="00E51C25" w:rsidP="00C40BA8">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3</w:t>
            </w:r>
            <w:r w:rsidR="00401B41">
              <w:rPr>
                <w:rFonts w:ascii="宋体" w:eastAsia="宋体" w:hAnsi="宋体" w:cs="宋体" w:hint="eastAsia"/>
                <w:b/>
                <w:bCs/>
                <w:kern w:val="2"/>
                <w:sz w:val="24"/>
                <w:szCs w:val="24"/>
                <w:lang w:val="en-US" w:bidi="ar-SA"/>
                <w14:ligatures w14:val="standardContextual"/>
              </w:rPr>
              <w:t>.</w:t>
            </w:r>
            <w:r w:rsidR="00C40BA8" w:rsidRPr="00C40BA8">
              <w:rPr>
                <w:rFonts w:ascii="宋体" w:eastAsia="宋体" w:hAnsi="宋体" w:cs="宋体" w:hint="eastAsia"/>
                <w:b/>
                <w:bCs/>
                <w:kern w:val="2"/>
                <w:sz w:val="24"/>
                <w:szCs w:val="24"/>
                <w:lang w:val="en-US" w:bidi="ar-SA"/>
                <w14:ligatures w14:val="standardContextual"/>
              </w:rPr>
              <w:t>近年来全球经济</w:t>
            </w:r>
            <w:r w:rsidR="00C40BA8">
              <w:rPr>
                <w:rFonts w:ascii="宋体" w:eastAsia="宋体" w:hAnsi="宋体" w:cs="宋体" w:hint="eastAsia"/>
                <w:b/>
                <w:bCs/>
                <w:kern w:val="2"/>
                <w:sz w:val="24"/>
                <w:szCs w:val="24"/>
                <w:lang w:val="en-US" w:bidi="ar-SA"/>
                <w14:ligatures w14:val="standardContextual"/>
              </w:rPr>
              <w:t>、政治</w:t>
            </w:r>
            <w:r w:rsidR="00C40BA8" w:rsidRPr="00C40BA8">
              <w:rPr>
                <w:rFonts w:ascii="宋体" w:eastAsia="宋体" w:hAnsi="宋体" w:cs="宋体" w:hint="eastAsia"/>
                <w:b/>
                <w:bCs/>
                <w:kern w:val="2"/>
                <w:sz w:val="24"/>
                <w:szCs w:val="24"/>
                <w:lang w:val="en-US" w:bidi="ar-SA"/>
                <w14:ligatures w14:val="standardContextual"/>
              </w:rPr>
              <w:t>形势复杂多变，</w:t>
            </w:r>
            <w:r w:rsidR="00C40BA8">
              <w:rPr>
                <w:rFonts w:ascii="宋体" w:eastAsia="宋体" w:hAnsi="宋体" w:cs="宋体" w:hint="eastAsia"/>
                <w:b/>
                <w:bCs/>
                <w:kern w:val="2"/>
                <w:sz w:val="24"/>
                <w:szCs w:val="24"/>
                <w:lang w:val="en-US" w:bidi="ar-SA"/>
                <w14:ligatures w14:val="standardContextual"/>
              </w:rPr>
              <w:t>建发股份</w:t>
            </w:r>
            <w:r w:rsidR="00C40BA8" w:rsidRPr="00C40BA8">
              <w:rPr>
                <w:rFonts w:ascii="宋体" w:eastAsia="宋体" w:hAnsi="宋体" w:cs="宋体" w:hint="eastAsia"/>
                <w:b/>
                <w:bCs/>
                <w:kern w:val="2"/>
                <w:sz w:val="24"/>
                <w:szCs w:val="24"/>
                <w:lang w:val="en-US" w:bidi="ar-SA"/>
                <w14:ligatures w14:val="standardContextual"/>
              </w:rPr>
              <w:t>如何应对这些外部挑战</w:t>
            </w:r>
            <w:r w:rsidR="00B774A1">
              <w:rPr>
                <w:rFonts w:ascii="宋体" w:eastAsia="宋体" w:hAnsi="宋体" w:cs="宋体" w:hint="eastAsia"/>
                <w:b/>
                <w:bCs/>
                <w:kern w:val="2"/>
                <w:sz w:val="24"/>
                <w:szCs w:val="24"/>
                <w:lang w:val="en-US" w:bidi="ar-SA"/>
                <w14:ligatures w14:val="standardContextual"/>
              </w:rPr>
              <w:t>、实现业绩稳定</w:t>
            </w:r>
            <w:r w:rsidR="00401B41">
              <w:rPr>
                <w:rFonts w:ascii="宋体" w:eastAsia="宋体" w:hAnsi="宋体" w:cs="宋体" w:hint="eastAsia"/>
                <w:b/>
                <w:bCs/>
                <w:kern w:val="2"/>
                <w:sz w:val="24"/>
                <w:szCs w:val="24"/>
                <w:lang w:val="en-US" w:bidi="ar-SA"/>
                <w14:ligatures w14:val="standardContextual"/>
              </w:rPr>
              <w:t>？</w:t>
            </w:r>
          </w:p>
          <w:p w14:paraId="3A3AAE8E" w14:textId="30003CFB" w:rsidR="00C40BA8" w:rsidRDefault="00000000" w:rsidP="005B2714">
            <w:pPr>
              <w:autoSpaceDE/>
              <w:autoSpaceDN/>
              <w:spacing w:line="360" w:lineRule="auto"/>
              <w:jc w:val="both"/>
              <w:rPr>
                <w:rFonts w:ascii="宋体" w:eastAsia="宋体" w:hAnsi="宋体" w:cs="宋体" w:hint="eastAsia"/>
                <w:kern w:val="2"/>
                <w:sz w:val="24"/>
                <w:szCs w:val="24"/>
                <w:lang w:val="en-US" w:bidi="ar-SA"/>
                <w14:ligatures w14:val="standardContextual"/>
              </w:rPr>
            </w:pPr>
            <w:r w:rsidRPr="002517A5">
              <w:rPr>
                <w:rFonts w:ascii="宋体" w:eastAsia="宋体" w:hAnsi="宋体" w:cs="宋体" w:hint="eastAsia"/>
                <w:kern w:val="2"/>
                <w:sz w:val="24"/>
                <w:szCs w:val="24"/>
                <w:lang w:val="en-US" w:bidi="ar-SA"/>
                <w14:ligatures w14:val="standardContextual"/>
              </w:rPr>
              <w:t>答：</w:t>
            </w:r>
            <w:r w:rsidR="00C40BA8">
              <w:rPr>
                <w:rFonts w:ascii="宋体" w:eastAsia="宋体" w:hAnsi="宋体" w:cs="宋体" w:hint="eastAsia"/>
                <w:kern w:val="2"/>
                <w:sz w:val="24"/>
                <w:szCs w:val="24"/>
                <w:lang w:val="en-US" w:bidi="ar-SA"/>
                <w14:ligatures w14:val="standardContextual"/>
              </w:rPr>
              <w:t>在</w:t>
            </w:r>
            <w:r w:rsidR="00907A85">
              <w:rPr>
                <w:rFonts w:ascii="宋体" w:eastAsia="宋体" w:hAnsi="宋体" w:cs="宋体" w:hint="eastAsia"/>
                <w:kern w:val="2"/>
                <w:sz w:val="24"/>
                <w:szCs w:val="24"/>
                <w:lang w:val="en-US" w:bidi="ar-SA"/>
                <w14:ligatures w14:val="standardContextual"/>
              </w:rPr>
              <w:t>全球政治经济环境波动</w:t>
            </w:r>
            <w:r w:rsidR="00C40BA8">
              <w:rPr>
                <w:rFonts w:ascii="宋体" w:eastAsia="宋体" w:hAnsi="宋体" w:cs="宋体" w:hint="eastAsia"/>
                <w:kern w:val="2"/>
                <w:sz w:val="24"/>
                <w:szCs w:val="24"/>
                <w:lang w:val="en-US" w:bidi="ar-SA"/>
                <w14:ligatures w14:val="standardContextual"/>
              </w:rPr>
              <w:t>的背景下，建发股份供应链运营业务</w:t>
            </w:r>
            <w:r w:rsidR="006A49F0">
              <w:rPr>
                <w:rFonts w:ascii="宋体" w:eastAsia="宋体" w:hAnsi="宋体" w:cs="宋体" w:hint="eastAsia"/>
                <w:kern w:val="2"/>
                <w:sz w:val="24"/>
                <w:szCs w:val="24"/>
                <w:lang w:val="en-US" w:bidi="ar-SA"/>
                <w14:ligatures w14:val="standardContextual"/>
              </w:rPr>
              <w:t>始终</w:t>
            </w:r>
            <w:r w:rsidR="006A49F0" w:rsidRPr="006A49F0">
              <w:rPr>
                <w:rFonts w:ascii="宋体" w:eastAsia="宋体" w:hAnsi="宋体" w:cs="宋体" w:hint="eastAsia"/>
                <w:kern w:val="2"/>
                <w:sz w:val="24"/>
                <w:szCs w:val="24"/>
                <w:lang w:val="en-US" w:bidi="ar-SA"/>
                <w14:ligatures w14:val="standardContextual"/>
              </w:rPr>
              <w:t>坚守战略方向</w:t>
            </w:r>
            <w:r w:rsidR="006A49F0">
              <w:rPr>
                <w:rFonts w:ascii="宋体" w:eastAsia="宋体" w:hAnsi="宋体" w:cs="宋体" w:hint="eastAsia"/>
                <w:kern w:val="2"/>
                <w:sz w:val="24"/>
                <w:szCs w:val="24"/>
                <w:lang w:val="en-US" w:bidi="ar-SA"/>
                <w14:ligatures w14:val="standardContextual"/>
              </w:rPr>
              <w:t>，不断增强自身抵御外部风险的能力，具体来看：</w:t>
            </w:r>
          </w:p>
          <w:p w14:paraId="28313064" w14:textId="62D41665" w:rsidR="00907A85" w:rsidRDefault="00907A85" w:rsidP="00907A85">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fldChar w:fldCharType="begin"/>
            </w:r>
            <w:r>
              <w:rPr>
                <w:rFonts w:ascii="宋体" w:eastAsia="宋体" w:hAnsi="宋体" w:cs="宋体" w:hint="eastAsia"/>
                <w:kern w:val="2"/>
                <w:sz w:val="24"/>
                <w:szCs w:val="24"/>
                <w:lang w:val="en-US" w:bidi="ar-SA"/>
                <w14:ligatures w14:val="standardContextual"/>
              </w:rPr>
              <w:instrText xml:space="preserve"> = 1 \* GB3 </w:instrText>
            </w:r>
            <w:r>
              <w:rPr>
                <w:rFonts w:ascii="宋体" w:eastAsia="宋体" w:hAnsi="宋体" w:cs="宋体" w:hint="eastAsia"/>
                <w:kern w:val="2"/>
                <w:sz w:val="24"/>
                <w:szCs w:val="24"/>
                <w:lang w:val="en-US" w:bidi="ar-SA"/>
                <w14:ligatures w14:val="standardContextual"/>
              </w:rPr>
              <w:fldChar w:fldCharType="separate"/>
            </w:r>
            <w:r>
              <w:rPr>
                <w:rFonts w:ascii="宋体" w:eastAsia="宋体" w:hAnsi="宋体" w:cs="宋体" w:hint="eastAsia"/>
                <w:noProof/>
                <w:kern w:val="2"/>
                <w:sz w:val="24"/>
                <w:szCs w:val="24"/>
                <w:lang w:val="en-US" w:bidi="ar-SA"/>
                <w14:ligatures w14:val="standardContextual"/>
              </w:rPr>
              <w:t>①</w:t>
            </w:r>
            <w:r>
              <w:rPr>
                <w:rFonts w:ascii="宋体" w:eastAsia="宋体" w:hAnsi="宋体" w:cs="宋体" w:hint="eastAsia"/>
                <w:kern w:val="2"/>
                <w:sz w:val="24"/>
                <w:szCs w:val="24"/>
                <w:lang w:val="en-US" w:bidi="ar-SA"/>
                <w14:ligatures w14:val="standardContextual"/>
              </w:rPr>
              <w:fldChar w:fldCharType="end"/>
            </w:r>
            <w:proofErr w:type="gramStart"/>
            <w:r w:rsidR="0081066E">
              <w:rPr>
                <w:rFonts w:ascii="宋体" w:eastAsia="宋体" w:hAnsi="宋体" w:cs="宋体" w:hint="eastAsia"/>
                <w:kern w:val="2"/>
                <w:sz w:val="24"/>
                <w:szCs w:val="24"/>
                <w:lang w:val="en-US" w:bidi="ar-SA"/>
                <w14:ligatures w14:val="standardContextual"/>
              </w:rPr>
              <w:t>在风控体系</w:t>
            </w:r>
            <w:proofErr w:type="gramEnd"/>
            <w:r w:rsidR="0081066E">
              <w:rPr>
                <w:rFonts w:ascii="宋体" w:eastAsia="宋体" w:hAnsi="宋体" w:cs="宋体" w:hint="eastAsia"/>
                <w:kern w:val="2"/>
                <w:sz w:val="24"/>
                <w:szCs w:val="24"/>
                <w:lang w:val="en-US" w:bidi="ar-SA"/>
                <w14:ligatures w14:val="standardContextual"/>
              </w:rPr>
              <w:t>层面，</w:t>
            </w:r>
            <w:r w:rsidR="0081066E" w:rsidRPr="00277FE6">
              <w:rPr>
                <w:rFonts w:ascii="宋体" w:eastAsia="宋体" w:hAnsi="宋体" w:cs="宋体" w:hint="eastAsia"/>
                <w:kern w:val="2"/>
                <w:sz w:val="24"/>
                <w:szCs w:val="24"/>
                <w:lang w:val="en-US" w:bidi="ar-SA"/>
                <w14:ligatures w14:val="standardContextual"/>
              </w:rPr>
              <w:t>公司根据四十多年的行业经验，将风险管控列为经营管理的第一工作并提升</w:t>
            </w:r>
            <w:proofErr w:type="gramStart"/>
            <w:r w:rsidR="0081066E" w:rsidRPr="00277FE6">
              <w:rPr>
                <w:rFonts w:ascii="宋体" w:eastAsia="宋体" w:hAnsi="宋体" w:cs="宋体" w:hint="eastAsia"/>
                <w:kern w:val="2"/>
                <w:sz w:val="24"/>
                <w:szCs w:val="24"/>
                <w:lang w:val="en-US" w:bidi="ar-SA"/>
                <w14:ligatures w14:val="standardContextual"/>
              </w:rPr>
              <w:t>至战略</w:t>
            </w:r>
            <w:proofErr w:type="gramEnd"/>
            <w:r w:rsidR="0081066E" w:rsidRPr="00277FE6">
              <w:rPr>
                <w:rFonts w:ascii="宋体" w:eastAsia="宋体" w:hAnsi="宋体" w:cs="宋体" w:hint="eastAsia"/>
                <w:kern w:val="2"/>
                <w:sz w:val="24"/>
                <w:szCs w:val="24"/>
                <w:lang w:val="en-US" w:bidi="ar-SA"/>
                <w14:ligatures w14:val="standardContextual"/>
              </w:rPr>
              <w:t>层面，</w:t>
            </w:r>
            <w:r w:rsidR="00A92B77" w:rsidRPr="00A92B77">
              <w:rPr>
                <w:rFonts w:ascii="宋体" w:eastAsia="宋体" w:hAnsi="宋体" w:cs="宋体" w:hint="eastAsia"/>
                <w:kern w:val="2"/>
                <w:sz w:val="24"/>
                <w:szCs w:val="24"/>
                <w:lang w:val="en-US" w:bidi="ar-SA"/>
                <w14:ligatures w14:val="standardContextual"/>
              </w:rPr>
              <w:t>形成了“专业化、分级化、流程化”的风险管控体系，并在总部层面组建了价格风险管理小组和国别风险管理小组</w:t>
            </w:r>
            <w:r w:rsidR="0081066E" w:rsidRPr="00277FE6">
              <w:rPr>
                <w:rFonts w:ascii="宋体" w:eastAsia="宋体" w:hAnsi="宋体" w:cs="宋体" w:hint="eastAsia"/>
                <w:kern w:val="2"/>
                <w:sz w:val="24"/>
                <w:szCs w:val="24"/>
                <w:lang w:val="en-US" w:bidi="ar-SA"/>
                <w14:ligatures w14:val="standardContextual"/>
              </w:rPr>
              <w:t>，</w:t>
            </w:r>
            <w:r w:rsidR="0081066E">
              <w:rPr>
                <w:rFonts w:ascii="宋体" w:eastAsia="宋体" w:hAnsi="宋体" w:cs="宋体" w:hint="eastAsia"/>
                <w:kern w:val="2"/>
                <w:sz w:val="24"/>
                <w:szCs w:val="24"/>
                <w:lang w:val="en-US" w:bidi="ar-SA"/>
                <w14:ligatures w14:val="standardContextual"/>
              </w:rPr>
              <w:t>从源头</w:t>
            </w:r>
            <w:r w:rsidR="0081066E" w:rsidRPr="00907A85">
              <w:rPr>
                <w:rFonts w:ascii="宋体" w:eastAsia="宋体" w:hAnsi="宋体" w:cs="宋体" w:hint="eastAsia"/>
                <w:kern w:val="2"/>
                <w:sz w:val="24"/>
                <w:szCs w:val="24"/>
                <w:lang w:val="en-US" w:bidi="ar-SA"/>
                <w14:ligatures w14:val="standardContextual"/>
              </w:rPr>
              <w:t>筑牢供应链运营业务重大风险的防控屏障</w:t>
            </w:r>
            <w:r w:rsidR="0081066E">
              <w:rPr>
                <w:rFonts w:ascii="宋体" w:eastAsia="宋体" w:hAnsi="宋体" w:cs="宋体" w:hint="eastAsia"/>
                <w:kern w:val="2"/>
                <w:sz w:val="24"/>
                <w:szCs w:val="24"/>
                <w:lang w:val="en-US" w:bidi="ar-SA"/>
                <w14:ligatures w14:val="standardContextual"/>
              </w:rPr>
              <w:t>。此外公司亦</w:t>
            </w:r>
            <w:r w:rsidR="0081066E" w:rsidRPr="00277FE6">
              <w:rPr>
                <w:rFonts w:ascii="宋体" w:eastAsia="宋体" w:hAnsi="宋体" w:cs="宋体" w:hint="eastAsia"/>
                <w:kern w:val="2"/>
                <w:sz w:val="24"/>
                <w:szCs w:val="24"/>
                <w:lang w:val="en-US" w:bidi="ar-SA"/>
                <w14:ligatures w14:val="standardContextual"/>
              </w:rPr>
              <w:t>开发了以“E风控”为代表的</w:t>
            </w:r>
            <w:proofErr w:type="gramStart"/>
            <w:r w:rsidR="0081066E" w:rsidRPr="00277FE6">
              <w:rPr>
                <w:rFonts w:ascii="宋体" w:eastAsia="宋体" w:hAnsi="宋体" w:cs="宋体" w:hint="eastAsia"/>
                <w:kern w:val="2"/>
                <w:sz w:val="24"/>
                <w:szCs w:val="24"/>
                <w:lang w:val="en-US" w:bidi="ar-SA"/>
                <w14:ligatures w14:val="standardContextual"/>
              </w:rPr>
              <w:t>智能化风控系列产品</w:t>
            </w:r>
            <w:proofErr w:type="gramEnd"/>
            <w:r w:rsidR="0081066E" w:rsidRPr="00277FE6">
              <w:rPr>
                <w:rFonts w:ascii="宋体" w:eastAsia="宋体" w:hAnsi="宋体" w:cs="宋体" w:hint="eastAsia"/>
                <w:kern w:val="2"/>
                <w:sz w:val="24"/>
                <w:szCs w:val="24"/>
                <w:lang w:val="en-US" w:bidi="ar-SA"/>
                <w14:ligatures w14:val="standardContextual"/>
              </w:rPr>
              <w:t>，</w:t>
            </w:r>
            <w:proofErr w:type="gramStart"/>
            <w:r w:rsidR="0081066E" w:rsidRPr="00277FE6">
              <w:rPr>
                <w:rFonts w:ascii="宋体" w:eastAsia="宋体" w:hAnsi="宋体" w:cs="宋体" w:hint="eastAsia"/>
                <w:kern w:val="2"/>
                <w:sz w:val="24"/>
                <w:szCs w:val="24"/>
                <w:lang w:val="en-US" w:bidi="ar-SA"/>
                <w14:ligatures w14:val="standardContextual"/>
              </w:rPr>
              <w:t>通过数智化</w:t>
            </w:r>
            <w:proofErr w:type="gramEnd"/>
            <w:r w:rsidR="0081066E" w:rsidRPr="00277FE6">
              <w:rPr>
                <w:rFonts w:ascii="宋体" w:eastAsia="宋体" w:hAnsi="宋体" w:cs="宋体" w:hint="eastAsia"/>
                <w:kern w:val="2"/>
                <w:sz w:val="24"/>
                <w:szCs w:val="24"/>
                <w:lang w:val="en-US" w:bidi="ar-SA"/>
                <w14:ligatures w14:val="standardContextual"/>
              </w:rPr>
              <w:t>风险管控体系</w:t>
            </w:r>
            <w:r w:rsidR="0081066E">
              <w:rPr>
                <w:rFonts w:ascii="宋体" w:eastAsia="宋体" w:hAnsi="宋体" w:cs="宋体" w:hint="eastAsia"/>
                <w:kern w:val="2"/>
                <w:sz w:val="24"/>
                <w:szCs w:val="24"/>
                <w:lang w:val="en-US" w:bidi="ar-SA"/>
                <w14:ligatures w14:val="standardContextual"/>
              </w:rPr>
              <w:t>积极管理商品价格、汇率以及信用风险，</w:t>
            </w:r>
            <w:r w:rsidR="0081066E" w:rsidRPr="00277FE6">
              <w:rPr>
                <w:rFonts w:ascii="宋体" w:eastAsia="宋体" w:hAnsi="宋体" w:cs="宋体" w:hint="eastAsia"/>
                <w:kern w:val="2"/>
                <w:sz w:val="24"/>
                <w:szCs w:val="24"/>
                <w:lang w:val="en-US" w:bidi="ar-SA"/>
                <w14:ligatures w14:val="standardContextual"/>
              </w:rPr>
              <w:t>赋能公司供应链运营业务稳健、高质量发展</w:t>
            </w:r>
            <w:r w:rsidR="0081066E">
              <w:rPr>
                <w:rFonts w:ascii="宋体" w:eastAsia="宋体" w:hAnsi="宋体" w:cs="宋体" w:hint="eastAsia"/>
                <w:kern w:val="2"/>
                <w:sz w:val="24"/>
                <w:szCs w:val="24"/>
                <w:lang w:val="en-US" w:bidi="ar-SA"/>
                <w14:ligatures w14:val="standardContextual"/>
              </w:rPr>
              <w:t>。</w:t>
            </w:r>
          </w:p>
          <w:p w14:paraId="4C5EB495" w14:textId="09010755" w:rsidR="009623B0" w:rsidRDefault="008F227C" w:rsidP="0081066E">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fldChar w:fldCharType="begin"/>
            </w:r>
            <w:r>
              <w:rPr>
                <w:rFonts w:ascii="宋体" w:eastAsia="宋体" w:hAnsi="宋体" w:cs="宋体" w:hint="eastAsia"/>
                <w:kern w:val="2"/>
                <w:sz w:val="24"/>
                <w:szCs w:val="24"/>
                <w:lang w:val="en-US" w:bidi="ar-SA"/>
                <w14:ligatures w14:val="standardContextual"/>
              </w:rPr>
              <w:instrText xml:space="preserve"> = 2 \* GB3 </w:instrText>
            </w:r>
            <w:r>
              <w:rPr>
                <w:rFonts w:ascii="宋体" w:eastAsia="宋体" w:hAnsi="宋体" w:cs="宋体" w:hint="eastAsia"/>
                <w:kern w:val="2"/>
                <w:sz w:val="24"/>
                <w:szCs w:val="24"/>
                <w:lang w:val="en-US" w:bidi="ar-SA"/>
                <w14:ligatures w14:val="standardContextual"/>
              </w:rPr>
              <w:fldChar w:fldCharType="separate"/>
            </w:r>
            <w:r>
              <w:rPr>
                <w:rFonts w:ascii="宋体" w:eastAsia="宋体" w:hAnsi="宋体" w:cs="宋体" w:hint="eastAsia"/>
                <w:noProof/>
                <w:kern w:val="2"/>
                <w:sz w:val="24"/>
                <w:szCs w:val="24"/>
                <w:lang w:val="en-US" w:bidi="ar-SA"/>
                <w14:ligatures w14:val="standardContextual"/>
              </w:rPr>
              <w:t>②</w:t>
            </w:r>
            <w:r>
              <w:rPr>
                <w:rFonts w:ascii="宋体" w:eastAsia="宋体" w:hAnsi="宋体" w:cs="宋体" w:hint="eastAsia"/>
                <w:kern w:val="2"/>
                <w:sz w:val="24"/>
                <w:szCs w:val="24"/>
                <w:lang w:val="en-US" w:bidi="ar-SA"/>
                <w14:ligatures w14:val="standardContextual"/>
              </w:rPr>
              <w:fldChar w:fldCharType="end"/>
            </w:r>
            <w:r>
              <w:rPr>
                <w:rFonts w:ascii="宋体" w:eastAsia="宋体" w:hAnsi="宋体" w:cs="宋体" w:hint="eastAsia"/>
                <w:kern w:val="2"/>
                <w:sz w:val="24"/>
                <w:szCs w:val="24"/>
                <w:lang w:val="en-US" w:bidi="ar-SA"/>
                <w14:ligatures w14:val="standardContextual"/>
              </w:rPr>
              <w:t>在业务布局层面，</w:t>
            </w:r>
            <w:r w:rsidR="003460E3">
              <w:rPr>
                <w:rFonts w:ascii="宋体" w:eastAsia="宋体" w:hAnsi="宋体" w:cs="宋体" w:hint="eastAsia"/>
                <w:kern w:val="2"/>
                <w:sz w:val="24"/>
                <w:szCs w:val="24"/>
                <w:lang w:val="en-US" w:bidi="ar-SA"/>
                <w14:ligatures w14:val="standardContextual"/>
              </w:rPr>
              <w:t>公司</w:t>
            </w:r>
            <w:r w:rsidR="00AC12B8">
              <w:rPr>
                <w:rFonts w:ascii="宋体" w:eastAsia="宋体" w:hAnsi="宋体" w:cs="宋体" w:hint="eastAsia"/>
                <w:kern w:val="2"/>
                <w:sz w:val="24"/>
                <w:szCs w:val="24"/>
                <w:lang w:val="en-US" w:bidi="ar-SA"/>
                <w14:ligatures w14:val="standardContextual"/>
              </w:rPr>
              <w:t>已逐步构建起</w:t>
            </w:r>
            <w:r w:rsidR="00AC12B8" w:rsidRPr="00AC12B8">
              <w:rPr>
                <w:rFonts w:ascii="宋体" w:eastAsia="宋体" w:hAnsi="宋体" w:cs="宋体" w:hint="eastAsia"/>
                <w:kern w:val="2"/>
                <w:sz w:val="24"/>
                <w:szCs w:val="24"/>
                <w:lang w:val="en-US" w:bidi="ar-SA"/>
                <w14:ligatures w14:val="standardContextual"/>
              </w:rPr>
              <w:t>全球化的</w:t>
            </w:r>
            <w:r w:rsidR="0095296E">
              <w:rPr>
                <w:rFonts w:ascii="宋体" w:eastAsia="宋体" w:hAnsi="宋体" w:cs="宋体" w:hint="eastAsia"/>
                <w:kern w:val="2"/>
                <w:sz w:val="24"/>
                <w:szCs w:val="24"/>
                <w:lang w:val="en-US" w:bidi="ar-SA"/>
                <w14:ligatures w14:val="standardContextual"/>
              </w:rPr>
              <w:t>采购渠道与销售网络</w:t>
            </w:r>
            <w:r w:rsidR="00AC12B8">
              <w:rPr>
                <w:rFonts w:ascii="宋体" w:eastAsia="宋体" w:hAnsi="宋体" w:cs="宋体" w:hint="eastAsia"/>
                <w:kern w:val="2"/>
                <w:sz w:val="24"/>
                <w:szCs w:val="24"/>
                <w:lang w:val="en-US" w:bidi="ar-SA"/>
                <w14:ligatures w14:val="standardContextual"/>
              </w:rPr>
              <w:t>，</w:t>
            </w:r>
            <w:r w:rsidRPr="008F227C">
              <w:rPr>
                <w:rFonts w:ascii="宋体" w:eastAsia="宋体" w:hAnsi="宋体" w:cs="宋体" w:hint="eastAsia"/>
                <w:kern w:val="2"/>
                <w:sz w:val="24"/>
                <w:szCs w:val="24"/>
                <w:lang w:val="en-US" w:bidi="ar-SA"/>
                <w14:ligatures w14:val="standardContextual"/>
              </w:rPr>
              <w:t>供应链</w:t>
            </w:r>
            <w:r>
              <w:rPr>
                <w:rFonts w:ascii="宋体" w:eastAsia="宋体" w:hAnsi="宋体" w:cs="宋体" w:hint="eastAsia"/>
                <w:kern w:val="2"/>
                <w:sz w:val="24"/>
                <w:szCs w:val="24"/>
                <w:lang w:val="en-US" w:bidi="ar-SA"/>
                <w14:ligatures w14:val="standardContextual"/>
              </w:rPr>
              <w:t>运营</w:t>
            </w:r>
            <w:r w:rsidRPr="008F227C">
              <w:rPr>
                <w:rFonts w:ascii="宋体" w:eastAsia="宋体" w:hAnsi="宋体" w:cs="宋体" w:hint="eastAsia"/>
                <w:kern w:val="2"/>
                <w:sz w:val="24"/>
                <w:szCs w:val="24"/>
                <w:lang w:val="en-US" w:bidi="ar-SA"/>
                <w14:ligatures w14:val="standardContextual"/>
              </w:rPr>
              <w:t>服务</w:t>
            </w:r>
            <w:r w:rsidR="0095296E">
              <w:rPr>
                <w:rFonts w:ascii="宋体" w:eastAsia="宋体" w:hAnsi="宋体" w:cs="宋体" w:hint="eastAsia"/>
                <w:kern w:val="2"/>
                <w:sz w:val="24"/>
                <w:szCs w:val="24"/>
                <w:lang w:val="en-US" w:bidi="ar-SA"/>
                <w14:ligatures w14:val="standardContextual"/>
              </w:rPr>
              <w:t>体系</w:t>
            </w:r>
            <w:r w:rsidRPr="008F227C">
              <w:rPr>
                <w:rFonts w:ascii="宋体" w:eastAsia="宋体" w:hAnsi="宋体" w:cs="宋体" w:hint="eastAsia"/>
                <w:kern w:val="2"/>
                <w:sz w:val="24"/>
                <w:szCs w:val="24"/>
                <w:lang w:val="en-US" w:bidi="ar-SA"/>
                <w14:ligatures w14:val="standardContextual"/>
              </w:rPr>
              <w:t>辐射</w:t>
            </w:r>
            <w:proofErr w:type="gramStart"/>
            <w:r w:rsidRPr="008F227C">
              <w:rPr>
                <w:rFonts w:ascii="宋体" w:eastAsia="宋体" w:hAnsi="宋体" w:cs="宋体" w:hint="eastAsia"/>
                <w:kern w:val="2"/>
                <w:sz w:val="24"/>
                <w:szCs w:val="24"/>
                <w:lang w:val="en-US" w:bidi="ar-SA"/>
                <w14:ligatures w14:val="standardContextual"/>
              </w:rPr>
              <w:t>全球超</w:t>
            </w:r>
            <w:proofErr w:type="gramEnd"/>
            <w:r w:rsidRPr="008F227C">
              <w:rPr>
                <w:rFonts w:ascii="宋体" w:eastAsia="宋体" w:hAnsi="宋体" w:cs="宋体" w:hint="eastAsia"/>
                <w:kern w:val="2"/>
                <w:sz w:val="24"/>
                <w:szCs w:val="24"/>
                <w:lang w:val="en-US" w:bidi="ar-SA"/>
                <w14:ligatures w14:val="standardContextual"/>
              </w:rPr>
              <w:t>170个国家和地区，近5年内签约合作的境外供应商和客户数量超过2万家</w:t>
            </w:r>
            <w:r w:rsidR="00AC12B8">
              <w:rPr>
                <w:rFonts w:ascii="宋体" w:eastAsia="宋体" w:hAnsi="宋体" w:cs="宋体" w:hint="eastAsia"/>
                <w:kern w:val="2"/>
                <w:sz w:val="24"/>
                <w:szCs w:val="24"/>
                <w:lang w:val="en-US" w:bidi="ar-SA"/>
                <w14:ligatures w14:val="standardContextual"/>
              </w:rPr>
              <w:t>。</w:t>
            </w:r>
            <w:r w:rsidR="003460E3">
              <w:rPr>
                <w:rFonts w:ascii="宋体" w:eastAsia="宋体" w:hAnsi="宋体" w:cs="宋体" w:hint="eastAsia"/>
                <w:kern w:val="2"/>
                <w:sz w:val="24"/>
                <w:szCs w:val="24"/>
                <w:lang w:val="en-US" w:bidi="ar-SA"/>
                <w14:ligatures w14:val="standardContextual"/>
              </w:rPr>
              <w:t>近年来公司持续优化国际化业务结构</w:t>
            </w:r>
            <w:r w:rsidR="00135DF5">
              <w:rPr>
                <w:rFonts w:ascii="宋体" w:eastAsia="宋体" w:hAnsi="宋体" w:cs="宋体" w:hint="eastAsia"/>
                <w:kern w:val="2"/>
                <w:sz w:val="24"/>
                <w:szCs w:val="24"/>
                <w:lang w:val="en-US" w:bidi="ar-SA"/>
                <w14:ligatures w14:val="standardContextual"/>
              </w:rPr>
              <w:t>：</w:t>
            </w:r>
            <w:r w:rsidR="00383521">
              <w:rPr>
                <w:rFonts w:ascii="宋体" w:eastAsia="宋体" w:hAnsi="宋体" w:cs="宋体" w:hint="eastAsia"/>
                <w:kern w:val="2"/>
                <w:sz w:val="24"/>
                <w:szCs w:val="24"/>
                <w:lang w:val="en-US" w:bidi="ar-SA"/>
                <w14:ligatures w14:val="standardContextual"/>
              </w:rPr>
              <w:t>在销售端，公司在</w:t>
            </w:r>
            <w:r w:rsidR="00383521" w:rsidRPr="00383521">
              <w:rPr>
                <w:rFonts w:ascii="宋体" w:eastAsia="宋体" w:hAnsi="宋体" w:cs="宋体" w:hint="eastAsia"/>
                <w:kern w:val="2"/>
                <w:sz w:val="24"/>
                <w:szCs w:val="24"/>
                <w:lang w:val="en-US" w:bidi="ar-SA"/>
                <w14:ligatures w14:val="standardContextual"/>
              </w:rPr>
              <w:t>“一带一路”沿线国家、非洲以及中东欧国家的</w:t>
            </w:r>
            <w:r w:rsidR="00383521">
              <w:rPr>
                <w:rFonts w:ascii="宋体" w:eastAsia="宋体" w:hAnsi="宋体" w:cs="宋体" w:hint="eastAsia"/>
                <w:kern w:val="2"/>
                <w:sz w:val="24"/>
                <w:szCs w:val="24"/>
                <w:lang w:val="en-US" w:bidi="ar-SA"/>
                <w14:ligatures w14:val="standardContextual"/>
              </w:rPr>
              <w:t>业务规模</w:t>
            </w:r>
            <w:r w:rsidR="000938F1">
              <w:rPr>
                <w:rFonts w:ascii="宋体" w:eastAsia="宋体" w:hAnsi="宋体" w:cs="宋体" w:hint="eastAsia"/>
                <w:kern w:val="2"/>
                <w:sz w:val="24"/>
                <w:szCs w:val="24"/>
                <w:lang w:val="en-US" w:bidi="ar-SA"/>
                <w14:ligatures w14:val="standardContextual"/>
              </w:rPr>
              <w:t>稳步</w:t>
            </w:r>
            <w:r w:rsidR="00383521">
              <w:rPr>
                <w:rFonts w:ascii="宋体" w:eastAsia="宋体" w:hAnsi="宋体" w:cs="宋体" w:hint="eastAsia"/>
                <w:kern w:val="2"/>
                <w:sz w:val="24"/>
                <w:szCs w:val="24"/>
                <w:lang w:val="en-US" w:bidi="ar-SA"/>
                <w14:ligatures w14:val="standardContextual"/>
              </w:rPr>
              <w:t>提升；在采购端，公司</w:t>
            </w:r>
            <w:r w:rsidR="00383521" w:rsidRPr="00383521">
              <w:rPr>
                <w:rFonts w:ascii="宋体" w:eastAsia="宋体" w:hAnsi="宋体" w:cs="宋体" w:hint="eastAsia"/>
                <w:kern w:val="2"/>
                <w:sz w:val="24"/>
                <w:szCs w:val="24"/>
                <w:lang w:val="en-US" w:bidi="ar-SA"/>
                <w14:ligatures w14:val="standardContextual"/>
              </w:rPr>
              <w:t>深入海外资源上游产区，加大</w:t>
            </w:r>
            <w:r w:rsidR="00383521" w:rsidRPr="00383521">
              <w:rPr>
                <w:rFonts w:ascii="宋体" w:eastAsia="宋体" w:hAnsi="宋体" w:cs="宋体" w:hint="eastAsia"/>
                <w:kern w:val="2"/>
                <w:sz w:val="24"/>
                <w:szCs w:val="24"/>
                <w:lang w:val="en-US" w:bidi="ar-SA"/>
                <w14:ligatures w14:val="standardContextual"/>
              </w:rPr>
              <w:lastRenderedPageBreak/>
              <w:t>南美、</w:t>
            </w:r>
            <w:r w:rsidR="00383521" w:rsidRPr="00D16968">
              <w:rPr>
                <w:rFonts w:ascii="宋体" w:eastAsia="宋体" w:hAnsi="宋体" w:cs="宋体" w:hint="eastAsia"/>
                <w:kern w:val="2"/>
                <w:sz w:val="24"/>
                <w:szCs w:val="24"/>
                <w:lang w:val="en-US" w:bidi="ar-SA"/>
                <w14:ligatures w14:val="standardContextual"/>
              </w:rPr>
              <w:t>黑海、</w:t>
            </w:r>
            <w:r w:rsidR="00383521" w:rsidRPr="00152300">
              <w:rPr>
                <w:rFonts w:ascii="宋体" w:eastAsia="宋体" w:hAnsi="宋体" w:cs="宋体" w:hint="eastAsia"/>
                <w:kern w:val="2"/>
                <w:sz w:val="24"/>
                <w:szCs w:val="24"/>
                <w:lang w:val="en-US" w:bidi="ar-SA"/>
                <w14:ligatures w14:val="standardContextual"/>
              </w:rPr>
              <w:t>欧洲</w:t>
            </w:r>
            <w:r w:rsidR="00383521" w:rsidRPr="00D16968">
              <w:rPr>
                <w:rFonts w:ascii="宋体" w:eastAsia="宋体" w:hAnsi="宋体" w:cs="宋体" w:hint="eastAsia"/>
                <w:kern w:val="2"/>
                <w:sz w:val="24"/>
                <w:szCs w:val="24"/>
                <w:lang w:val="en-US" w:bidi="ar-SA"/>
                <w14:ligatures w14:val="standardContextual"/>
              </w:rPr>
              <w:t>、非洲等</w:t>
            </w:r>
            <w:r w:rsidR="00383521" w:rsidRPr="00383521">
              <w:rPr>
                <w:rFonts w:ascii="宋体" w:eastAsia="宋体" w:hAnsi="宋体" w:cs="宋体" w:hint="eastAsia"/>
                <w:kern w:val="2"/>
                <w:sz w:val="24"/>
                <w:szCs w:val="24"/>
                <w:lang w:val="en-US" w:bidi="ar-SA"/>
                <w14:ligatures w14:val="standardContextual"/>
              </w:rPr>
              <w:t>地区</w:t>
            </w:r>
            <w:r w:rsidR="00383521">
              <w:rPr>
                <w:rFonts w:ascii="宋体" w:eastAsia="宋体" w:hAnsi="宋体" w:cs="宋体" w:hint="eastAsia"/>
                <w:kern w:val="2"/>
                <w:sz w:val="24"/>
                <w:szCs w:val="24"/>
                <w:lang w:val="en-US" w:bidi="ar-SA"/>
                <w14:ligatures w14:val="standardContextual"/>
              </w:rPr>
              <w:t>优质资源开发，</w:t>
            </w:r>
            <w:r w:rsidR="00383521" w:rsidRPr="00383521">
              <w:rPr>
                <w:rFonts w:ascii="宋体" w:eastAsia="宋体" w:hAnsi="宋体" w:cs="宋体" w:hint="eastAsia"/>
                <w:kern w:val="2"/>
                <w:sz w:val="24"/>
                <w:szCs w:val="24"/>
                <w:lang w:val="en-US" w:bidi="ar-SA"/>
                <w14:ligatures w14:val="standardContextual"/>
              </w:rPr>
              <w:t>提升关键资源供应来源多元化，确保优质资源稳定供应</w:t>
            </w:r>
            <w:r w:rsidR="00383521">
              <w:rPr>
                <w:rFonts w:ascii="宋体" w:eastAsia="宋体" w:hAnsi="宋体" w:cs="宋体" w:hint="eastAsia"/>
                <w:kern w:val="2"/>
                <w:sz w:val="24"/>
                <w:szCs w:val="24"/>
                <w:lang w:val="en-US" w:bidi="ar-SA"/>
                <w14:ligatures w14:val="standardContextual"/>
              </w:rPr>
              <w:t>。</w:t>
            </w:r>
          </w:p>
          <w:p w14:paraId="438E0421" w14:textId="77777777" w:rsidR="009247F5" w:rsidRDefault="009247F5" w:rsidP="009247F5">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4C03800F" w14:textId="09354CEB" w:rsidR="00716EE9" w:rsidRPr="00152300" w:rsidRDefault="00E51C25" w:rsidP="009247F5">
            <w:pPr>
              <w:autoSpaceDE/>
              <w:autoSpaceDN/>
              <w:spacing w:line="360" w:lineRule="auto"/>
              <w:jc w:val="both"/>
              <w:rPr>
                <w:rFonts w:ascii="宋体" w:eastAsia="宋体" w:hAnsi="宋体" w:cs="宋体" w:hint="eastAsia"/>
                <w:b/>
                <w:bCs/>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4</w:t>
            </w:r>
            <w:r w:rsidR="00716EE9" w:rsidRPr="00152300">
              <w:rPr>
                <w:rFonts w:ascii="宋体" w:eastAsia="宋体" w:hAnsi="宋体" w:cs="宋体" w:hint="eastAsia"/>
                <w:b/>
                <w:bCs/>
                <w:kern w:val="2"/>
                <w:sz w:val="24"/>
                <w:szCs w:val="24"/>
                <w:lang w:val="en-US" w:bidi="ar-SA"/>
                <w14:ligatures w14:val="standardContextual"/>
              </w:rPr>
              <w:t>.AI等技术蓬勃发展，公司如何利用AI赋能供应链运营业务，实现效率提升与价值创造？</w:t>
            </w:r>
          </w:p>
          <w:p w14:paraId="3D163FBB" w14:textId="230590D4" w:rsidR="00716EE9" w:rsidRDefault="00716EE9" w:rsidP="009247F5">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w:t>
            </w:r>
            <w:r w:rsidR="003D1975">
              <w:rPr>
                <w:rFonts w:ascii="宋体" w:eastAsia="宋体" w:hAnsi="宋体" w:cs="宋体" w:hint="eastAsia"/>
                <w:kern w:val="2"/>
                <w:sz w:val="24"/>
                <w:szCs w:val="24"/>
                <w:lang w:val="en-US" w:bidi="ar-SA"/>
                <w14:ligatures w14:val="standardContextual"/>
              </w:rPr>
              <w:t>在信息化高速发展的背景下，供应链运营</w:t>
            </w:r>
            <w:proofErr w:type="gramStart"/>
            <w:r w:rsidR="003D1975">
              <w:rPr>
                <w:rFonts w:ascii="宋体" w:eastAsia="宋体" w:hAnsi="宋体" w:cs="宋体" w:hint="eastAsia"/>
                <w:kern w:val="2"/>
                <w:sz w:val="24"/>
                <w:szCs w:val="24"/>
                <w:lang w:val="en-US" w:bidi="ar-SA"/>
                <w14:ligatures w14:val="standardContextual"/>
              </w:rPr>
              <w:t>企业数智化</w:t>
            </w:r>
            <w:proofErr w:type="gramEnd"/>
            <w:r w:rsidR="003D1975">
              <w:rPr>
                <w:rFonts w:ascii="宋体" w:eastAsia="宋体" w:hAnsi="宋体" w:cs="宋体" w:hint="eastAsia"/>
                <w:kern w:val="2"/>
                <w:sz w:val="24"/>
                <w:szCs w:val="24"/>
                <w:lang w:val="en-US" w:bidi="ar-SA"/>
                <w14:ligatures w14:val="standardContextual"/>
              </w:rPr>
              <w:t>转型的重要性进一步凸显。</w:t>
            </w:r>
            <w:r w:rsidR="003D1975" w:rsidRPr="003D1975">
              <w:rPr>
                <w:rFonts w:ascii="宋体" w:eastAsia="宋体" w:hAnsi="宋体" w:cs="宋体" w:hint="eastAsia"/>
                <w:kern w:val="2"/>
                <w:sz w:val="24"/>
                <w:szCs w:val="24"/>
                <w:lang w:val="en-US" w:bidi="ar-SA"/>
                <w14:ligatures w14:val="standardContextual"/>
              </w:rPr>
              <w:t>2025年3月商务部等8部门联合印发了《加快数智供应链发展专项行动计划》，提出要运用人工智能、物联网、区块链等新技术，“一链</w:t>
            </w:r>
            <w:proofErr w:type="gramStart"/>
            <w:r w:rsidR="003D1975" w:rsidRPr="003D1975">
              <w:rPr>
                <w:rFonts w:ascii="宋体" w:eastAsia="宋体" w:hAnsi="宋体" w:cs="宋体" w:hint="eastAsia"/>
                <w:kern w:val="2"/>
                <w:sz w:val="24"/>
                <w:szCs w:val="24"/>
                <w:lang w:val="en-US" w:bidi="ar-SA"/>
                <w14:ligatures w14:val="standardContextual"/>
              </w:rPr>
              <w:t>一</w:t>
            </w:r>
            <w:proofErr w:type="gramEnd"/>
            <w:r w:rsidR="003D1975" w:rsidRPr="003D1975">
              <w:rPr>
                <w:rFonts w:ascii="宋体" w:eastAsia="宋体" w:hAnsi="宋体" w:cs="宋体" w:hint="eastAsia"/>
                <w:kern w:val="2"/>
                <w:sz w:val="24"/>
                <w:szCs w:val="24"/>
                <w:lang w:val="en-US" w:bidi="ar-SA"/>
                <w14:ligatures w14:val="standardContextual"/>
              </w:rPr>
              <w:t>策”推进供应链数字化、智能化、可视化改造，到2030年，形成可复制推广的</w:t>
            </w:r>
            <w:proofErr w:type="gramStart"/>
            <w:r w:rsidR="003D1975" w:rsidRPr="003D1975">
              <w:rPr>
                <w:rFonts w:ascii="宋体" w:eastAsia="宋体" w:hAnsi="宋体" w:cs="宋体" w:hint="eastAsia"/>
                <w:kern w:val="2"/>
                <w:sz w:val="24"/>
                <w:szCs w:val="24"/>
                <w:lang w:val="en-US" w:bidi="ar-SA"/>
                <w14:ligatures w14:val="standardContextual"/>
              </w:rPr>
              <w:t>数智供应</w:t>
            </w:r>
            <w:proofErr w:type="gramEnd"/>
            <w:r w:rsidR="003D1975" w:rsidRPr="003D1975">
              <w:rPr>
                <w:rFonts w:ascii="宋体" w:eastAsia="宋体" w:hAnsi="宋体" w:cs="宋体" w:hint="eastAsia"/>
                <w:kern w:val="2"/>
                <w:sz w:val="24"/>
                <w:szCs w:val="24"/>
                <w:lang w:val="en-US" w:bidi="ar-SA"/>
                <w14:ligatures w14:val="standardContextual"/>
              </w:rPr>
              <w:t>链建设和发展模式，在重要产业和关键领域基本建立深度嵌入、智慧高效、自主可控的</w:t>
            </w:r>
            <w:proofErr w:type="gramStart"/>
            <w:r w:rsidR="003D1975" w:rsidRPr="003D1975">
              <w:rPr>
                <w:rFonts w:ascii="宋体" w:eastAsia="宋体" w:hAnsi="宋体" w:cs="宋体" w:hint="eastAsia"/>
                <w:kern w:val="2"/>
                <w:sz w:val="24"/>
                <w:szCs w:val="24"/>
                <w:lang w:val="en-US" w:bidi="ar-SA"/>
                <w14:ligatures w14:val="standardContextual"/>
              </w:rPr>
              <w:t>数智供应</w:t>
            </w:r>
            <w:proofErr w:type="gramEnd"/>
            <w:r w:rsidR="003D1975" w:rsidRPr="003D1975">
              <w:rPr>
                <w:rFonts w:ascii="宋体" w:eastAsia="宋体" w:hAnsi="宋体" w:cs="宋体" w:hint="eastAsia"/>
                <w:kern w:val="2"/>
                <w:sz w:val="24"/>
                <w:szCs w:val="24"/>
                <w:lang w:val="en-US" w:bidi="ar-SA"/>
                <w14:ligatures w14:val="standardContextual"/>
              </w:rPr>
              <w:t>链体系，培育100家左右全国</w:t>
            </w:r>
            <w:proofErr w:type="gramStart"/>
            <w:r w:rsidR="003D1975" w:rsidRPr="003D1975">
              <w:rPr>
                <w:rFonts w:ascii="宋体" w:eastAsia="宋体" w:hAnsi="宋体" w:cs="宋体" w:hint="eastAsia"/>
                <w:kern w:val="2"/>
                <w:sz w:val="24"/>
                <w:szCs w:val="24"/>
                <w:lang w:val="en-US" w:bidi="ar-SA"/>
                <w14:ligatures w14:val="standardContextual"/>
              </w:rPr>
              <w:t>数智供应</w:t>
            </w:r>
            <w:proofErr w:type="gramEnd"/>
            <w:r w:rsidR="003D1975" w:rsidRPr="003D1975">
              <w:rPr>
                <w:rFonts w:ascii="宋体" w:eastAsia="宋体" w:hAnsi="宋体" w:cs="宋体" w:hint="eastAsia"/>
                <w:kern w:val="2"/>
                <w:sz w:val="24"/>
                <w:szCs w:val="24"/>
                <w:lang w:val="en-US" w:bidi="ar-SA"/>
                <w14:ligatures w14:val="standardContextual"/>
              </w:rPr>
              <w:t>链领军企业，进一步提升国家产业</w:t>
            </w:r>
            <w:proofErr w:type="gramStart"/>
            <w:r w:rsidR="003D1975" w:rsidRPr="003D1975">
              <w:rPr>
                <w:rFonts w:ascii="宋体" w:eastAsia="宋体" w:hAnsi="宋体" w:cs="宋体" w:hint="eastAsia"/>
                <w:kern w:val="2"/>
                <w:sz w:val="24"/>
                <w:szCs w:val="24"/>
                <w:lang w:val="en-US" w:bidi="ar-SA"/>
                <w14:ligatures w14:val="standardContextual"/>
              </w:rPr>
              <w:t>链供应</w:t>
            </w:r>
            <w:proofErr w:type="gramEnd"/>
            <w:r w:rsidR="003D1975" w:rsidRPr="003D1975">
              <w:rPr>
                <w:rFonts w:ascii="宋体" w:eastAsia="宋体" w:hAnsi="宋体" w:cs="宋体" w:hint="eastAsia"/>
                <w:kern w:val="2"/>
                <w:sz w:val="24"/>
                <w:szCs w:val="24"/>
                <w:lang w:val="en-US" w:bidi="ar-SA"/>
                <w14:ligatures w14:val="standardContextual"/>
              </w:rPr>
              <w:t>链韧性和安全水平。</w:t>
            </w:r>
          </w:p>
          <w:p w14:paraId="06C87E94" w14:textId="46571BCF" w:rsidR="00716EE9" w:rsidRDefault="003D1975" w:rsidP="00152300">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在技术发展以及相关政策的推动下，</w:t>
            </w:r>
            <w:r w:rsidR="00716EE9" w:rsidRPr="00716EE9">
              <w:rPr>
                <w:rFonts w:ascii="宋体" w:eastAsia="宋体" w:hAnsi="宋体" w:cs="宋体" w:hint="eastAsia"/>
                <w:kern w:val="2"/>
                <w:sz w:val="24"/>
                <w:szCs w:val="24"/>
                <w:lang w:val="en-US" w:bidi="ar-SA"/>
                <w14:ligatures w14:val="standardContextual"/>
              </w:rPr>
              <w:t>建发股份打牢数字化基础，持续探索开拓智能化路径，推动供应链运营</w:t>
            </w:r>
            <w:proofErr w:type="gramStart"/>
            <w:r w:rsidR="00716EE9" w:rsidRPr="00716EE9">
              <w:rPr>
                <w:rFonts w:ascii="宋体" w:eastAsia="宋体" w:hAnsi="宋体" w:cs="宋体" w:hint="eastAsia"/>
                <w:kern w:val="2"/>
                <w:sz w:val="24"/>
                <w:szCs w:val="24"/>
                <w:lang w:val="en-US" w:bidi="ar-SA"/>
                <w14:ligatures w14:val="standardContextual"/>
              </w:rPr>
              <w:t>迈向数智化</w:t>
            </w:r>
            <w:proofErr w:type="gramEnd"/>
            <w:r w:rsidR="00716EE9" w:rsidRPr="00716EE9">
              <w:rPr>
                <w:rFonts w:ascii="宋体" w:eastAsia="宋体" w:hAnsi="宋体" w:cs="宋体" w:hint="eastAsia"/>
                <w:kern w:val="2"/>
                <w:sz w:val="24"/>
                <w:szCs w:val="24"/>
                <w:lang w:val="en-US" w:bidi="ar-SA"/>
                <w14:ligatures w14:val="standardContextual"/>
              </w:rPr>
              <w:t>。</w:t>
            </w:r>
            <w:r w:rsidR="00D75AF6">
              <w:rPr>
                <w:rFonts w:ascii="宋体" w:eastAsia="宋体" w:hAnsi="宋体" w:cs="宋体" w:hint="eastAsia"/>
                <w:kern w:val="2"/>
                <w:sz w:val="24"/>
                <w:szCs w:val="24"/>
                <w:lang w:val="en-US" w:bidi="ar-SA"/>
                <w14:ligatures w14:val="standardContextual"/>
              </w:rPr>
              <w:t>经过数年沉淀，公司已</w:t>
            </w:r>
            <w:proofErr w:type="gramStart"/>
            <w:r w:rsidR="00D75AF6">
              <w:rPr>
                <w:rFonts w:ascii="宋体" w:eastAsia="宋体" w:hAnsi="宋体" w:cs="宋体" w:hint="eastAsia"/>
                <w:kern w:val="2"/>
                <w:sz w:val="24"/>
                <w:szCs w:val="24"/>
                <w:lang w:val="en-US" w:bidi="ar-SA"/>
                <w14:ligatures w14:val="standardContextual"/>
              </w:rPr>
              <w:t>将数智化</w:t>
            </w:r>
            <w:proofErr w:type="gramEnd"/>
            <w:r w:rsidR="00D75AF6">
              <w:rPr>
                <w:rFonts w:ascii="宋体" w:eastAsia="宋体" w:hAnsi="宋体" w:cs="宋体" w:hint="eastAsia"/>
                <w:kern w:val="2"/>
                <w:sz w:val="24"/>
                <w:szCs w:val="24"/>
                <w:lang w:val="en-US" w:bidi="ar-SA"/>
                <w14:ligatures w14:val="standardContextual"/>
              </w:rPr>
              <w:t>技术</w:t>
            </w:r>
            <w:r w:rsidR="00A44085">
              <w:rPr>
                <w:rFonts w:ascii="宋体" w:eastAsia="宋体" w:hAnsi="宋体" w:cs="宋体" w:hint="eastAsia"/>
                <w:kern w:val="2"/>
                <w:sz w:val="24"/>
                <w:szCs w:val="24"/>
                <w:lang w:val="en-US" w:bidi="ar-SA"/>
                <w14:ligatures w14:val="standardContextual"/>
              </w:rPr>
              <w:t>深入</w:t>
            </w:r>
            <w:r w:rsidR="00D75AF6">
              <w:rPr>
                <w:rFonts w:ascii="宋体" w:eastAsia="宋体" w:hAnsi="宋体" w:cs="宋体" w:hint="eastAsia"/>
                <w:kern w:val="2"/>
                <w:sz w:val="24"/>
                <w:szCs w:val="24"/>
                <w:lang w:val="en-US" w:bidi="ar-SA"/>
                <w14:ligatures w14:val="standardContextual"/>
              </w:rPr>
              <w:t>应用于</w:t>
            </w:r>
            <w:r w:rsidR="00D75AF6" w:rsidRPr="00D75AF6">
              <w:rPr>
                <w:rFonts w:ascii="宋体" w:eastAsia="宋体" w:hAnsi="宋体" w:cs="宋体" w:hint="eastAsia"/>
                <w:kern w:val="2"/>
                <w:sz w:val="24"/>
                <w:szCs w:val="24"/>
                <w:lang w:val="en-US" w:bidi="ar-SA"/>
                <w14:ligatures w14:val="standardContextual"/>
              </w:rPr>
              <w:t>产业链生态圈</w:t>
            </w:r>
            <w:r w:rsidR="00D75AF6">
              <w:rPr>
                <w:rFonts w:ascii="宋体" w:eastAsia="宋体" w:hAnsi="宋体" w:cs="宋体" w:hint="eastAsia"/>
                <w:kern w:val="2"/>
                <w:sz w:val="24"/>
                <w:szCs w:val="24"/>
                <w:lang w:val="en-US" w:bidi="ar-SA"/>
                <w14:ligatures w14:val="standardContextual"/>
              </w:rPr>
              <w:t>构建、</w:t>
            </w:r>
            <w:proofErr w:type="gramStart"/>
            <w:r w:rsidR="00D75AF6">
              <w:rPr>
                <w:rFonts w:ascii="宋体" w:eastAsia="宋体" w:hAnsi="宋体" w:cs="宋体" w:hint="eastAsia"/>
                <w:kern w:val="2"/>
                <w:sz w:val="24"/>
                <w:szCs w:val="24"/>
                <w:lang w:val="en-US" w:bidi="ar-SA"/>
                <w14:ligatures w14:val="standardContextual"/>
              </w:rPr>
              <w:t>风控体系</w:t>
            </w:r>
            <w:proofErr w:type="gramEnd"/>
            <w:r w:rsidR="00D75AF6">
              <w:rPr>
                <w:rFonts w:ascii="宋体" w:eastAsia="宋体" w:hAnsi="宋体" w:cs="宋体" w:hint="eastAsia"/>
                <w:kern w:val="2"/>
                <w:sz w:val="24"/>
                <w:szCs w:val="24"/>
                <w:lang w:val="en-US" w:bidi="ar-SA"/>
                <w14:ligatures w14:val="standardContextual"/>
              </w:rPr>
              <w:t>建设以及日常经营管理活动中</w:t>
            </w:r>
            <w:r w:rsidR="008749C1" w:rsidRPr="001901BA">
              <w:rPr>
                <w:rFonts w:ascii="宋体" w:eastAsia="宋体" w:hAnsi="宋体" w:cs="宋体" w:hint="eastAsia"/>
                <w:kern w:val="2"/>
                <w:sz w:val="24"/>
                <w:szCs w:val="24"/>
                <w:lang w:val="en-US" w:bidi="ar-SA"/>
                <w14:ligatures w14:val="standardContextual"/>
              </w:rPr>
              <w:t>。未来</w:t>
            </w:r>
            <w:r w:rsidR="004E4731" w:rsidRPr="001901BA">
              <w:rPr>
                <w:rFonts w:ascii="宋体" w:eastAsia="宋体" w:hAnsi="宋体" w:cs="宋体" w:hint="eastAsia"/>
                <w:kern w:val="2"/>
                <w:sz w:val="24"/>
                <w:szCs w:val="24"/>
                <w:lang w:val="en-US" w:bidi="ar-SA"/>
                <w14:ligatures w14:val="standardContextual"/>
              </w:rPr>
              <w:t>公司亦</w:t>
            </w:r>
            <w:r w:rsidR="00D75AF6" w:rsidRPr="001901BA">
              <w:rPr>
                <w:rFonts w:ascii="宋体" w:eastAsia="宋体" w:hAnsi="宋体" w:cs="宋体" w:hint="eastAsia"/>
                <w:kern w:val="2"/>
                <w:sz w:val="24"/>
                <w:szCs w:val="24"/>
                <w:lang w:val="en-US" w:bidi="ar-SA"/>
                <w14:ligatures w14:val="standardContextual"/>
              </w:rPr>
              <w:t>将</w:t>
            </w:r>
            <w:r w:rsidR="004E4731" w:rsidRPr="001901BA">
              <w:rPr>
                <w:rFonts w:ascii="宋体" w:eastAsia="宋体" w:hAnsi="宋体" w:cs="宋体" w:hint="eastAsia"/>
                <w:kern w:val="2"/>
                <w:sz w:val="24"/>
                <w:szCs w:val="24"/>
                <w:lang w:val="en-US" w:bidi="ar-SA"/>
                <w14:ligatures w14:val="standardContextual"/>
              </w:rPr>
              <w:t>进一步挖掘</w:t>
            </w:r>
            <w:r w:rsidR="004E4731" w:rsidRPr="00D75AF6">
              <w:rPr>
                <w:rFonts w:ascii="宋体" w:eastAsia="宋体" w:hAnsi="宋体" w:cs="宋体" w:hint="eastAsia"/>
                <w:kern w:val="2"/>
                <w:sz w:val="24"/>
                <w:szCs w:val="24"/>
                <w:lang w:val="en-US" w:bidi="ar-SA"/>
                <w14:ligatures w14:val="standardContextual"/>
              </w:rPr>
              <w:t>AI</w:t>
            </w:r>
            <w:r w:rsidR="004E4731" w:rsidRPr="001901BA">
              <w:rPr>
                <w:rFonts w:ascii="宋体" w:eastAsia="宋体" w:hAnsi="宋体" w:cs="宋体" w:hint="eastAsia"/>
                <w:kern w:val="2"/>
                <w:sz w:val="24"/>
                <w:szCs w:val="24"/>
                <w:lang w:val="en-US" w:bidi="ar-SA"/>
                <w14:ligatures w14:val="standardContextual"/>
              </w:rPr>
              <w:t>工具对业务层面的赋能潜力，</w:t>
            </w:r>
            <w:r w:rsidR="00D75AF6" w:rsidRPr="001901BA">
              <w:rPr>
                <w:rFonts w:ascii="宋体" w:eastAsia="宋体" w:hAnsi="宋体" w:cs="宋体" w:hint="eastAsia"/>
                <w:kern w:val="2"/>
                <w:sz w:val="24"/>
                <w:szCs w:val="24"/>
                <w:lang w:val="en-US" w:bidi="ar-SA"/>
                <w14:ligatures w14:val="standardContextual"/>
              </w:rPr>
              <w:t>如</w:t>
            </w:r>
            <w:r w:rsidR="00716EE9" w:rsidRPr="00716EE9">
              <w:rPr>
                <w:rFonts w:ascii="宋体" w:eastAsia="宋体" w:hAnsi="宋体" w:cs="宋体" w:hint="eastAsia"/>
                <w:kern w:val="2"/>
                <w:sz w:val="24"/>
                <w:szCs w:val="24"/>
                <w:lang w:val="en-US" w:bidi="ar-SA"/>
                <w14:ligatures w14:val="standardContextual"/>
              </w:rPr>
              <w:t>在“农产品智慧供应链”场景打造中，</w:t>
            </w:r>
            <w:r w:rsidR="00716EE9">
              <w:rPr>
                <w:rFonts w:ascii="宋体" w:eastAsia="宋体" w:hAnsi="宋体" w:cs="宋体" w:hint="eastAsia"/>
                <w:kern w:val="2"/>
                <w:sz w:val="24"/>
                <w:szCs w:val="24"/>
                <w:lang w:val="en-US" w:bidi="ar-SA"/>
                <w14:ligatures w14:val="standardContextual"/>
              </w:rPr>
              <w:t>建发股份</w:t>
            </w:r>
            <w:r w:rsidR="007A2E71">
              <w:rPr>
                <w:rFonts w:ascii="宋体" w:eastAsia="宋体" w:hAnsi="宋体" w:cs="宋体" w:hint="eastAsia"/>
                <w:kern w:val="2"/>
                <w:sz w:val="24"/>
                <w:szCs w:val="24"/>
                <w:lang w:val="en-US" w:bidi="ar-SA"/>
                <w14:ligatures w14:val="standardContextual"/>
              </w:rPr>
              <w:t>未来</w:t>
            </w:r>
            <w:r w:rsidR="00716EE9" w:rsidRPr="00716EE9">
              <w:rPr>
                <w:rFonts w:ascii="宋体" w:eastAsia="宋体" w:hAnsi="宋体" w:cs="宋体" w:hint="eastAsia"/>
                <w:kern w:val="2"/>
                <w:sz w:val="24"/>
                <w:szCs w:val="24"/>
                <w:lang w:val="en-US" w:bidi="ar-SA"/>
                <w14:ligatures w14:val="standardContextual"/>
              </w:rPr>
              <w:t>将依托“AI+大数据”分析模型，实时捕捉市场动态与供应链风险，为采购、库存、分销等决策提供数据支撑，以数字化能力保障产业</w:t>
            </w:r>
            <w:proofErr w:type="gramStart"/>
            <w:r w:rsidR="00716EE9" w:rsidRPr="00716EE9">
              <w:rPr>
                <w:rFonts w:ascii="宋体" w:eastAsia="宋体" w:hAnsi="宋体" w:cs="宋体" w:hint="eastAsia"/>
                <w:kern w:val="2"/>
                <w:sz w:val="24"/>
                <w:szCs w:val="24"/>
                <w:lang w:val="en-US" w:bidi="ar-SA"/>
                <w14:ligatures w14:val="standardContextual"/>
              </w:rPr>
              <w:t>链供应</w:t>
            </w:r>
            <w:proofErr w:type="gramEnd"/>
            <w:r w:rsidR="00716EE9" w:rsidRPr="00716EE9">
              <w:rPr>
                <w:rFonts w:ascii="宋体" w:eastAsia="宋体" w:hAnsi="宋体" w:cs="宋体" w:hint="eastAsia"/>
                <w:kern w:val="2"/>
                <w:sz w:val="24"/>
                <w:szCs w:val="24"/>
                <w:lang w:val="en-US" w:bidi="ar-SA"/>
                <w14:ligatures w14:val="standardContextual"/>
              </w:rPr>
              <w:t>链韧性与安全</w:t>
            </w:r>
            <w:r w:rsidR="00A44085">
              <w:rPr>
                <w:rFonts w:ascii="宋体" w:eastAsia="宋体" w:hAnsi="宋体" w:cs="宋体" w:hint="eastAsia"/>
                <w:kern w:val="2"/>
                <w:sz w:val="24"/>
                <w:szCs w:val="24"/>
                <w:lang w:val="en-US" w:bidi="ar-SA"/>
                <w14:ligatures w14:val="standardContextual"/>
              </w:rPr>
              <w:t>。</w:t>
            </w:r>
          </w:p>
          <w:p w14:paraId="650ECA85" w14:textId="49375DAB" w:rsidR="00716EE9" w:rsidRPr="00716EE9" w:rsidRDefault="00716EE9" w:rsidP="009247F5">
            <w:pPr>
              <w:autoSpaceDE/>
              <w:autoSpaceDN/>
              <w:spacing w:line="360" w:lineRule="auto"/>
              <w:jc w:val="both"/>
              <w:rPr>
                <w:rFonts w:ascii="宋体" w:eastAsia="宋体" w:hAnsi="宋体" w:cs="宋体" w:hint="eastAsia"/>
                <w:kern w:val="2"/>
                <w:sz w:val="24"/>
                <w:szCs w:val="24"/>
                <w:lang w:val="en-US" w:bidi="ar-SA"/>
                <w14:ligatures w14:val="standardContextual"/>
              </w:rPr>
            </w:pPr>
          </w:p>
          <w:p w14:paraId="6DEBC034" w14:textId="5EF40ED8" w:rsidR="00144B32" w:rsidRDefault="00B21636" w:rsidP="00B05D29">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b/>
                <w:bCs/>
                <w:kern w:val="2"/>
                <w:sz w:val="24"/>
                <w:szCs w:val="24"/>
                <w:lang w:val="en-US" w:bidi="ar-SA"/>
                <w14:ligatures w14:val="standardContextual"/>
              </w:rPr>
              <w:t>5</w:t>
            </w:r>
            <w:r w:rsidR="0048033E" w:rsidRPr="001901BA">
              <w:rPr>
                <w:rFonts w:ascii="宋体" w:eastAsia="宋体" w:hAnsi="宋体" w:cs="宋体" w:hint="eastAsia"/>
                <w:b/>
                <w:bCs/>
                <w:kern w:val="2"/>
                <w:sz w:val="24"/>
                <w:szCs w:val="24"/>
                <w:lang w:val="en-US" w:bidi="ar-SA"/>
                <w14:ligatures w14:val="standardContextual"/>
              </w:rPr>
              <w:t>.</w:t>
            </w:r>
            <w:r w:rsidR="00B72244">
              <w:rPr>
                <w:rFonts w:ascii="宋体" w:eastAsia="宋体" w:hAnsi="宋体" w:cs="宋体" w:hint="eastAsia"/>
                <w:b/>
                <w:bCs/>
                <w:kern w:val="2"/>
                <w:sz w:val="24"/>
                <w:szCs w:val="24"/>
                <w:lang w:val="en-US" w:bidi="ar-SA"/>
                <w14:ligatures w14:val="standardContextual"/>
              </w:rPr>
              <w:t>美</w:t>
            </w:r>
            <w:proofErr w:type="gramStart"/>
            <w:r w:rsidR="00B72244">
              <w:rPr>
                <w:rFonts w:ascii="宋体" w:eastAsia="宋体" w:hAnsi="宋体" w:cs="宋体" w:hint="eastAsia"/>
                <w:b/>
                <w:bCs/>
                <w:kern w:val="2"/>
                <w:sz w:val="24"/>
                <w:szCs w:val="24"/>
                <w:lang w:val="en-US" w:bidi="ar-SA"/>
                <w14:ligatures w14:val="standardContextual"/>
              </w:rPr>
              <w:t>凯</w:t>
            </w:r>
            <w:proofErr w:type="gramEnd"/>
            <w:r w:rsidR="00B72244">
              <w:rPr>
                <w:rFonts w:ascii="宋体" w:eastAsia="宋体" w:hAnsi="宋体" w:cs="宋体" w:hint="eastAsia"/>
                <w:b/>
                <w:bCs/>
                <w:kern w:val="2"/>
                <w:sz w:val="24"/>
                <w:szCs w:val="24"/>
                <w:lang w:val="en-US" w:bidi="ar-SA"/>
                <w14:ligatures w14:val="standardContextual"/>
              </w:rPr>
              <w:t>龙目前的出租率在什么水平，有哪些提升出租率的方式</w:t>
            </w:r>
            <w:r w:rsidR="00144B32" w:rsidRPr="001901BA">
              <w:rPr>
                <w:rFonts w:ascii="宋体" w:eastAsia="宋体" w:hAnsi="宋体" w:cs="宋体" w:hint="eastAsia"/>
                <w:b/>
                <w:bCs/>
                <w:kern w:val="2"/>
                <w:sz w:val="24"/>
                <w:szCs w:val="24"/>
                <w:lang w:val="en-US" w:bidi="ar-SA"/>
                <w14:ligatures w14:val="standardContextual"/>
              </w:rPr>
              <w:t>？</w:t>
            </w:r>
          </w:p>
          <w:p w14:paraId="525362A7" w14:textId="5C94B7F4" w:rsidR="00B72244" w:rsidRDefault="00144B32" w:rsidP="00B72244">
            <w:pPr>
              <w:autoSpaceDE/>
              <w:autoSpaceDN/>
              <w:spacing w:line="360" w:lineRule="auto"/>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答：</w:t>
            </w:r>
            <w:r w:rsidR="00B72244">
              <w:rPr>
                <w:rFonts w:ascii="宋体" w:eastAsia="宋体" w:hAnsi="宋体" w:cs="宋体" w:hint="eastAsia"/>
                <w:kern w:val="2"/>
                <w:sz w:val="24"/>
                <w:szCs w:val="24"/>
                <w:lang w:val="en-US" w:bidi="ar-SA"/>
                <w14:ligatures w14:val="standardContextual"/>
              </w:rPr>
              <w:t>截至2025年三季度末，</w:t>
            </w:r>
            <w:r w:rsidR="00967471">
              <w:rPr>
                <w:rFonts w:ascii="宋体" w:eastAsia="宋体" w:hAnsi="宋体" w:cs="宋体" w:hint="eastAsia"/>
                <w:kern w:val="2"/>
                <w:sz w:val="24"/>
                <w:szCs w:val="24"/>
                <w:lang w:val="en-US" w:bidi="ar-SA"/>
                <w14:ligatures w14:val="standardContextual"/>
              </w:rPr>
              <w:t>美</w:t>
            </w:r>
            <w:proofErr w:type="gramStart"/>
            <w:r w:rsidR="00967471">
              <w:rPr>
                <w:rFonts w:ascii="宋体" w:eastAsia="宋体" w:hAnsi="宋体" w:cs="宋体" w:hint="eastAsia"/>
                <w:kern w:val="2"/>
                <w:sz w:val="24"/>
                <w:szCs w:val="24"/>
                <w:lang w:val="en-US" w:bidi="ar-SA"/>
                <w14:ligatures w14:val="standardContextual"/>
              </w:rPr>
              <w:t>凯</w:t>
            </w:r>
            <w:proofErr w:type="gramEnd"/>
            <w:r w:rsidR="00967471">
              <w:rPr>
                <w:rFonts w:ascii="宋体" w:eastAsia="宋体" w:hAnsi="宋体" w:cs="宋体" w:hint="eastAsia"/>
                <w:kern w:val="2"/>
                <w:sz w:val="24"/>
                <w:szCs w:val="24"/>
                <w:lang w:val="en-US" w:bidi="ar-SA"/>
                <w14:ligatures w14:val="standardContextual"/>
              </w:rPr>
              <w:t>龙</w:t>
            </w:r>
            <w:r w:rsidR="00B72244" w:rsidRPr="00B72244">
              <w:rPr>
                <w:rFonts w:ascii="宋体" w:eastAsia="宋体" w:hAnsi="宋体" w:cs="宋体" w:hint="eastAsia"/>
                <w:kern w:val="2"/>
                <w:sz w:val="24"/>
                <w:szCs w:val="24"/>
                <w:lang w:val="en-US" w:bidi="ar-SA"/>
                <w14:ligatures w14:val="standardContextual"/>
              </w:rPr>
              <w:t>自营商场出租率84.7%，</w:t>
            </w:r>
            <w:r w:rsidR="00B72244">
              <w:rPr>
                <w:rFonts w:ascii="宋体" w:eastAsia="宋体" w:hAnsi="宋体" w:cs="宋体" w:hint="eastAsia"/>
                <w:kern w:val="2"/>
                <w:sz w:val="24"/>
                <w:szCs w:val="24"/>
                <w:lang w:val="en-US" w:bidi="ar-SA"/>
                <w14:ligatures w14:val="standardContextual"/>
              </w:rPr>
              <w:t>较2024年末提升1.7pct</w:t>
            </w:r>
            <w:r w:rsidR="00B72244" w:rsidRPr="00B72244">
              <w:rPr>
                <w:rFonts w:ascii="宋体" w:eastAsia="宋体" w:hAnsi="宋体" w:cs="宋体" w:hint="eastAsia"/>
                <w:kern w:val="2"/>
                <w:sz w:val="24"/>
                <w:szCs w:val="24"/>
                <w:lang w:val="en-US" w:bidi="ar-SA"/>
                <w14:ligatures w14:val="standardContextual"/>
              </w:rPr>
              <w:t>。</w:t>
            </w:r>
          </w:p>
          <w:p w14:paraId="265089E0" w14:textId="1C43D862" w:rsidR="001A4CD2" w:rsidRPr="001A4CD2" w:rsidRDefault="00B72244" w:rsidP="00B72244">
            <w:pPr>
              <w:autoSpaceDE/>
              <w:autoSpaceDN/>
              <w:spacing w:line="360" w:lineRule="auto"/>
              <w:ind w:firstLineChars="200" w:firstLine="480"/>
              <w:jc w:val="both"/>
              <w:rPr>
                <w:rFonts w:ascii="宋体" w:eastAsia="宋体" w:hAnsi="宋体" w:cs="宋体" w:hint="eastAsia"/>
                <w:kern w:val="2"/>
                <w:sz w:val="24"/>
                <w:szCs w:val="24"/>
                <w:lang w:val="en-US" w:bidi="ar-SA"/>
                <w14:ligatures w14:val="standardContextual"/>
              </w:rPr>
            </w:pPr>
            <w:r>
              <w:rPr>
                <w:rFonts w:ascii="宋体" w:eastAsia="宋体" w:hAnsi="宋体" w:cs="宋体" w:hint="eastAsia"/>
                <w:kern w:val="2"/>
                <w:sz w:val="24"/>
                <w:szCs w:val="24"/>
                <w:lang w:val="en-US" w:bidi="ar-SA"/>
                <w14:ligatures w14:val="standardContextual"/>
              </w:rPr>
              <w:t>在地产后周期产业链景气度偏低的背景下</w:t>
            </w:r>
            <w:r w:rsidRPr="00B72244">
              <w:rPr>
                <w:rFonts w:ascii="宋体" w:eastAsia="宋体" w:hAnsi="宋体" w:cs="宋体" w:hint="eastAsia"/>
                <w:kern w:val="2"/>
                <w:sz w:val="24"/>
                <w:szCs w:val="24"/>
                <w:lang w:val="en-US" w:bidi="ar-SA"/>
                <w14:ligatures w14:val="standardContextual"/>
              </w:rPr>
              <w:t>，</w:t>
            </w:r>
            <w:r w:rsidR="005423CF">
              <w:rPr>
                <w:rFonts w:ascii="宋体" w:eastAsia="宋体" w:hAnsi="宋体" w:cs="宋体" w:hint="eastAsia"/>
                <w:kern w:val="2"/>
                <w:sz w:val="24"/>
                <w:szCs w:val="24"/>
                <w:lang w:val="en-US" w:bidi="ar-SA"/>
                <w14:ligatures w14:val="standardContextual"/>
              </w:rPr>
              <w:t>美</w:t>
            </w:r>
            <w:proofErr w:type="gramStart"/>
            <w:r w:rsidR="005423CF">
              <w:rPr>
                <w:rFonts w:ascii="宋体" w:eastAsia="宋体" w:hAnsi="宋体" w:cs="宋体" w:hint="eastAsia"/>
                <w:kern w:val="2"/>
                <w:sz w:val="24"/>
                <w:szCs w:val="24"/>
                <w:lang w:val="en-US" w:bidi="ar-SA"/>
                <w14:ligatures w14:val="standardContextual"/>
              </w:rPr>
              <w:t>凯龙</w:t>
            </w:r>
            <w:r w:rsidRPr="00B72244">
              <w:rPr>
                <w:rFonts w:ascii="宋体" w:eastAsia="宋体" w:hAnsi="宋体" w:cs="宋体" w:hint="eastAsia"/>
                <w:kern w:val="2"/>
                <w:sz w:val="24"/>
                <w:szCs w:val="24"/>
                <w:lang w:val="en-US" w:bidi="ar-SA"/>
                <w14:ligatures w14:val="standardContextual"/>
              </w:rPr>
              <w:t>持续</w:t>
            </w:r>
            <w:proofErr w:type="gramEnd"/>
            <w:r w:rsidRPr="00B72244">
              <w:rPr>
                <w:rFonts w:ascii="宋体" w:eastAsia="宋体" w:hAnsi="宋体" w:cs="宋体" w:hint="eastAsia"/>
                <w:kern w:val="2"/>
                <w:sz w:val="24"/>
                <w:szCs w:val="24"/>
                <w:lang w:val="en-US" w:bidi="ar-SA"/>
                <w14:ligatures w14:val="standardContextual"/>
              </w:rPr>
              <w:lastRenderedPageBreak/>
              <w:t>推进</w:t>
            </w:r>
            <w:r>
              <w:rPr>
                <w:rFonts w:ascii="宋体" w:eastAsia="宋体" w:hAnsi="宋体" w:cs="宋体" w:hint="eastAsia"/>
                <w:kern w:val="2"/>
                <w:sz w:val="24"/>
                <w:szCs w:val="24"/>
                <w:lang w:val="en-US" w:bidi="ar-SA"/>
                <w14:ligatures w14:val="standardContextual"/>
              </w:rPr>
              <w:t>“</w:t>
            </w:r>
            <w:r w:rsidRPr="00B72244">
              <w:rPr>
                <w:rFonts w:ascii="宋体" w:eastAsia="宋体" w:hAnsi="宋体" w:cs="宋体" w:hint="eastAsia"/>
                <w:kern w:val="2"/>
                <w:sz w:val="24"/>
                <w:szCs w:val="24"/>
                <w:lang w:val="en-US" w:bidi="ar-SA"/>
                <w14:ligatures w14:val="standardContextual"/>
              </w:rPr>
              <w:t>3+星生态</w:t>
            </w:r>
            <w:r>
              <w:rPr>
                <w:rFonts w:ascii="宋体" w:eastAsia="宋体" w:hAnsi="宋体" w:cs="宋体" w:hint="eastAsia"/>
                <w:kern w:val="2"/>
                <w:sz w:val="24"/>
                <w:szCs w:val="24"/>
                <w:lang w:val="en-US" w:bidi="ar-SA"/>
                <w14:ligatures w14:val="standardContextual"/>
              </w:rPr>
              <w:t>”</w:t>
            </w:r>
            <w:r w:rsidRPr="00B72244">
              <w:rPr>
                <w:rFonts w:ascii="宋体" w:eastAsia="宋体" w:hAnsi="宋体" w:cs="宋体" w:hint="eastAsia"/>
                <w:kern w:val="2"/>
                <w:sz w:val="24"/>
                <w:szCs w:val="24"/>
                <w:lang w:val="en-US" w:bidi="ar-SA"/>
                <w14:ligatures w14:val="standardContextual"/>
              </w:rPr>
              <w:t>战略，升级高端电器馆，加速推进M+高端设计中心，汽车品类招商入驻，餐饮品类全覆盖，同时引进鼓励休闲娱乐、超市、教培等</w:t>
            </w:r>
            <w:proofErr w:type="gramStart"/>
            <w:r w:rsidRPr="00B72244">
              <w:rPr>
                <w:rFonts w:ascii="宋体" w:eastAsia="宋体" w:hAnsi="宋体" w:cs="宋体" w:hint="eastAsia"/>
                <w:kern w:val="2"/>
                <w:sz w:val="24"/>
                <w:szCs w:val="24"/>
                <w:lang w:val="en-US" w:bidi="ar-SA"/>
                <w14:ligatures w14:val="standardContextual"/>
              </w:rPr>
              <w:t>生活业</w:t>
            </w:r>
            <w:proofErr w:type="gramEnd"/>
            <w:r w:rsidRPr="00B72244">
              <w:rPr>
                <w:rFonts w:ascii="宋体" w:eastAsia="宋体" w:hAnsi="宋体" w:cs="宋体" w:hint="eastAsia"/>
                <w:kern w:val="2"/>
                <w:sz w:val="24"/>
                <w:szCs w:val="24"/>
                <w:lang w:val="en-US" w:bidi="ar-SA"/>
                <w14:ligatures w14:val="standardContextual"/>
              </w:rPr>
              <w:t>态品类，释放潜力品类经营面积，</w:t>
            </w:r>
            <w:proofErr w:type="gramStart"/>
            <w:r w:rsidRPr="00B72244">
              <w:rPr>
                <w:rFonts w:ascii="宋体" w:eastAsia="宋体" w:hAnsi="宋体" w:cs="宋体" w:hint="eastAsia"/>
                <w:kern w:val="2"/>
                <w:sz w:val="24"/>
                <w:szCs w:val="24"/>
                <w:lang w:val="en-US" w:bidi="ar-SA"/>
                <w14:ligatures w14:val="standardContextual"/>
              </w:rPr>
              <w:t>完善业态内</w:t>
            </w:r>
            <w:proofErr w:type="gramEnd"/>
            <w:r w:rsidRPr="00B72244">
              <w:rPr>
                <w:rFonts w:ascii="宋体" w:eastAsia="宋体" w:hAnsi="宋体" w:cs="宋体" w:hint="eastAsia"/>
                <w:kern w:val="2"/>
                <w:sz w:val="24"/>
                <w:szCs w:val="24"/>
                <w:lang w:val="en-US" w:bidi="ar-SA"/>
                <w14:ligatures w14:val="standardContextual"/>
              </w:rPr>
              <w:t>品类组合。截至</w:t>
            </w:r>
            <w:r>
              <w:rPr>
                <w:rFonts w:ascii="宋体" w:eastAsia="宋体" w:hAnsi="宋体" w:cs="宋体" w:hint="eastAsia"/>
                <w:kern w:val="2"/>
                <w:sz w:val="24"/>
                <w:szCs w:val="24"/>
                <w:lang w:val="en-US" w:bidi="ar-SA"/>
                <w14:ligatures w14:val="standardContextual"/>
              </w:rPr>
              <w:t>三季度末</w:t>
            </w:r>
            <w:r w:rsidRPr="00B72244">
              <w:rPr>
                <w:rFonts w:ascii="宋体" w:eastAsia="宋体" w:hAnsi="宋体" w:cs="宋体" w:hint="eastAsia"/>
                <w:kern w:val="2"/>
                <w:sz w:val="24"/>
                <w:szCs w:val="24"/>
                <w:lang w:val="en-US" w:bidi="ar-SA"/>
                <w14:ligatures w14:val="standardContextual"/>
              </w:rPr>
              <w:t>，</w:t>
            </w:r>
            <w:r>
              <w:rPr>
                <w:rFonts w:ascii="宋体" w:eastAsia="宋体" w:hAnsi="宋体" w:cs="宋体" w:hint="eastAsia"/>
                <w:kern w:val="2"/>
                <w:sz w:val="24"/>
                <w:szCs w:val="24"/>
                <w:lang w:val="en-US" w:bidi="ar-SA"/>
                <w14:ligatures w14:val="standardContextual"/>
              </w:rPr>
              <w:t>美</w:t>
            </w:r>
            <w:proofErr w:type="gramStart"/>
            <w:r>
              <w:rPr>
                <w:rFonts w:ascii="宋体" w:eastAsia="宋体" w:hAnsi="宋体" w:cs="宋体" w:hint="eastAsia"/>
                <w:kern w:val="2"/>
                <w:sz w:val="24"/>
                <w:szCs w:val="24"/>
                <w:lang w:val="en-US" w:bidi="ar-SA"/>
                <w14:ligatures w14:val="standardContextual"/>
              </w:rPr>
              <w:t>凯</w:t>
            </w:r>
            <w:proofErr w:type="gramEnd"/>
            <w:r>
              <w:rPr>
                <w:rFonts w:ascii="宋体" w:eastAsia="宋体" w:hAnsi="宋体" w:cs="宋体" w:hint="eastAsia"/>
                <w:kern w:val="2"/>
                <w:sz w:val="24"/>
                <w:szCs w:val="24"/>
                <w:lang w:val="en-US" w:bidi="ar-SA"/>
                <w14:ligatures w14:val="standardContextual"/>
              </w:rPr>
              <w:t>龙</w:t>
            </w:r>
            <w:r w:rsidRPr="00B72244">
              <w:rPr>
                <w:rFonts w:ascii="宋体" w:eastAsia="宋体" w:hAnsi="宋体" w:cs="宋体" w:hint="eastAsia"/>
                <w:kern w:val="2"/>
                <w:sz w:val="24"/>
                <w:szCs w:val="24"/>
                <w:lang w:val="en-US" w:bidi="ar-SA"/>
                <w14:ligatures w14:val="standardContextual"/>
              </w:rPr>
              <w:t>各战略</w:t>
            </w:r>
            <w:r w:rsidR="005423CF">
              <w:rPr>
                <w:rFonts w:ascii="宋体" w:eastAsia="宋体" w:hAnsi="宋体" w:cs="宋体" w:hint="eastAsia"/>
                <w:kern w:val="2"/>
                <w:sz w:val="24"/>
                <w:szCs w:val="24"/>
                <w:lang w:val="en-US" w:bidi="ar-SA"/>
                <w14:ligatures w14:val="standardContextual"/>
              </w:rPr>
              <w:t>品类</w:t>
            </w:r>
            <w:r w:rsidRPr="00B72244">
              <w:rPr>
                <w:rFonts w:ascii="宋体" w:eastAsia="宋体" w:hAnsi="宋体" w:cs="宋体" w:hint="eastAsia"/>
                <w:kern w:val="2"/>
                <w:sz w:val="24"/>
                <w:szCs w:val="24"/>
                <w:lang w:val="en-US" w:bidi="ar-SA"/>
                <w14:ligatures w14:val="standardContextual"/>
              </w:rPr>
              <w:t>经营面积及占比均有提升。未来公司还将聚焦年轻化转型，引入更多元化的业态组合，包括二次元主题家居馆、</w:t>
            </w:r>
            <w:proofErr w:type="gramStart"/>
            <w:r w:rsidRPr="00B72244">
              <w:rPr>
                <w:rFonts w:ascii="宋体" w:eastAsia="宋体" w:hAnsi="宋体" w:cs="宋体" w:hint="eastAsia"/>
                <w:kern w:val="2"/>
                <w:sz w:val="24"/>
                <w:szCs w:val="24"/>
                <w:lang w:val="en-US" w:bidi="ar-SA"/>
                <w14:ligatures w14:val="standardContextual"/>
              </w:rPr>
              <w:t>潮玩设计</w:t>
            </w:r>
            <w:proofErr w:type="gramEnd"/>
            <w:r w:rsidRPr="00B72244">
              <w:rPr>
                <w:rFonts w:ascii="宋体" w:eastAsia="宋体" w:hAnsi="宋体" w:cs="宋体" w:hint="eastAsia"/>
                <w:kern w:val="2"/>
                <w:sz w:val="24"/>
                <w:szCs w:val="24"/>
                <w:lang w:val="en-US" w:bidi="ar-SA"/>
                <w14:ligatures w14:val="standardContextual"/>
              </w:rPr>
              <w:t>区、独居青年生活解决方案中心以及宠物友好家居体验区等创新业态，</w:t>
            </w:r>
            <w:r>
              <w:rPr>
                <w:rFonts w:ascii="宋体" w:eastAsia="宋体" w:hAnsi="宋体" w:cs="宋体" w:hint="eastAsia"/>
                <w:kern w:val="2"/>
                <w:sz w:val="24"/>
                <w:szCs w:val="24"/>
                <w:lang w:val="en-US" w:bidi="ar-SA"/>
                <w14:ligatures w14:val="standardContextual"/>
              </w:rPr>
              <w:t>进一步带动</w:t>
            </w:r>
            <w:r w:rsidRPr="00B72244">
              <w:rPr>
                <w:rFonts w:ascii="宋体" w:eastAsia="宋体" w:hAnsi="宋体" w:cs="宋体" w:hint="eastAsia"/>
                <w:kern w:val="2"/>
                <w:sz w:val="24"/>
                <w:szCs w:val="24"/>
                <w:lang w:val="en-US" w:bidi="ar-SA"/>
                <w14:ligatures w14:val="standardContextual"/>
              </w:rPr>
              <w:t>出租率</w:t>
            </w:r>
            <w:r>
              <w:rPr>
                <w:rFonts w:ascii="宋体" w:eastAsia="宋体" w:hAnsi="宋体" w:cs="宋体" w:hint="eastAsia"/>
                <w:kern w:val="2"/>
                <w:sz w:val="24"/>
                <w:szCs w:val="24"/>
                <w:lang w:val="en-US" w:bidi="ar-SA"/>
                <w14:ligatures w14:val="standardContextual"/>
              </w:rPr>
              <w:t>回升</w:t>
            </w:r>
            <w:r w:rsidR="00144B32" w:rsidRPr="00144B32">
              <w:rPr>
                <w:rFonts w:ascii="宋体" w:eastAsia="宋体" w:hAnsi="宋体" w:cs="宋体" w:hint="eastAsia"/>
                <w:kern w:val="2"/>
                <w:sz w:val="24"/>
                <w:szCs w:val="24"/>
                <w:lang w:val="en-US" w:bidi="ar-SA"/>
                <w14:ligatures w14:val="standardContextual"/>
              </w:rPr>
              <w:t>。</w:t>
            </w:r>
          </w:p>
        </w:tc>
      </w:tr>
      <w:tr w:rsidR="00BB411D" w14:paraId="1A4E9C20" w14:textId="77777777">
        <w:trPr>
          <w:trHeight w:val="999"/>
          <w:jc w:val="center"/>
        </w:trPr>
        <w:tc>
          <w:tcPr>
            <w:tcW w:w="1961" w:type="dxa"/>
            <w:vAlign w:val="center"/>
          </w:tcPr>
          <w:p w14:paraId="0159A84A" w14:textId="77777777" w:rsidR="00BB411D" w:rsidRDefault="00000000">
            <w:pPr>
              <w:pStyle w:val="TableParagraph"/>
              <w:spacing w:before="1"/>
              <w:ind w:left="107"/>
              <w:rPr>
                <w:rFonts w:ascii="宋体" w:eastAsia="宋体" w:hAnsi="宋体" w:cs="宋体" w:hint="eastAsia"/>
                <w:b/>
                <w:bCs/>
                <w:sz w:val="24"/>
                <w:szCs w:val="24"/>
              </w:rPr>
            </w:pPr>
            <w:r>
              <w:rPr>
                <w:rFonts w:ascii="宋体" w:eastAsia="宋体" w:hAnsi="宋体" w:cs="宋体" w:hint="eastAsia"/>
                <w:b/>
                <w:bCs/>
                <w:sz w:val="24"/>
                <w:szCs w:val="24"/>
              </w:rPr>
              <w:lastRenderedPageBreak/>
              <w:t>关于本次活动是否涉及应披露重大信息的说明</w:t>
            </w:r>
          </w:p>
        </w:tc>
        <w:tc>
          <w:tcPr>
            <w:tcW w:w="6320" w:type="dxa"/>
            <w:vAlign w:val="center"/>
          </w:tcPr>
          <w:p w14:paraId="135A75CD" w14:textId="77777777" w:rsidR="00BB411D" w:rsidRDefault="00000000">
            <w:pPr>
              <w:pStyle w:val="TableParagraph"/>
              <w:spacing w:before="100" w:beforeAutospacing="1" w:line="360" w:lineRule="auto"/>
              <w:rPr>
                <w:rFonts w:ascii="宋体" w:eastAsia="宋体" w:hAnsi="宋体" w:cs="宋体" w:hint="eastAsia"/>
                <w:sz w:val="24"/>
                <w:szCs w:val="24"/>
              </w:rPr>
            </w:pPr>
            <w:r>
              <w:rPr>
                <w:rFonts w:ascii="宋体" w:eastAsia="宋体" w:hAnsi="宋体" w:cs="宋体" w:hint="eastAsia"/>
                <w:sz w:val="24"/>
                <w:szCs w:val="24"/>
              </w:rPr>
              <w:t>本次活动不涉及未公开披露的重大信息。</w:t>
            </w:r>
          </w:p>
        </w:tc>
      </w:tr>
      <w:tr w:rsidR="00BB411D" w14:paraId="2DB6E138" w14:textId="77777777">
        <w:trPr>
          <w:trHeight w:val="419"/>
          <w:jc w:val="center"/>
        </w:trPr>
        <w:tc>
          <w:tcPr>
            <w:tcW w:w="8281" w:type="dxa"/>
            <w:gridSpan w:val="2"/>
            <w:vAlign w:val="center"/>
          </w:tcPr>
          <w:p w14:paraId="3D870D90" w14:textId="77777777" w:rsidR="00BB411D" w:rsidRDefault="00000000">
            <w:pPr>
              <w:pStyle w:val="TableParagraph"/>
              <w:spacing w:before="100" w:beforeAutospacing="1" w:line="360" w:lineRule="auto"/>
              <w:jc w:val="center"/>
              <w:rPr>
                <w:rFonts w:ascii="宋体" w:eastAsia="宋体" w:hAnsi="宋体" w:cs="宋体" w:hint="eastAsia"/>
                <w:sz w:val="24"/>
                <w:szCs w:val="24"/>
                <w:lang w:val="en-US"/>
              </w:rPr>
            </w:pPr>
            <w:r>
              <w:rPr>
                <w:rFonts w:ascii="宋体" w:eastAsia="宋体" w:hAnsi="宋体" w:cs="宋体" w:hint="eastAsia"/>
                <w:b/>
                <w:bCs/>
                <w:sz w:val="24"/>
                <w:szCs w:val="24"/>
                <w:lang w:val="en-US"/>
              </w:rPr>
              <w:t>风险提示</w:t>
            </w:r>
          </w:p>
        </w:tc>
      </w:tr>
      <w:tr w:rsidR="00BB411D" w14:paraId="05DAD412" w14:textId="77777777">
        <w:trPr>
          <w:trHeight w:val="90"/>
          <w:jc w:val="center"/>
        </w:trPr>
        <w:tc>
          <w:tcPr>
            <w:tcW w:w="8281" w:type="dxa"/>
            <w:gridSpan w:val="2"/>
            <w:vAlign w:val="center"/>
          </w:tcPr>
          <w:p w14:paraId="318CBB6E" w14:textId="77777777" w:rsidR="00BB411D" w:rsidRDefault="00000000">
            <w:pPr>
              <w:pStyle w:val="TableParagraph"/>
              <w:spacing w:before="100" w:beforeAutospacing="1" w:line="360" w:lineRule="auto"/>
              <w:rPr>
                <w:rFonts w:ascii="宋体" w:eastAsia="宋体" w:hAnsi="宋体" w:cs="宋体" w:hint="eastAsia"/>
                <w:sz w:val="24"/>
                <w:szCs w:val="24"/>
              </w:rPr>
            </w:pPr>
            <w:r>
              <w:rPr>
                <w:rFonts w:ascii="宋体" w:eastAsia="宋体" w:hAnsi="宋体" w:cs="宋体" w:hint="eastAsia"/>
                <w:sz w:val="24"/>
                <w:szCs w:val="24"/>
              </w:rPr>
              <w:t>以上如涉及对行业的预测、公司发展战略规划等相关内容，不能视作公司或管理层对行业、公司发展或业绩的承诺和保证，敬请广大投资者注意投资风险。</w:t>
            </w:r>
          </w:p>
        </w:tc>
      </w:tr>
    </w:tbl>
    <w:p w14:paraId="768BDC8D" w14:textId="080FDA86" w:rsidR="009247F5" w:rsidRDefault="009247F5">
      <w:pPr>
        <w:widowControl/>
        <w:autoSpaceDE/>
        <w:autoSpaceDN/>
        <w:rPr>
          <w:rFonts w:ascii="宋体" w:eastAsia="宋体" w:hAnsi="宋体" w:cs="宋体" w:hint="eastAsia"/>
          <w:b/>
          <w:bCs/>
          <w:sz w:val="24"/>
          <w:szCs w:val="24"/>
          <w:lang w:val="en-US"/>
        </w:rPr>
      </w:pPr>
    </w:p>
    <w:p w14:paraId="7570EBB8" w14:textId="00A57281" w:rsidR="00C40BA8" w:rsidRDefault="009247F5">
      <w:pPr>
        <w:widowControl/>
        <w:autoSpaceDE/>
        <w:autoSpaceDN/>
        <w:rPr>
          <w:rFonts w:ascii="宋体" w:eastAsia="宋体" w:hAnsi="宋体" w:cs="宋体" w:hint="eastAsia"/>
          <w:b/>
          <w:bCs/>
          <w:sz w:val="24"/>
          <w:szCs w:val="24"/>
          <w:lang w:val="en-US"/>
        </w:rPr>
      </w:pPr>
      <w:r>
        <w:rPr>
          <w:rFonts w:ascii="宋体" w:eastAsia="宋体" w:hAnsi="宋体" w:cs="宋体" w:hint="eastAsia"/>
          <w:b/>
          <w:bCs/>
          <w:sz w:val="24"/>
          <w:szCs w:val="24"/>
          <w:lang w:val="en-US"/>
        </w:rPr>
        <w:br w:type="page"/>
      </w:r>
    </w:p>
    <w:p w14:paraId="5922C706" w14:textId="77777777" w:rsidR="00BB411D" w:rsidRDefault="00000000">
      <w:pPr>
        <w:rPr>
          <w:rFonts w:ascii="宋体" w:eastAsia="宋体" w:hAnsi="宋体" w:cs="宋体" w:hint="eastAsia"/>
          <w:b/>
          <w:bCs/>
          <w:sz w:val="24"/>
          <w:szCs w:val="24"/>
          <w:lang w:val="en-US"/>
        </w:rPr>
      </w:pPr>
      <w:r>
        <w:rPr>
          <w:rFonts w:ascii="宋体" w:eastAsia="宋体" w:hAnsi="宋体" w:cs="宋体" w:hint="eastAsia"/>
          <w:b/>
          <w:bCs/>
          <w:sz w:val="24"/>
          <w:szCs w:val="24"/>
          <w:lang w:val="en-US"/>
        </w:rPr>
        <w:lastRenderedPageBreak/>
        <w:t>附表：主要机构名单</w:t>
      </w:r>
    </w:p>
    <w:p w14:paraId="6CDC462E" w14:textId="77777777" w:rsidR="00BB411D" w:rsidRDefault="00BB411D">
      <w:pPr>
        <w:rPr>
          <w:rFonts w:ascii="宋体" w:eastAsia="宋体" w:hAnsi="宋体" w:cs="宋体" w:hint="eastAsia"/>
          <w:b/>
          <w:bCs/>
          <w:sz w:val="24"/>
          <w:szCs w:val="24"/>
          <w:lang w:val="en-US"/>
        </w:rPr>
      </w:pPr>
    </w:p>
    <w:tbl>
      <w:tblPr>
        <w:tblW w:w="8339" w:type="dxa"/>
        <w:tblInd w:w="93" w:type="dxa"/>
        <w:tblLayout w:type="fixed"/>
        <w:tblLook w:val="04A0" w:firstRow="1" w:lastRow="0" w:firstColumn="1" w:lastColumn="0" w:noHBand="0" w:noVBand="1"/>
      </w:tblPr>
      <w:tblGrid>
        <w:gridCol w:w="3430"/>
        <w:gridCol w:w="4909"/>
      </w:tblGrid>
      <w:tr w:rsidR="00BB411D" w:rsidRPr="00C40BA8" w14:paraId="0AE8DFCC" w14:textId="77777777">
        <w:trPr>
          <w:trHeight w:val="299"/>
        </w:trPr>
        <w:tc>
          <w:tcPr>
            <w:tcW w:w="343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D735DAD" w14:textId="77777777" w:rsidR="00BB411D" w:rsidRPr="00C40BA8" w:rsidRDefault="00000000">
            <w:pPr>
              <w:widowControl/>
              <w:jc w:val="center"/>
              <w:textAlignment w:val="center"/>
              <w:rPr>
                <w:rFonts w:asciiTheme="minorEastAsia" w:eastAsiaTheme="minorEastAsia" w:hAnsiTheme="minorEastAsia" w:cs="宋体" w:hint="eastAsia"/>
                <w:b/>
                <w:bCs/>
                <w:color w:val="000000"/>
              </w:rPr>
            </w:pPr>
            <w:r w:rsidRPr="00C40BA8">
              <w:rPr>
                <w:rFonts w:asciiTheme="minorEastAsia" w:eastAsiaTheme="minorEastAsia" w:hAnsiTheme="minorEastAsia" w:cs="宋体" w:hint="eastAsia"/>
                <w:b/>
                <w:bCs/>
                <w:color w:val="000000"/>
                <w:lang w:val="en-US" w:bidi="ar"/>
              </w:rPr>
              <w:t>序号</w:t>
            </w:r>
          </w:p>
        </w:tc>
        <w:tc>
          <w:tcPr>
            <w:tcW w:w="490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1334DDC" w14:textId="77777777" w:rsidR="00BB411D" w:rsidRPr="00C40BA8" w:rsidRDefault="00000000">
            <w:pPr>
              <w:widowControl/>
              <w:jc w:val="center"/>
              <w:textAlignment w:val="center"/>
              <w:rPr>
                <w:rFonts w:asciiTheme="minorEastAsia" w:eastAsiaTheme="minorEastAsia" w:hAnsiTheme="minorEastAsia" w:cs="宋体" w:hint="eastAsia"/>
                <w:b/>
                <w:bCs/>
                <w:color w:val="000000"/>
              </w:rPr>
            </w:pPr>
            <w:r w:rsidRPr="00C40BA8">
              <w:rPr>
                <w:rFonts w:asciiTheme="minorEastAsia" w:eastAsiaTheme="minorEastAsia" w:hAnsiTheme="minorEastAsia" w:cs="宋体" w:hint="eastAsia"/>
                <w:b/>
                <w:bCs/>
                <w:color w:val="000000"/>
                <w:lang w:val="en-US" w:bidi="ar"/>
              </w:rPr>
              <w:t>机构名称</w:t>
            </w:r>
          </w:p>
        </w:tc>
      </w:tr>
      <w:tr w:rsidR="00C40BA8" w:rsidRPr="00C40BA8" w14:paraId="66C1A6B1"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5E13AFF2" w14:textId="47F77C1C"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1</w:t>
            </w:r>
          </w:p>
        </w:tc>
        <w:tc>
          <w:tcPr>
            <w:tcW w:w="4909" w:type="dxa"/>
            <w:tcBorders>
              <w:top w:val="single" w:sz="4" w:space="0" w:color="000000"/>
              <w:left w:val="single" w:sz="4" w:space="0" w:color="000000"/>
              <w:bottom w:val="single" w:sz="4" w:space="0" w:color="000000"/>
              <w:right w:val="single" w:sz="4" w:space="0" w:color="000000"/>
            </w:tcBorders>
            <w:vAlign w:val="center"/>
          </w:tcPr>
          <w:p w14:paraId="6828A44A" w14:textId="3427F9A9" w:rsidR="00C40BA8" w:rsidRPr="00C40BA8" w:rsidRDefault="00C40BA8" w:rsidP="00C40BA8">
            <w:pPr>
              <w:widowControl/>
              <w:jc w:val="center"/>
              <w:textAlignment w:val="center"/>
              <w:rPr>
                <w:rFonts w:asciiTheme="minorEastAsia" w:eastAsiaTheme="minorEastAsia" w:hAnsiTheme="minorEastAsia" w:cs="宋体" w:hint="eastAsia"/>
                <w:color w:val="000000"/>
                <w:lang w:val="en-US"/>
              </w:rPr>
            </w:pPr>
            <w:r w:rsidRPr="00C40BA8">
              <w:rPr>
                <w:rFonts w:asciiTheme="minorEastAsia" w:eastAsiaTheme="minorEastAsia" w:hAnsiTheme="minorEastAsia" w:hint="eastAsia"/>
                <w:color w:val="000000"/>
              </w:rPr>
              <w:t>Capital Group</w:t>
            </w:r>
          </w:p>
        </w:tc>
      </w:tr>
      <w:tr w:rsidR="00C40BA8" w:rsidRPr="00C40BA8" w14:paraId="7A3E3C9F"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44A14D48" w14:textId="5C7B5044"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2</w:t>
            </w:r>
          </w:p>
        </w:tc>
        <w:tc>
          <w:tcPr>
            <w:tcW w:w="4909" w:type="dxa"/>
            <w:tcBorders>
              <w:top w:val="single" w:sz="4" w:space="0" w:color="000000"/>
              <w:left w:val="single" w:sz="4" w:space="0" w:color="000000"/>
              <w:bottom w:val="single" w:sz="4" w:space="0" w:color="000000"/>
              <w:right w:val="single" w:sz="4" w:space="0" w:color="000000"/>
            </w:tcBorders>
            <w:vAlign w:val="center"/>
          </w:tcPr>
          <w:p w14:paraId="0D4E8337" w14:textId="362009AF"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Natura Capital</w:t>
            </w:r>
          </w:p>
        </w:tc>
      </w:tr>
      <w:tr w:rsidR="00C40BA8" w:rsidRPr="00C40BA8" w14:paraId="0E7EAC49"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4D13B95F" w14:textId="21AD8608"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3</w:t>
            </w:r>
          </w:p>
        </w:tc>
        <w:tc>
          <w:tcPr>
            <w:tcW w:w="4909" w:type="dxa"/>
            <w:tcBorders>
              <w:top w:val="single" w:sz="4" w:space="0" w:color="000000"/>
              <w:left w:val="single" w:sz="4" w:space="0" w:color="000000"/>
              <w:bottom w:val="single" w:sz="4" w:space="0" w:color="000000"/>
              <w:right w:val="single" w:sz="4" w:space="0" w:color="000000"/>
            </w:tcBorders>
            <w:vAlign w:val="center"/>
          </w:tcPr>
          <w:p w14:paraId="001B5A9C" w14:textId="0721DDA6"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贝莱德基金</w:t>
            </w:r>
          </w:p>
        </w:tc>
      </w:tr>
      <w:tr w:rsidR="00C40BA8" w:rsidRPr="00C40BA8" w14:paraId="7637A0B2"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15385F37" w14:textId="06602D7B"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4</w:t>
            </w:r>
          </w:p>
        </w:tc>
        <w:tc>
          <w:tcPr>
            <w:tcW w:w="4909" w:type="dxa"/>
            <w:tcBorders>
              <w:top w:val="single" w:sz="4" w:space="0" w:color="000000"/>
              <w:left w:val="single" w:sz="4" w:space="0" w:color="000000"/>
              <w:bottom w:val="single" w:sz="4" w:space="0" w:color="000000"/>
              <w:right w:val="single" w:sz="4" w:space="0" w:color="000000"/>
            </w:tcBorders>
            <w:vAlign w:val="center"/>
          </w:tcPr>
          <w:p w14:paraId="5E33776C" w14:textId="2B69B736" w:rsidR="00C40BA8" w:rsidRPr="00C40BA8" w:rsidRDefault="00C40BA8" w:rsidP="00C40BA8">
            <w:pPr>
              <w:widowControl/>
              <w:jc w:val="center"/>
              <w:textAlignment w:val="bottom"/>
              <w:rPr>
                <w:rFonts w:asciiTheme="minorEastAsia" w:eastAsiaTheme="minorEastAsia" w:hAnsiTheme="minorEastAsia" w:cs="宋体" w:hint="eastAsia"/>
                <w:color w:val="000000"/>
              </w:rPr>
            </w:pPr>
            <w:proofErr w:type="gramStart"/>
            <w:r w:rsidRPr="00C40BA8">
              <w:rPr>
                <w:rFonts w:asciiTheme="minorEastAsia" w:eastAsiaTheme="minorEastAsia" w:hAnsiTheme="minorEastAsia" w:hint="eastAsia"/>
                <w:color w:val="000000"/>
              </w:rPr>
              <w:t>毕盛投资</w:t>
            </w:r>
            <w:proofErr w:type="gramEnd"/>
          </w:p>
        </w:tc>
      </w:tr>
      <w:tr w:rsidR="00C40BA8" w:rsidRPr="00C40BA8" w14:paraId="6258195E"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5A789324" w14:textId="38FA71E9"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5</w:t>
            </w:r>
          </w:p>
        </w:tc>
        <w:tc>
          <w:tcPr>
            <w:tcW w:w="4909" w:type="dxa"/>
            <w:tcBorders>
              <w:top w:val="single" w:sz="4" w:space="0" w:color="000000"/>
              <w:left w:val="single" w:sz="4" w:space="0" w:color="000000"/>
              <w:bottom w:val="single" w:sz="4" w:space="0" w:color="000000"/>
              <w:right w:val="single" w:sz="4" w:space="0" w:color="000000"/>
            </w:tcBorders>
            <w:vAlign w:val="center"/>
          </w:tcPr>
          <w:p w14:paraId="2567FD21" w14:textId="006E1895" w:rsidR="00C40BA8" w:rsidRPr="00C40BA8" w:rsidRDefault="00C40BA8" w:rsidP="00C40BA8">
            <w:pPr>
              <w:widowControl/>
              <w:jc w:val="center"/>
              <w:textAlignment w:val="center"/>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博道基金</w:t>
            </w:r>
          </w:p>
        </w:tc>
      </w:tr>
      <w:tr w:rsidR="00C40BA8" w:rsidRPr="00C40BA8" w14:paraId="60743B22"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9D74E47" w14:textId="2DCBC91B"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6</w:t>
            </w:r>
          </w:p>
        </w:tc>
        <w:tc>
          <w:tcPr>
            <w:tcW w:w="4909" w:type="dxa"/>
            <w:tcBorders>
              <w:top w:val="single" w:sz="4" w:space="0" w:color="000000"/>
              <w:left w:val="single" w:sz="4" w:space="0" w:color="000000"/>
              <w:bottom w:val="single" w:sz="4" w:space="0" w:color="000000"/>
              <w:right w:val="single" w:sz="4" w:space="0" w:color="000000"/>
            </w:tcBorders>
            <w:vAlign w:val="center"/>
          </w:tcPr>
          <w:p w14:paraId="04BAF735" w14:textId="519A04D1"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博时基金</w:t>
            </w:r>
          </w:p>
        </w:tc>
      </w:tr>
      <w:tr w:rsidR="00C40BA8" w:rsidRPr="00C40BA8" w14:paraId="20414B71"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2877672" w14:textId="4C8CE776"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7</w:t>
            </w:r>
          </w:p>
        </w:tc>
        <w:tc>
          <w:tcPr>
            <w:tcW w:w="4909" w:type="dxa"/>
            <w:tcBorders>
              <w:top w:val="single" w:sz="4" w:space="0" w:color="000000"/>
              <w:left w:val="single" w:sz="4" w:space="0" w:color="000000"/>
              <w:bottom w:val="single" w:sz="4" w:space="0" w:color="000000"/>
              <w:right w:val="single" w:sz="4" w:space="0" w:color="000000"/>
            </w:tcBorders>
            <w:vAlign w:val="bottom"/>
          </w:tcPr>
          <w:p w14:paraId="2D0EB42D" w14:textId="75BE8DE4"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财通证券</w:t>
            </w:r>
          </w:p>
        </w:tc>
      </w:tr>
      <w:tr w:rsidR="00C40BA8" w:rsidRPr="00C40BA8" w14:paraId="65216C6E"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08F5367B" w14:textId="4E3FE48D"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8</w:t>
            </w:r>
          </w:p>
        </w:tc>
        <w:tc>
          <w:tcPr>
            <w:tcW w:w="4909" w:type="dxa"/>
            <w:tcBorders>
              <w:top w:val="single" w:sz="4" w:space="0" w:color="000000"/>
              <w:left w:val="single" w:sz="4" w:space="0" w:color="000000"/>
              <w:bottom w:val="single" w:sz="4" w:space="0" w:color="000000"/>
              <w:right w:val="single" w:sz="4" w:space="0" w:color="000000"/>
            </w:tcBorders>
            <w:vAlign w:val="bottom"/>
          </w:tcPr>
          <w:p w14:paraId="5A748D11" w14:textId="397506FE"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财</w:t>
            </w:r>
            <w:proofErr w:type="gramStart"/>
            <w:r w:rsidRPr="00C40BA8">
              <w:rPr>
                <w:rFonts w:asciiTheme="minorEastAsia" w:eastAsiaTheme="minorEastAsia" w:hAnsiTheme="minorEastAsia" w:hint="eastAsia"/>
                <w:color w:val="000000"/>
              </w:rPr>
              <w:t>通资管</w:t>
            </w:r>
            <w:proofErr w:type="gramEnd"/>
          </w:p>
        </w:tc>
      </w:tr>
      <w:tr w:rsidR="00C40BA8" w:rsidRPr="00C40BA8" w14:paraId="1BDE2CAF"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5B9DF547" w14:textId="081D3C64"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9</w:t>
            </w:r>
          </w:p>
        </w:tc>
        <w:tc>
          <w:tcPr>
            <w:tcW w:w="4909" w:type="dxa"/>
            <w:tcBorders>
              <w:top w:val="single" w:sz="4" w:space="0" w:color="000000"/>
              <w:left w:val="single" w:sz="4" w:space="0" w:color="000000"/>
              <w:bottom w:val="single" w:sz="4" w:space="0" w:color="000000"/>
              <w:right w:val="single" w:sz="4" w:space="0" w:color="000000"/>
            </w:tcBorders>
            <w:vAlign w:val="center"/>
          </w:tcPr>
          <w:p w14:paraId="69A91EE7" w14:textId="4957754A" w:rsidR="00C40BA8" w:rsidRPr="00C40BA8" w:rsidRDefault="00C40BA8" w:rsidP="00C40BA8">
            <w:pPr>
              <w:widowControl/>
              <w:jc w:val="center"/>
              <w:textAlignment w:val="center"/>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大成基金</w:t>
            </w:r>
          </w:p>
        </w:tc>
      </w:tr>
      <w:tr w:rsidR="00C40BA8" w:rsidRPr="00C40BA8" w14:paraId="51061E97"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3429711E" w14:textId="756956A4"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10</w:t>
            </w:r>
          </w:p>
        </w:tc>
        <w:tc>
          <w:tcPr>
            <w:tcW w:w="4909" w:type="dxa"/>
            <w:tcBorders>
              <w:top w:val="single" w:sz="4" w:space="0" w:color="000000"/>
              <w:left w:val="single" w:sz="4" w:space="0" w:color="000000"/>
              <w:bottom w:val="single" w:sz="4" w:space="0" w:color="000000"/>
              <w:right w:val="single" w:sz="4" w:space="0" w:color="000000"/>
            </w:tcBorders>
            <w:vAlign w:val="bottom"/>
          </w:tcPr>
          <w:p w14:paraId="6410306C" w14:textId="2646807A" w:rsidR="00C40BA8" w:rsidRPr="00C40BA8" w:rsidRDefault="00C40BA8" w:rsidP="00C40BA8">
            <w:pPr>
              <w:widowControl/>
              <w:jc w:val="center"/>
              <w:textAlignment w:val="bottom"/>
              <w:rPr>
                <w:rFonts w:asciiTheme="minorEastAsia" w:eastAsiaTheme="minorEastAsia" w:hAnsiTheme="minorEastAsia" w:cs="宋体" w:hint="eastAsia"/>
                <w:color w:val="000000"/>
              </w:rPr>
            </w:pPr>
            <w:r w:rsidRPr="00C40BA8">
              <w:rPr>
                <w:rFonts w:asciiTheme="minorEastAsia" w:eastAsiaTheme="minorEastAsia" w:hAnsiTheme="minorEastAsia" w:hint="eastAsia"/>
                <w:color w:val="000000"/>
              </w:rPr>
              <w:t>东方财富证券</w:t>
            </w:r>
          </w:p>
        </w:tc>
      </w:tr>
      <w:tr w:rsidR="00C40BA8" w:rsidRPr="00C40BA8" w14:paraId="5F61C284"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71E7F5CA" w14:textId="79BB8B4E"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11</w:t>
            </w:r>
          </w:p>
        </w:tc>
        <w:tc>
          <w:tcPr>
            <w:tcW w:w="4909" w:type="dxa"/>
            <w:tcBorders>
              <w:top w:val="single" w:sz="4" w:space="0" w:color="000000"/>
              <w:left w:val="single" w:sz="4" w:space="0" w:color="000000"/>
              <w:bottom w:val="single" w:sz="4" w:space="0" w:color="000000"/>
              <w:right w:val="single" w:sz="4" w:space="0" w:color="000000"/>
            </w:tcBorders>
            <w:vAlign w:val="center"/>
          </w:tcPr>
          <w:p w14:paraId="6ACD41CA" w14:textId="5FFAD116"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东方</w:t>
            </w:r>
            <w:proofErr w:type="gramStart"/>
            <w:r w:rsidRPr="00C40BA8">
              <w:rPr>
                <w:rFonts w:asciiTheme="minorEastAsia" w:eastAsiaTheme="minorEastAsia" w:hAnsiTheme="minorEastAsia" w:hint="eastAsia"/>
                <w:color w:val="000000"/>
              </w:rPr>
              <w:t>合盈</w:t>
            </w:r>
            <w:r w:rsidR="00AC368F">
              <w:rPr>
                <w:rFonts w:asciiTheme="minorEastAsia" w:eastAsiaTheme="minorEastAsia" w:hAnsiTheme="minorEastAsia" w:hint="eastAsia"/>
                <w:color w:val="000000"/>
              </w:rPr>
              <w:t>基金</w:t>
            </w:r>
            <w:proofErr w:type="gramEnd"/>
          </w:p>
        </w:tc>
      </w:tr>
      <w:tr w:rsidR="00C40BA8" w:rsidRPr="00C40BA8" w14:paraId="606E2BA3"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44701D97" w14:textId="5891FB7D"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12</w:t>
            </w:r>
          </w:p>
        </w:tc>
        <w:tc>
          <w:tcPr>
            <w:tcW w:w="4909" w:type="dxa"/>
            <w:tcBorders>
              <w:top w:val="single" w:sz="4" w:space="0" w:color="000000"/>
              <w:left w:val="single" w:sz="4" w:space="0" w:color="000000"/>
              <w:bottom w:val="single" w:sz="4" w:space="0" w:color="000000"/>
              <w:right w:val="single" w:sz="4" w:space="0" w:color="000000"/>
            </w:tcBorders>
            <w:vAlign w:val="bottom"/>
          </w:tcPr>
          <w:p w14:paraId="1C2C0951" w14:textId="7369C06D"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东方证券</w:t>
            </w:r>
          </w:p>
        </w:tc>
      </w:tr>
      <w:tr w:rsidR="00C40BA8" w:rsidRPr="00C40BA8" w14:paraId="461F09C5"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7D8CE36E" w14:textId="3B080385"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13</w:t>
            </w:r>
          </w:p>
        </w:tc>
        <w:tc>
          <w:tcPr>
            <w:tcW w:w="4909" w:type="dxa"/>
            <w:tcBorders>
              <w:top w:val="single" w:sz="4" w:space="0" w:color="000000"/>
              <w:left w:val="single" w:sz="4" w:space="0" w:color="000000"/>
              <w:bottom w:val="single" w:sz="4" w:space="0" w:color="000000"/>
              <w:right w:val="single" w:sz="4" w:space="0" w:color="000000"/>
            </w:tcBorders>
            <w:vAlign w:val="bottom"/>
          </w:tcPr>
          <w:p w14:paraId="20FDDD49" w14:textId="3D7BCAC7"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东吴证券</w:t>
            </w:r>
          </w:p>
        </w:tc>
      </w:tr>
      <w:tr w:rsidR="00C40BA8" w:rsidRPr="00C40BA8" w14:paraId="1A946272"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FC692A6" w14:textId="511EF661"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14</w:t>
            </w:r>
          </w:p>
        </w:tc>
        <w:tc>
          <w:tcPr>
            <w:tcW w:w="4909" w:type="dxa"/>
            <w:tcBorders>
              <w:top w:val="single" w:sz="4" w:space="0" w:color="000000"/>
              <w:left w:val="single" w:sz="4" w:space="0" w:color="000000"/>
              <w:bottom w:val="single" w:sz="4" w:space="0" w:color="000000"/>
              <w:right w:val="single" w:sz="4" w:space="0" w:color="000000"/>
            </w:tcBorders>
            <w:vAlign w:val="bottom"/>
          </w:tcPr>
          <w:p w14:paraId="6FF4BA1A" w14:textId="2BDEC905"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富达资产</w:t>
            </w:r>
          </w:p>
        </w:tc>
      </w:tr>
      <w:tr w:rsidR="00C40BA8" w:rsidRPr="00C40BA8" w14:paraId="19029876"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49917193" w14:textId="1CD2A03B"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15</w:t>
            </w:r>
          </w:p>
        </w:tc>
        <w:tc>
          <w:tcPr>
            <w:tcW w:w="4909" w:type="dxa"/>
            <w:tcBorders>
              <w:top w:val="single" w:sz="4" w:space="0" w:color="000000"/>
              <w:left w:val="single" w:sz="4" w:space="0" w:color="000000"/>
              <w:bottom w:val="single" w:sz="4" w:space="0" w:color="000000"/>
              <w:right w:val="single" w:sz="4" w:space="0" w:color="000000"/>
            </w:tcBorders>
            <w:vAlign w:val="bottom"/>
          </w:tcPr>
          <w:p w14:paraId="6BBEFD26" w14:textId="5759C1FC"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富国基金</w:t>
            </w:r>
          </w:p>
        </w:tc>
      </w:tr>
      <w:tr w:rsidR="00C40BA8" w:rsidRPr="00C40BA8" w14:paraId="351D95A3"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139FB1E0" w14:textId="2973D67C"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16</w:t>
            </w:r>
          </w:p>
        </w:tc>
        <w:tc>
          <w:tcPr>
            <w:tcW w:w="4909" w:type="dxa"/>
            <w:tcBorders>
              <w:top w:val="single" w:sz="4" w:space="0" w:color="000000"/>
              <w:left w:val="single" w:sz="4" w:space="0" w:color="000000"/>
              <w:bottom w:val="single" w:sz="4" w:space="0" w:color="000000"/>
              <w:right w:val="single" w:sz="4" w:space="0" w:color="000000"/>
            </w:tcBorders>
            <w:vAlign w:val="bottom"/>
          </w:tcPr>
          <w:p w14:paraId="70778B08" w14:textId="5BF82923"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广发基金</w:t>
            </w:r>
          </w:p>
        </w:tc>
      </w:tr>
      <w:tr w:rsidR="00C40BA8" w:rsidRPr="00C40BA8" w14:paraId="38FAF2FD"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4B025F10" w14:textId="5A4F189A"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17</w:t>
            </w:r>
          </w:p>
        </w:tc>
        <w:tc>
          <w:tcPr>
            <w:tcW w:w="4909" w:type="dxa"/>
            <w:tcBorders>
              <w:top w:val="single" w:sz="4" w:space="0" w:color="000000"/>
              <w:left w:val="single" w:sz="4" w:space="0" w:color="000000"/>
              <w:bottom w:val="single" w:sz="4" w:space="0" w:color="000000"/>
              <w:right w:val="single" w:sz="4" w:space="0" w:color="000000"/>
            </w:tcBorders>
            <w:vAlign w:val="bottom"/>
          </w:tcPr>
          <w:p w14:paraId="3505C247" w14:textId="276FB393"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国华益</w:t>
            </w:r>
            <w:proofErr w:type="gramStart"/>
            <w:r w:rsidRPr="00C40BA8">
              <w:rPr>
                <w:rFonts w:asciiTheme="minorEastAsia" w:eastAsiaTheme="minorEastAsia" w:hAnsiTheme="minorEastAsia" w:hint="eastAsia"/>
                <w:color w:val="000000"/>
              </w:rPr>
              <w:t>兴基金</w:t>
            </w:r>
            <w:proofErr w:type="gramEnd"/>
          </w:p>
        </w:tc>
      </w:tr>
      <w:tr w:rsidR="00C40BA8" w:rsidRPr="00C40BA8" w14:paraId="6A953531"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0E489B8C" w14:textId="0348C9E6"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18</w:t>
            </w:r>
          </w:p>
        </w:tc>
        <w:tc>
          <w:tcPr>
            <w:tcW w:w="4909" w:type="dxa"/>
            <w:tcBorders>
              <w:top w:val="single" w:sz="4" w:space="0" w:color="000000"/>
              <w:left w:val="single" w:sz="4" w:space="0" w:color="000000"/>
              <w:bottom w:val="single" w:sz="4" w:space="0" w:color="000000"/>
              <w:right w:val="single" w:sz="4" w:space="0" w:color="000000"/>
            </w:tcBorders>
            <w:vAlign w:val="bottom"/>
          </w:tcPr>
          <w:p w14:paraId="1283EFDA" w14:textId="1A763893"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国联基金</w:t>
            </w:r>
          </w:p>
        </w:tc>
      </w:tr>
      <w:tr w:rsidR="00C40BA8" w:rsidRPr="00C40BA8" w14:paraId="15AC4D7E"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79267F13" w14:textId="446525D6"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19</w:t>
            </w:r>
          </w:p>
        </w:tc>
        <w:tc>
          <w:tcPr>
            <w:tcW w:w="4909" w:type="dxa"/>
            <w:tcBorders>
              <w:top w:val="single" w:sz="4" w:space="0" w:color="000000"/>
              <w:left w:val="single" w:sz="4" w:space="0" w:color="000000"/>
              <w:bottom w:val="single" w:sz="4" w:space="0" w:color="000000"/>
              <w:right w:val="single" w:sz="4" w:space="0" w:color="000000"/>
            </w:tcBorders>
            <w:vAlign w:val="bottom"/>
          </w:tcPr>
          <w:p w14:paraId="54E5F9C8" w14:textId="776969B1"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国盛证券</w:t>
            </w:r>
          </w:p>
        </w:tc>
      </w:tr>
      <w:tr w:rsidR="00C40BA8" w:rsidRPr="00C40BA8" w14:paraId="43EBE94D"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0E259A77" w14:textId="22089B2C"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20</w:t>
            </w:r>
          </w:p>
        </w:tc>
        <w:tc>
          <w:tcPr>
            <w:tcW w:w="4909" w:type="dxa"/>
            <w:tcBorders>
              <w:top w:val="single" w:sz="4" w:space="0" w:color="000000"/>
              <w:left w:val="single" w:sz="4" w:space="0" w:color="000000"/>
              <w:bottom w:val="single" w:sz="4" w:space="0" w:color="000000"/>
              <w:right w:val="single" w:sz="4" w:space="0" w:color="000000"/>
            </w:tcBorders>
            <w:vAlign w:val="center"/>
          </w:tcPr>
          <w:p w14:paraId="53A389D7" w14:textId="3F35A1CE"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国寿安保</w:t>
            </w:r>
            <w:proofErr w:type="gramEnd"/>
          </w:p>
        </w:tc>
      </w:tr>
      <w:tr w:rsidR="00C40BA8" w:rsidRPr="00C40BA8" w14:paraId="44E5B31F"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13344002" w14:textId="078D25DE"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21</w:t>
            </w:r>
          </w:p>
        </w:tc>
        <w:tc>
          <w:tcPr>
            <w:tcW w:w="4909" w:type="dxa"/>
            <w:tcBorders>
              <w:top w:val="single" w:sz="4" w:space="0" w:color="000000"/>
              <w:left w:val="single" w:sz="4" w:space="0" w:color="000000"/>
              <w:bottom w:val="single" w:sz="4" w:space="0" w:color="000000"/>
              <w:right w:val="single" w:sz="4" w:space="0" w:color="000000"/>
            </w:tcBorders>
            <w:vAlign w:val="bottom"/>
          </w:tcPr>
          <w:p w14:paraId="568845AC" w14:textId="4CF27ACF"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国</w:t>
            </w:r>
            <w:proofErr w:type="gramStart"/>
            <w:r w:rsidRPr="00C40BA8">
              <w:rPr>
                <w:rFonts w:asciiTheme="minorEastAsia" w:eastAsiaTheme="minorEastAsia" w:hAnsiTheme="minorEastAsia" w:hint="eastAsia"/>
                <w:color w:val="000000"/>
              </w:rPr>
              <w:t>寿资产</w:t>
            </w:r>
            <w:proofErr w:type="gramEnd"/>
          </w:p>
        </w:tc>
      </w:tr>
      <w:tr w:rsidR="00C40BA8" w:rsidRPr="00C40BA8" w14:paraId="7BC30F16"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3B158BB9" w14:textId="0D5E23C8"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22</w:t>
            </w:r>
          </w:p>
        </w:tc>
        <w:tc>
          <w:tcPr>
            <w:tcW w:w="4909" w:type="dxa"/>
            <w:tcBorders>
              <w:top w:val="single" w:sz="4" w:space="0" w:color="000000"/>
              <w:left w:val="single" w:sz="4" w:space="0" w:color="000000"/>
              <w:bottom w:val="single" w:sz="4" w:space="0" w:color="000000"/>
              <w:right w:val="single" w:sz="4" w:space="0" w:color="000000"/>
            </w:tcBorders>
            <w:vAlign w:val="bottom"/>
          </w:tcPr>
          <w:p w14:paraId="449DFB6B" w14:textId="6F8F5531"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国泰海通</w:t>
            </w:r>
            <w:proofErr w:type="gramEnd"/>
            <w:r w:rsidRPr="00C40BA8">
              <w:rPr>
                <w:rFonts w:asciiTheme="minorEastAsia" w:eastAsiaTheme="minorEastAsia" w:hAnsiTheme="minorEastAsia" w:hint="eastAsia"/>
                <w:color w:val="000000"/>
              </w:rPr>
              <w:t>证券</w:t>
            </w:r>
          </w:p>
        </w:tc>
      </w:tr>
      <w:tr w:rsidR="00C40BA8" w:rsidRPr="00C40BA8" w14:paraId="5468ACEE"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0526A952" w14:textId="68C43913"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23</w:t>
            </w:r>
          </w:p>
        </w:tc>
        <w:tc>
          <w:tcPr>
            <w:tcW w:w="4909" w:type="dxa"/>
            <w:tcBorders>
              <w:top w:val="single" w:sz="4" w:space="0" w:color="000000"/>
              <w:left w:val="single" w:sz="4" w:space="0" w:color="000000"/>
              <w:bottom w:val="single" w:sz="4" w:space="0" w:color="000000"/>
              <w:right w:val="single" w:sz="4" w:space="0" w:color="000000"/>
            </w:tcBorders>
            <w:vAlign w:val="center"/>
          </w:tcPr>
          <w:p w14:paraId="373A58AD" w14:textId="4ACE8CE8"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国泰基金</w:t>
            </w:r>
          </w:p>
        </w:tc>
      </w:tr>
      <w:tr w:rsidR="00C40BA8" w:rsidRPr="00C40BA8" w14:paraId="2E9C34FC"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4EBEF642" w14:textId="7100758C"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24</w:t>
            </w:r>
          </w:p>
        </w:tc>
        <w:tc>
          <w:tcPr>
            <w:tcW w:w="4909" w:type="dxa"/>
            <w:tcBorders>
              <w:top w:val="single" w:sz="4" w:space="0" w:color="000000"/>
              <w:left w:val="single" w:sz="4" w:space="0" w:color="000000"/>
              <w:bottom w:val="single" w:sz="4" w:space="0" w:color="000000"/>
              <w:right w:val="single" w:sz="4" w:space="0" w:color="000000"/>
            </w:tcBorders>
            <w:vAlign w:val="center"/>
          </w:tcPr>
          <w:p w14:paraId="0EFA2CFA" w14:textId="39AA70D3"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国源信达</w:t>
            </w:r>
            <w:proofErr w:type="gramEnd"/>
          </w:p>
        </w:tc>
      </w:tr>
      <w:tr w:rsidR="00C40BA8" w:rsidRPr="00C40BA8" w14:paraId="6436C2D3"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39A969EF" w14:textId="5AB716F5"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25</w:t>
            </w:r>
          </w:p>
        </w:tc>
        <w:tc>
          <w:tcPr>
            <w:tcW w:w="4909" w:type="dxa"/>
            <w:tcBorders>
              <w:top w:val="single" w:sz="4" w:space="0" w:color="000000"/>
              <w:left w:val="single" w:sz="4" w:space="0" w:color="000000"/>
              <w:bottom w:val="single" w:sz="4" w:space="0" w:color="000000"/>
              <w:right w:val="single" w:sz="4" w:space="0" w:color="000000"/>
            </w:tcBorders>
            <w:vAlign w:val="bottom"/>
          </w:tcPr>
          <w:p w14:paraId="3351CD1E" w14:textId="3CF899B5"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海富通基金</w:t>
            </w:r>
          </w:p>
        </w:tc>
      </w:tr>
      <w:tr w:rsidR="00C40BA8" w:rsidRPr="00C40BA8" w14:paraId="498FA3F1"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3DD0B12" w14:textId="282D9364"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26</w:t>
            </w:r>
          </w:p>
        </w:tc>
        <w:tc>
          <w:tcPr>
            <w:tcW w:w="4909" w:type="dxa"/>
            <w:tcBorders>
              <w:top w:val="single" w:sz="4" w:space="0" w:color="000000"/>
              <w:left w:val="single" w:sz="4" w:space="0" w:color="000000"/>
              <w:bottom w:val="single" w:sz="4" w:space="0" w:color="000000"/>
              <w:right w:val="single" w:sz="4" w:space="0" w:color="000000"/>
            </w:tcBorders>
            <w:vAlign w:val="center"/>
          </w:tcPr>
          <w:p w14:paraId="71FE7306" w14:textId="777C269C"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杭银理财</w:t>
            </w:r>
            <w:proofErr w:type="gramEnd"/>
          </w:p>
        </w:tc>
      </w:tr>
      <w:tr w:rsidR="00C40BA8" w:rsidRPr="00C40BA8" w14:paraId="53ED1EDB"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6912AA5" w14:textId="70E23338"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27</w:t>
            </w:r>
          </w:p>
        </w:tc>
        <w:tc>
          <w:tcPr>
            <w:tcW w:w="4909" w:type="dxa"/>
            <w:tcBorders>
              <w:top w:val="single" w:sz="4" w:space="0" w:color="000000"/>
              <w:left w:val="single" w:sz="4" w:space="0" w:color="000000"/>
              <w:bottom w:val="single" w:sz="4" w:space="0" w:color="000000"/>
              <w:right w:val="single" w:sz="4" w:space="0" w:color="000000"/>
            </w:tcBorders>
            <w:vAlign w:val="bottom"/>
          </w:tcPr>
          <w:p w14:paraId="2A1DCA78" w14:textId="30D3D19F"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华</w:t>
            </w:r>
            <w:proofErr w:type="gramStart"/>
            <w:r w:rsidRPr="00C40BA8">
              <w:rPr>
                <w:rFonts w:asciiTheme="minorEastAsia" w:eastAsiaTheme="minorEastAsia" w:hAnsiTheme="minorEastAsia" w:hint="eastAsia"/>
                <w:color w:val="000000"/>
              </w:rPr>
              <w:t>宝基金</w:t>
            </w:r>
            <w:proofErr w:type="gramEnd"/>
          </w:p>
        </w:tc>
      </w:tr>
      <w:tr w:rsidR="00C40BA8" w:rsidRPr="00C40BA8" w14:paraId="77D44642"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4AC5996A" w14:textId="491D985A"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28</w:t>
            </w:r>
          </w:p>
        </w:tc>
        <w:tc>
          <w:tcPr>
            <w:tcW w:w="4909" w:type="dxa"/>
            <w:tcBorders>
              <w:top w:val="single" w:sz="4" w:space="0" w:color="000000"/>
              <w:left w:val="single" w:sz="4" w:space="0" w:color="000000"/>
              <w:bottom w:val="single" w:sz="4" w:space="0" w:color="000000"/>
              <w:right w:val="single" w:sz="4" w:space="0" w:color="000000"/>
            </w:tcBorders>
            <w:vAlign w:val="center"/>
          </w:tcPr>
          <w:p w14:paraId="199B59E4" w14:textId="0F6A9B80"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华</w:t>
            </w:r>
            <w:proofErr w:type="gramStart"/>
            <w:r w:rsidRPr="00C40BA8">
              <w:rPr>
                <w:rFonts w:asciiTheme="minorEastAsia" w:eastAsiaTheme="minorEastAsia" w:hAnsiTheme="minorEastAsia" w:hint="eastAsia"/>
                <w:color w:val="000000"/>
              </w:rPr>
              <w:t>龙证券</w:t>
            </w:r>
            <w:proofErr w:type="gramEnd"/>
          </w:p>
        </w:tc>
      </w:tr>
      <w:tr w:rsidR="00C40BA8" w:rsidRPr="00C40BA8" w14:paraId="291F4F4C"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598484A" w14:textId="07DC3912"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29</w:t>
            </w:r>
          </w:p>
        </w:tc>
        <w:tc>
          <w:tcPr>
            <w:tcW w:w="4909" w:type="dxa"/>
            <w:tcBorders>
              <w:top w:val="single" w:sz="4" w:space="0" w:color="000000"/>
              <w:left w:val="single" w:sz="4" w:space="0" w:color="000000"/>
              <w:bottom w:val="single" w:sz="4" w:space="0" w:color="000000"/>
              <w:right w:val="single" w:sz="4" w:space="0" w:color="000000"/>
            </w:tcBorders>
            <w:vAlign w:val="center"/>
          </w:tcPr>
          <w:p w14:paraId="5E1A1187" w14:textId="26862A87"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华能信托</w:t>
            </w:r>
          </w:p>
        </w:tc>
      </w:tr>
      <w:tr w:rsidR="00C40BA8" w:rsidRPr="00C40BA8" w14:paraId="42E4294F"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3131D5A0" w14:textId="041A3F5C"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30</w:t>
            </w:r>
          </w:p>
        </w:tc>
        <w:tc>
          <w:tcPr>
            <w:tcW w:w="4909" w:type="dxa"/>
            <w:tcBorders>
              <w:top w:val="single" w:sz="4" w:space="0" w:color="000000"/>
              <w:left w:val="single" w:sz="4" w:space="0" w:color="000000"/>
              <w:bottom w:val="single" w:sz="4" w:space="0" w:color="000000"/>
              <w:right w:val="single" w:sz="4" w:space="0" w:color="000000"/>
            </w:tcBorders>
            <w:vAlign w:val="center"/>
          </w:tcPr>
          <w:p w14:paraId="5FDD2BBF" w14:textId="7DFD5661"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华泰柏瑞基金</w:t>
            </w:r>
          </w:p>
        </w:tc>
      </w:tr>
      <w:tr w:rsidR="00C40BA8" w:rsidRPr="00C40BA8" w14:paraId="78D09171"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775472F6" w14:textId="7AE7BCA6"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31</w:t>
            </w:r>
          </w:p>
        </w:tc>
        <w:tc>
          <w:tcPr>
            <w:tcW w:w="4909" w:type="dxa"/>
            <w:tcBorders>
              <w:top w:val="single" w:sz="4" w:space="0" w:color="000000"/>
              <w:left w:val="single" w:sz="4" w:space="0" w:color="000000"/>
              <w:bottom w:val="single" w:sz="4" w:space="0" w:color="000000"/>
              <w:right w:val="single" w:sz="4" w:space="0" w:color="000000"/>
            </w:tcBorders>
            <w:vAlign w:val="center"/>
          </w:tcPr>
          <w:p w14:paraId="7DCB3C2D" w14:textId="273D1E6C"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华泰保兴基金</w:t>
            </w:r>
          </w:p>
        </w:tc>
      </w:tr>
      <w:tr w:rsidR="00C40BA8" w:rsidRPr="00C40BA8" w14:paraId="0A6B34D9"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74688912" w14:textId="6EC4E149"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32</w:t>
            </w:r>
          </w:p>
        </w:tc>
        <w:tc>
          <w:tcPr>
            <w:tcW w:w="4909" w:type="dxa"/>
            <w:tcBorders>
              <w:top w:val="single" w:sz="4" w:space="0" w:color="000000"/>
              <w:left w:val="single" w:sz="4" w:space="0" w:color="000000"/>
              <w:bottom w:val="single" w:sz="4" w:space="0" w:color="000000"/>
              <w:right w:val="single" w:sz="4" w:space="0" w:color="000000"/>
            </w:tcBorders>
            <w:vAlign w:val="bottom"/>
          </w:tcPr>
          <w:p w14:paraId="695F5C77" w14:textId="12039560"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华泰证券</w:t>
            </w:r>
          </w:p>
        </w:tc>
      </w:tr>
      <w:tr w:rsidR="00C40BA8" w:rsidRPr="00C40BA8" w14:paraId="4DCC98B4"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4DD726B9" w14:textId="2E862E10"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33</w:t>
            </w:r>
          </w:p>
        </w:tc>
        <w:tc>
          <w:tcPr>
            <w:tcW w:w="4909" w:type="dxa"/>
            <w:tcBorders>
              <w:top w:val="single" w:sz="4" w:space="0" w:color="000000"/>
              <w:left w:val="single" w:sz="4" w:space="0" w:color="000000"/>
              <w:bottom w:val="single" w:sz="4" w:space="0" w:color="000000"/>
              <w:right w:val="single" w:sz="4" w:space="0" w:color="000000"/>
            </w:tcBorders>
            <w:vAlign w:val="center"/>
          </w:tcPr>
          <w:p w14:paraId="51F56265" w14:textId="6CA1D967"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华夏基金</w:t>
            </w:r>
          </w:p>
        </w:tc>
      </w:tr>
      <w:tr w:rsidR="00C40BA8" w:rsidRPr="00C40BA8" w14:paraId="02838224"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3D0B0D54" w14:textId="181E2A19"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34</w:t>
            </w:r>
          </w:p>
        </w:tc>
        <w:tc>
          <w:tcPr>
            <w:tcW w:w="4909" w:type="dxa"/>
            <w:tcBorders>
              <w:top w:val="single" w:sz="4" w:space="0" w:color="000000"/>
              <w:left w:val="single" w:sz="4" w:space="0" w:color="000000"/>
              <w:bottom w:val="single" w:sz="4" w:space="0" w:color="000000"/>
              <w:right w:val="single" w:sz="4" w:space="0" w:color="000000"/>
            </w:tcBorders>
            <w:vAlign w:val="bottom"/>
          </w:tcPr>
          <w:p w14:paraId="6C0B247B" w14:textId="5841C74A"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华</w:t>
            </w:r>
            <w:proofErr w:type="gramStart"/>
            <w:r w:rsidRPr="00C40BA8">
              <w:rPr>
                <w:rFonts w:asciiTheme="minorEastAsia" w:eastAsiaTheme="minorEastAsia" w:hAnsiTheme="minorEastAsia" w:hint="eastAsia"/>
                <w:color w:val="000000"/>
              </w:rPr>
              <w:t>源证券</w:t>
            </w:r>
            <w:proofErr w:type="gramEnd"/>
          </w:p>
        </w:tc>
      </w:tr>
      <w:tr w:rsidR="00C40BA8" w:rsidRPr="00C40BA8" w14:paraId="736480E3"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0A245182" w14:textId="6E874349"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35</w:t>
            </w:r>
          </w:p>
        </w:tc>
        <w:tc>
          <w:tcPr>
            <w:tcW w:w="4909" w:type="dxa"/>
            <w:tcBorders>
              <w:top w:val="single" w:sz="4" w:space="0" w:color="000000"/>
              <w:left w:val="single" w:sz="4" w:space="0" w:color="000000"/>
              <w:bottom w:val="single" w:sz="4" w:space="0" w:color="000000"/>
              <w:right w:val="single" w:sz="4" w:space="0" w:color="000000"/>
            </w:tcBorders>
            <w:vAlign w:val="center"/>
          </w:tcPr>
          <w:p w14:paraId="2E57A512" w14:textId="562D4CD1"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嘉合基金</w:t>
            </w:r>
            <w:proofErr w:type="gramEnd"/>
          </w:p>
        </w:tc>
      </w:tr>
      <w:tr w:rsidR="00C40BA8" w:rsidRPr="00C40BA8" w14:paraId="546DE33F"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71B181DB" w14:textId="22E8CD29"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36</w:t>
            </w:r>
          </w:p>
        </w:tc>
        <w:tc>
          <w:tcPr>
            <w:tcW w:w="4909" w:type="dxa"/>
            <w:tcBorders>
              <w:top w:val="single" w:sz="4" w:space="0" w:color="000000"/>
              <w:left w:val="single" w:sz="4" w:space="0" w:color="000000"/>
              <w:bottom w:val="single" w:sz="4" w:space="0" w:color="000000"/>
              <w:right w:val="single" w:sz="4" w:space="0" w:color="000000"/>
            </w:tcBorders>
            <w:vAlign w:val="center"/>
          </w:tcPr>
          <w:p w14:paraId="41CF9AAE" w14:textId="58137290"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嘉</w:t>
            </w:r>
            <w:proofErr w:type="gramStart"/>
            <w:r w:rsidRPr="00C40BA8">
              <w:rPr>
                <w:rFonts w:asciiTheme="minorEastAsia" w:eastAsiaTheme="minorEastAsia" w:hAnsiTheme="minorEastAsia" w:hint="eastAsia"/>
                <w:color w:val="000000"/>
              </w:rPr>
              <w:t>实基金</w:t>
            </w:r>
            <w:proofErr w:type="gramEnd"/>
          </w:p>
        </w:tc>
      </w:tr>
      <w:tr w:rsidR="00C40BA8" w:rsidRPr="00C40BA8" w14:paraId="7EFD4A35"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16B3C028" w14:textId="7D1EE1E4"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37</w:t>
            </w:r>
          </w:p>
        </w:tc>
        <w:tc>
          <w:tcPr>
            <w:tcW w:w="4909" w:type="dxa"/>
            <w:tcBorders>
              <w:top w:val="single" w:sz="4" w:space="0" w:color="000000"/>
              <w:left w:val="single" w:sz="4" w:space="0" w:color="000000"/>
              <w:bottom w:val="single" w:sz="4" w:space="0" w:color="000000"/>
              <w:right w:val="single" w:sz="4" w:space="0" w:color="000000"/>
            </w:tcBorders>
            <w:vAlign w:val="center"/>
          </w:tcPr>
          <w:p w14:paraId="08DF70F6" w14:textId="24CCD108"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交银施罗德基金</w:t>
            </w:r>
          </w:p>
        </w:tc>
      </w:tr>
      <w:tr w:rsidR="00C40BA8" w:rsidRPr="00C40BA8" w14:paraId="5A164909"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5614BFF9" w14:textId="607BD448"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38</w:t>
            </w:r>
          </w:p>
        </w:tc>
        <w:tc>
          <w:tcPr>
            <w:tcW w:w="4909" w:type="dxa"/>
            <w:tcBorders>
              <w:top w:val="single" w:sz="4" w:space="0" w:color="000000"/>
              <w:left w:val="single" w:sz="4" w:space="0" w:color="000000"/>
              <w:bottom w:val="single" w:sz="4" w:space="0" w:color="000000"/>
              <w:right w:val="single" w:sz="4" w:space="0" w:color="000000"/>
            </w:tcBorders>
            <w:vAlign w:val="center"/>
          </w:tcPr>
          <w:p w14:paraId="7515A2DF" w14:textId="098BA6BA"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九泰基金</w:t>
            </w:r>
            <w:proofErr w:type="gramEnd"/>
          </w:p>
        </w:tc>
      </w:tr>
      <w:tr w:rsidR="00C40BA8" w:rsidRPr="00C40BA8" w14:paraId="23C55BCC"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3FCBA35" w14:textId="4D87D582"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39</w:t>
            </w:r>
          </w:p>
        </w:tc>
        <w:tc>
          <w:tcPr>
            <w:tcW w:w="4909" w:type="dxa"/>
            <w:tcBorders>
              <w:top w:val="single" w:sz="4" w:space="0" w:color="000000"/>
              <w:left w:val="single" w:sz="4" w:space="0" w:color="000000"/>
              <w:bottom w:val="single" w:sz="4" w:space="0" w:color="000000"/>
              <w:right w:val="single" w:sz="4" w:space="0" w:color="000000"/>
            </w:tcBorders>
            <w:vAlign w:val="center"/>
          </w:tcPr>
          <w:p w14:paraId="31805839" w14:textId="6F16AEF2"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南方基金</w:t>
            </w:r>
          </w:p>
        </w:tc>
      </w:tr>
      <w:tr w:rsidR="00C40BA8" w:rsidRPr="00C40BA8" w14:paraId="6FBE484E"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655F79D3" w14:textId="54426822"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40</w:t>
            </w:r>
          </w:p>
        </w:tc>
        <w:tc>
          <w:tcPr>
            <w:tcW w:w="4909" w:type="dxa"/>
            <w:tcBorders>
              <w:top w:val="single" w:sz="4" w:space="0" w:color="000000"/>
              <w:left w:val="single" w:sz="4" w:space="0" w:color="000000"/>
              <w:bottom w:val="single" w:sz="4" w:space="0" w:color="000000"/>
              <w:right w:val="single" w:sz="4" w:space="0" w:color="000000"/>
            </w:tcBorders>
            <w:vAlign w:val="center"/>
          </w:tcPr>
          <w:p w14:paraId="1AD16FE4" w14:textId="12A1C1B0"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宁银理财</w:t>
            </w:r>
            <w:proofErr w:type="gramEnd"/>
          </w:p>
        </w:tc>
      </w:tr>
      <w:tr w:rsidR="00C40BA8" w:rsidRPr="00C40BA8" w14:paraId="5B3A3051"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71E8C74D" w14:textId="62902E8A"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41</w:t>
            </w:r>
          </w:p>
        </w:tc>
        <w:tc>
          <w:tcPr>
            <w:tcW w:w="4909" w:type="dxa"/>
            <w:tcBorders>
              <w:top w:val="single" w:sz="4" w:space="0" w:color="000000"/>
              <w:left w:val="single" w:sz="4" w:space="0" w:color="000000"/>
              <w:bottom w:val="single" w:sz="4" w:space="0" w:color="000000"/>
              <w:right w:val="single" w:sz="4" w:space="0" w:color="000000"/>
            </w:tcBorders>
            <w:vAlign w:val="center"/>
          </w:tcPr>
          <w:p w14:paraId="0A32D5A1" w14:textId="5056476A"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鹏华基金</w:t>
            </w:r>
          </w:p>
        </w:tc>
      </w:tr>
      <w:tr w:rsidR="00C40BA8" w:rsidRPr="00C40BA8" w14:paraId="06CACFDB"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625C816B" w14:textId="18FE7AD6"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42</w:t>
            </w:r>
          </w:p>
        </w:tc>
        <w:tc>
          <w:tcPr>
            <w:tcW w:w="4909" w:type="dxa"/>
            <w:tcBorders>
              <w:top w:val="single" w:sz="4" w:space="0" w:color="000000"/>
              <w:left w:val="single" w:sz="4" w:space="0" w:color="000000"/>
              <w:bottom w:val="single" w:sz="4" w:space="0" w:color="000000"/>
              <w:right w:val="single" w:sz="4" w:space="0" w:color="000000"/>
            </w:tcBorders>
            <w:vAlign w:val="bottom"/>
          </w:tcPr>
          <w:p w14:paraId="11DDD897" w14:textId="75BB2899"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平安基金</w:t>
            </w:r>
          </w:p>
        </w:tc>
      </w:tr>
      <w:tr w:rsidR="00C40BA8" w:rsidRPr="00C40BA8" w14:paraId="68D75ACA"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D94C479" w14:textId="28117304"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lastRenderedPageBreak/>
              <w:t>43</w:t>
            </w:r>
          </w:p>
        </w:tc>
        <w:tc>
          <w:tcPr>
            <w:tcW w:w="4909" w:type="dxa"/>
            <w:tcBorders>
              <w:top w:val="single" w:sz="4" w:space="0" w:color="000000"/>
              <w:left w:val="single" w:sz="4" w:space="0" w:color="000000"/>
              <w:bottom w:val="single" w:sz="4" w:space="0" w:color="000000"/>
              <w:right w:val="single" w:sz="4" w:space="0" w:color="000000"/>
            </w:tcBorders>
            <w:vAlign w:val="bottom"/>
          </w:tcPr>
          <w:p w14:paraId="3F422D79" w14:textId="407616A0"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平安证券</w:t>
            </w:r>
          </w:p>
        </w:tc>
      </w:tr>
      <w:tr w:rsidR="00C40BA8" w:rsidRPr="00C40BA8" w14:paraId="189E53CF"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8C2DD70" w14:textId="0D4EDE7B"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44</w:t>
            </w:r>
          </w:p>
        </w:tc>
        <w:tc>
          <w:tcPr>
            <w:tcW w:w="4909" w:type="dxa"/>
            <w:tcBorders>
              <w:top w:val="single" w:sz="4" w:space="0" w:color="000000"/>
              <w:left w:val="single" w:sz="4" w:space="0" w:color="000000"/>
              <w:bottom w:val="single" w:sz="4" w:space="0" w:color="000000"/>
              <w:right w:val="single" w:sz="4" w:space="0" w:color="000000"/>
            </w:tcBorders>
            <w:vAlign w:val="center"/>
          </w:tcPr>
          <w:p w14:paraId="56B5D44C" w14:textId="25B9CCCF"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平安资管</w:t>
            </w:r>
            <w:proofErr w:type="gramEnd"/>
          </w:p>
        </w:tc>
      </w:tr>
      <w:tr w:rsidR="00C40BA8" w:rsidRPr="00C40BA8" w14:paraId="72381C85"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0D01EAC5" w14:textId="63F2D68C"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45</w:t>
            </w:r>
          </w:p>
        </w:tc>
        <w:tc>
          <w:tcPr>
            <w:tcW w:w="4909" w:type="dxa"/>
            <w:tcBorders>
              <w:top w:val="single" w:sz="4" w:space="0" w:color="000000"/>
              <w:left w:val="single" w:sz="4" w:space="0" w:color="000000"/>
              <w:bottom w:val="single" w:sz="4" w:space="0" w:color="000000"/>
              <w:right w:val="single" w:sz="4" w:space="0" w:color="000000"/>
            </w:tcBorders>
            <w:vAlign w:val="center"/>
          </w:tcPr>
          <w:p w14:paraId="1D982E62" w14:textId="761D9F49"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浦银安盛基金</w:t>
            </w:r>
            <w:proofErr w:type="gramEnd"/>
          </w:p>
        </w:tc>
      </w:tr>
      <w:tr w:rsidR="00C40BA8" w:rsidRPr="00C40BA8" w14:paraId="180FC265"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6DAB1FFC" w14:textId="697498F8"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46</w:t>
            </w:r>
          </w:p>
        </w:tc>
        <w:tc>
          <w:tcPr>
            <w:tcW w:w="4909" w:type="dxa"/>
            <w:tcBorders>
              <w:top w:val="single" w:sz="4" w:space="0" w:color="000000"/>
              <w:left w:val="single" w:sz="4" w:space="0" w:color="000000"/>
              <w:bottom w:val="single" w:sz="4" w:space="0" w:color="000000"/>
              <w:right w:val="single" w:sz="4" w:space="0" w:color="000000"/>
            </w:tcBorders>
            <w:vAlign w:val="bottom"/>
          </w:tcPr>
          <w:p w14:paraId="58F7088C" w14:textId="391D6033"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人保养老</w:t>
            </w:r>
          </w:p>
        </w:tc>
      </w:tr>
      <w:tr w:rsidR="00C40BA8" w:rsidRPr="00C40BA8" w14:paraId="00189283"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FA166DF" w14:textId="370052E7"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47</w:t>
            </w:r>
          </w:p>
        </w:tc>
        <w:tc>
          <w:tcPr>
            <w:tcW w:w="4909" w:type="dxa"/>
            <w:tcBorders>
              <w:top w:val="single" w:sz="4" w:space="0" w:color="000000"/>
              <w:left w:val="single" w:sz="4" w:space="0" w:color="000000"/>
              <w:bottom w:val="single" w:sz="4" w:space="0" w:color="000000"/>
              <w:right w:val="single" w:sz="4" w:space="0" w:color="000000"/>
            </w:tcBorders>
            <w:vAlign w:val="center"/>
          </w:tcPr>
          <w:p w14:paraId="5DF44C1B" w14:textId="2279419C"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睿远基金</w:t>
            </w:r>
            <w:proofErr w:type="gramEnd"/>
          </w:p>
        </w:tc>
      </w:tr>
      <w:tr w:rsidR="00C40BA8" w:rsidRPr="00C40BA8" w14:paraId="05D5FF1B"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49B951E1" w14:textId="20D6C169"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48</w:t>
            </w:r>
          </w:p>
        </w:tc>
        <w:tc>
          <w:tcPr>
            <w:tcW w:w="4909" w:type="dxa"/>
            <w:tcBorders>
              <w:top w:val="single" w:sz="4" w:space="0" w:color="000000"/>
              <w:left w:val="single" w:sz="4" w:space="0" w:color="000000"/>
              <w:bottom w:val="single" w:sz="4" w:space="0" w:color="000000"/>
              <w:right w:val="single" w:sz="4" w:space="0" w:color="000000"/>
            </w:tcBorders>
            <w:vAlign w:val="bottom"/>
          </w:tcPr>
          <w:p w14:paraId="6586F79C" w14:textId="69C69469"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申万宏源证券</w:t>
            </w:r>
            <w:proofErr w:type="gramEnd"/>
          </w:p>
        </w:tc>
      </w:tr>
      <w:tr w:rsidR="00C40BA8" w:rsidRPr="00C40BA8" w14:paraId="404A7930"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7DA863B4" w14:textId="023873FD"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49</w:t>
            </w:r>
          </w:p>
        </w:tc>
        <w:tc>
          <w:tcPr>
            <w:tcW w:w="4909" w:type="dxa"/>
            <w:tcBorders>
              <w:top w:val="single" w:sz="4" w:space="0" w:color="000000"/>
              <w:left w:val="single" w:sz="4" w:space="0" w:color="000000"/>
              <w:bottom w:val="single" w:sz="4" w:space="0" w:color="000000"/>
              <w:right w:val="single" w:sz="4" w:space="0" w:color="000000"/>
            </w:tcBorders>
            <w:vAlign w:val="center"/>
          </w:tcPr>
          <w:p w14:paraId="4005F9BC" w14:textId="4AC65D58"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世</w:t>
            </w:r>
            <w:proofErr w:type="gramEnd"/>
            <w:r w:rsidRPr="00C40BA8">
              <w:rPr>
                <w:rFonts w:asciiTheme="minorEastAsia" w:eastAsiaTheme="minorEastAsia" w:hAnsiTheme="minorEastAsia" w:hint="eastAsia"/>
                <w:color w:val="000000"/>
              </w:rPr>
              <w:t>诚投资</w:t>
            </w:r>
          </w:p>
        </w:tc>
      </w:tr>
      <w:tr w:rsidR="00C40BA8" w:rsidRPr="00C40BA8" w14:paraId="13EDD604"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041802C1" w14:textId="36F7C7CC"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50</w:t>
            </w:r>
          </w:p>
        </w:tc>
        <w:tc>
          <w:tcPr>
            <w:tcW w:w="4909" w:type="dxa"/>
            <w:tcBorders>
              <w:top w:val="single" w:sz="4" w:space="0" w:color="000000"/>
              <w:left w:val="single" w:sz="4" w:space="0" w:color="000000"/>
              <w:bottom w:val="single" w:sz="4" w:space="0" w:color="000000"/>
              <w:right w:val="single" w:sz="4" w:space="0" w:color="000000"/>
            </w:tcBorders>
            <w:vAlign w:val="center"/>
          </w:tcPr>
          <w:p w14:paraId="282E5133" w14:textId="5AB8AAE2"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太平养老</w:t>
            </w:r>
          </w:p>
        </w:tc>
      </w:tr>
      <w:tr w:rsidR="00C40BA8" w:rsidRPr="00C40BA8" w14:paraId="5438FAA6"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6380BAE" w14:textId="79808EC4"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51</w:t>
            </w:r>
          </w:p>
        </w:tc>
        <w:tc>
          <w:tcPr>
            <w:tcW w:w="4909" w:type="dxa"/>
            <w:tcBorders>
              <w:top w:val="single" w:sz="4" w:space="0" w:color="000000"/>
              <w:left w:val="single" w:sz="4" w:space="0" w:color="000000"/>
              <w:bottom w:val="single" w:sz="4" w:space="0" w:color="000000"/>
              <w:right w:val="single" w:sz="4" w:space="0" w:color="000000"/>
            </w:tcBorders>
            <w:vAlign w:val="center"/>
          </w:tcPr>
          <w:p w14:paraId="4F24DCD7" w14:textId="53F20045"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天弘基金</w:t>
            </w:r>
            <w:proofErr w:type="gramEnd"/>
          </w:p>
        </w:tc>
      </w:tr>
      <w:tr w:rsidR="00C40BA8" w:rsidRPr="00C40BA8" w14:paraId="17077868"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8F48447" w14:textId="060135B4"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52</w:t>
            </w:r>
          </w:p>
        </w:tc>
        <w:tc>
          <w:tcPr>
            <w:tcW w:w="4909" w:type="dxa"/>
            <w:tcBorders>
              <w:top w:val="single" w:sz="4" w:space="0" w:color="000000"/>
              <w:left w:val="single" w:sz="4" w:space="0" w:color="000000"/>
              <w:bottom w:val="single" w:sz="4" w:space="0" w:color="000000"/>
              <w:right w:val="single" w:sz="4" w:space="0" w:color="000000"/>
            </w:tcBorders>
            <w:vAlign w:val="center"/>
          </w:tcPr>
          <w:p w14:paraId="478366B1" w14:textId="0AF055E0"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信达澳亚</w:t>
            </w:r>
            <w:r w:rsidR="00AC368F">
              <w:rPr>
                <w:rFonts w:asciiTheme="minorEastAsia" w:eastAsiaTheme="minorEastAsia" w:hAnsiTheme="minorEastAsia" w:hint="eastAsia"/>
                <w:color w:val="000000"/>
              </w:rPr>
              <w:t>基</w:t>
            </w:r>
            <w:proofErr w:type="gramEnd"/>
            <w:r w:rsidR="00AC368F">
              <w:rPr>
                <w:rFonts w:asciiTheme="minorEastAsia" w:eastAsiaTheme="minorEastAsia" w:hAnsiTheme="minorEastAsia" w:hint="eastAsia"/>
                <w:color w:val="000000"/>
              </w:rPr>
              <w:t>金</w:t>
            </w:r>
          </w:p>
        </w:tc>
      </w:tr>
      <w:tr w:rsidR="00C40BA8" w:rsidRPr="00C40BA8" w14:paraId="52E16E15"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14A2FB09" w14:textId="0491B409"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53</w:t>
            </w:r>
          </w:p>
        </w:tc>
        <w:tc>
          <w:tcPr>
            <w:tcW w:w="4909" w:type="dxa"/>
            <w:tcBorders>
              <w:top w:val="single" w:sz="4" w:space="0" w:color="000000"/>
              <w:left w:val="single" w:sz="4" w:space="0" w:color="000000"/>
              <w:bottom w:val="single" w:sz="4" w:space="0" w:color="000000"/>
              <w:right w:val="single" w:sz="4" w:space="0" w:color="000000"/>
            </w:tcBorders>
            <w:vAlign w:val="bottom"/>
          </w:tcPr>
          <w:p w14:paraId="4B854629" w14:textId="64B47D2E"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信</w:t>
            </w:r>
            <w:proofErr w:type="gramStart"/>
            <w:r w:rsidRPr="00C40BA8">
              <w:rPr>
                <w:rFonts w:asciiTheme="minorEastAsia" w:eastAsiaTheme="minorEastAsia" w:hAnsiTheme="minorEastAsia" w:hint="eastAsia"/>
                <w:color w:val="000000"/>
              </w:rPr>
              <w:t>达证券</w:t>
            </w:r>
            <w:proofErr w:type="gramEnd"/>
          </w:p>
        </w:tc>
      </w:tr>
      <w:tr w:rsidR="00C40BA8" w:rsidRPr="00C40BA8" w14:paraId="3BD8DEEC"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D48F7A4" w14:textId="7B334B96"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54</w:t>
            </w:r>
          </w:p>
        </w:tc>
        <w:tc>
          <w:tcPr>
            <w:tcW w:w="4909" w:type="dxa"/>
            <w:tcBorders>
              <w:top w:val="single" w:sz="4" w:space="0" w:color="000000"/>
              <w:left w:val="single" w:sz="4" w:space="0" w:color="000000"/>
              <w:bottom w:val="single" w:sz="4" w:space="0" w:color="000000"/>
              <w:right w:val="single" w:sz="4" w:space="0" w:color="000000"/>
            </w:tcBorders>
            <w:vAlign w:val="center"/>
          </w:tcPr>
          <w:p w14:paraId="63512A83" w14:textId="79E7BFB0"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星石投资</w:t>
            </w:r>
          </w:p>
        </w:tc>
      </w:tr>
      <w:tr w:rsidR="00C40BA8" w:rsidRPr="00C40BA8" w14:paraId="6150E962"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09ECDCD4" w14:textId="4AB1A910"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55</w:t>
            </w:r>
          </w:p>
        </w:tc>
        <w:tc>
          <w:tcPr>
            <w:tcW w:w="4909" w:type="dxa"/>
            <w:tcBorders>
              <w:top w:val="single" w:sz="4" w:space="0" w:color="000000"/>
              <w:left w:val="single" w:sz="4" w:space="0" w:color="000000"/>
              <w:bottom w:val="single" w:sz="4" w:space="0" w:color="000000"/>
              <w:right w:val="single" w:sz="4" w:space="0" w:color="000000"/>
            </w:tcBorders>
            <w:vAlign w:val="bottom"/>
          </w:tcPr>
          <w:p w14:paraId="5EE0635E" w14:textId="1CAFBAD5"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兴</w:t>
            </w:r>
            <w:proofErr w:type="gramStart"/>
            <w:r w:rsidRPr="00C40BA8">
              <w:rPr>
                <w:rFonts w:asciiTheme="minorEastAsia" w:eastAsiaTheme="minorEastAsia" w:hAnsiTheme="minorEastAsia" w:hint="eastAsia"/>
                <w:color w:val="000000"/>
              </w:rPr>
              <w:t>全基金</w:t>
            </w:r>
            <w:proofErr w:type="gramEnd"/>
          </w:p>
        </w:tc>
      </w:tr>
      <w:tr w:rsidR="00C40BA8" w:rsidRPr="00C40BA8" w14:paraId="19486D1C"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78164571" w14:textId="1C9F4610"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56</w:t>
            </w:r>
          </w:p>
        </w:tc>
        <w:tc>
          <w:tcPr>
            <w:tcW w:w="4909" w:type="dxa"/>
            <w:tcBorders>
              <w:top w:val="single" w:sz="4" w:space="0" w:color="000000"/>
              <w:left w:val="single" w:sz="4" w:space="0" w:color="000000"/>
              <w:bottom w:val="single" w:sz="4" w:space="0" w:color="000000"/>
              <w:right w:val="single" w:sz="4" w:space="0" w:color="000000"/>
            </w:tcBorders>
            <w:vAlign w:val="bottom"/>
          </w:tcPr>
          <w:p w14:paraId="0972EF06" w14:textId="254F8EA2"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衍盛投资</w:t>
            </w:r>
            <w:proofErr w:type="gramEnd"/>
          </w:p>
        </w:tc>
      </w:tr>
      <w:tr w:rsidR="00C40BA8" w:rsidRPr="00C40BA8" w14:paraId="6BBC7C18"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0A8E79EE" w14:textId="781FA6E1"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57</w:t>
            </w:r>
          </w:p>
        </w:tc>
        <w:tc>
          <w:tcPr>
            <w:tcW w:w="4909" w:type="dxa"/>
            <w:tcBorders>
              <w:top w:val="single" w:sz="4" w:space="0" w:color="000000"/>
              <w:left w:val="single" w:sz="4" w:space="0" w:color="000000"/>
              <w:bottom w:val="single" w:sz="4" w:space="0" w:color="000000"/>
              <w:right w:val="single" w:sz="4" w:space="0" w:color="000000"/>
            </w:tcBorders>
            <w:vAlign w:val="center"/>
          </w:tcPr>
          <w:p w14:paraId="16E86020" w14:textId="7151F142"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易方达基金</w:t>
            </w:r>
          </w:p>
        </w:tc>
      </w:tr>
      <w:tr w:rsidR="00C40BA8" w:rsidRPr="00C40BA8" w14:paraId="31F58573"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38F1A812" w14:textId="6FA163FD"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58</w:t>
            </w:r>
          </w:p>
        </w:tc>
        <w:tc>
          <w:tcPr>
            <w:tcW w:w="4909" w:type="dxa"/>
            <w:tcBorders>
              <w:top w:val="single" w:sz="4" w:space="0" w:color="000000"/>
              <w:left w:val="single" w:sz="4" w:space="0" w:color="000000"/>
              <w:bottom w:val="single" w:sz="4" w:space="0" w:color="000000"/>
              <w:right w:val="single" w:sz="4" w:space="0" w:color="000000"/>
            </w:tcBorders>
            <w:vAlign w:val="center"/>
          </w:tcPr>
          <w:p w14:paraId="29C97E0D" w14:textId="1D85DA39"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银华基金</w:t>
            </w:r>
          </w:p>
        </w:tc>
      </w:tr>
      <w:tr w:rsidR="00C40BA8" w:rsidRPr="00C40BA8" w14:paraId="75FEC4ED"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330D669E" w14:textId="3311732E"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59</w:t>
            </w:r>
          </w:p>
        </w:tc>
        <w:tc>
          <w:tcPr>
            <w:tcW w:w="4909" w:type="dxa"/>
            <w:tcBorders>
              <w:top w:val="single" w:sz="4" w:space="0" w:color="000000"/>
              <w:left w:val="single" w:sz="4" w:space="0" w:color="000000"/>
              <w:bottom w:val="single" w:sz="4" w:space="0" w:color="000000"/>
              <w:right w:val="single" w:sz="4" w:space="0" w:color="000000"/>
            </w:tcBorders>
            <w:vAlign w:val="bottom"/>
          </w:tcPr>
          <w:p w14:paraId="24268D13" w14:textId="3F7C8793"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永赢基金</w:t>
            </w:r>
            <w:proofErr w:type="gramEnd"/>
          </w:p>
        </w:tc>
      </w:tr>
      <w:tr w:rsidR="00C40BA8" w:rsidRPr="00C40BA8" w14:paraId="5583FD47"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49D5ACB0" w14:textId="2769E068"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60</w:t>
            </w:r>
          </w:p>
        </w:tc>
        <w:tc>
          <w:tcPr>
            <w:tcW w:w="4909" w:type="dxa"/>
            <w:tcBorders>
              <w:top w:val="single" w:sz="4" w:space="0" w:color="000000"/>
              <w:left w:val="single" w:sz="4" w:space="0" w:color="000000"/>
              <w:bottom w:val="single" w:sz="4" w:space="0" w:color="000000"/>
              <w:right w:val="single" w:sz="4" w:space="0" w:color="000000"/>
            </w:tcBorders>
            <w:vAlign w:val="center"/>
          </w:tcPr>
          <w:p w14:paraId="254EA7B1" w14:textId="23D2ACA1"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长江养老</w:t>
            </w:r>
          </w:p>
        </w:tc>
      </w:tr>
      <w:tr w:rsidR="00C40BA8" w:rsidRPr="00C40BA8" w14:paraId="655A5BA4"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6FB9DCB" w14:textId="643574D4"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61</w:t>
            </w:r>
          </w:p>
        </w:tc>
        <w:tc>
          <w:tcPr>
            <w:tcW w:w="4909" w:type="dxa"/>
            <w:tcBorders>
              <w:top w:val="single" w:sz="4" w:space="0" w:color="000000"/>
              <w:left w:val="single" w:sz="4" w:space="0" w:color="000000"/>
              <w:bottom w:val="single" w:sz="4" w:space="0" w:color="000000"/>
              <w:right w:val="single" w:sz="4" w:space="0" w:color="000000"/>
            </w:tcBorders>
            <w:vAlign w:val="bottom"/>
          </w:tcPr>
          <w:p w14:paraId="1DE13FD4" w14:textId="71CFC8C5"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招商基金</w:t>
            </w:r>
          </w:p>
        </w:tc>
      </w:tr>
      <w:tr w:rsidR="00C40BA8" w:rsidRPr="00C40BA8" w14:paraId="3FDE1578"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567A8230" w14:textId="4B563303"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62</w:t>
            </w:r>
          </w:p>
        </w:tc>
        <w:tc>
          <w:tcPr>
            <w:tcW w:w="4909" w:type="dxa"/>
            <w:tcBorders>
              <w:top w:val="single" w:sz="4" w:space="0" w:color="000000"/>
              <w:left w:val="single" w:sz="4" w:space="0" w:color="000000"/>
              <w:bottom w:val="single" w:sz="4" w:space="0" w:color="000000"/>
              <w:right w:val="single" w:sz="4" w:space="0" w:color="000000"/>
            </w:tcBorders>
            <w:vAlign w:val="bottom"/>
          </w:tcPr>
          <w:p w14:paraId="34E13C96" w14:textId="44EFE743" w:rsidR="00C40BA8" w:rsidRPr="00C40BA8" w:rsidRDefault="00C40BA8" w:rsidP="00C40BA8">
            <w:pPr>
              <w:widowControl/>
              <w:jc w:val="center"/>
              <w:textAlignment w:val="bottom"/>
              <w:rPr>
                <w:rFonts w:asciiTheme="minorEastAsia" w:eastAsiaTheme="minorEastAsia" w:hAnsiTheme="minorEastAsia" w:hint="eastAsia"/>
                <w:color w:val="000000"/>
              </w:rPr>
            </w:pPr>
            <w:proofErr w:type="gramStart"/>
            <w:r w:rsidRPr="00C40BA8">
              <w:rPr>
                <w:rFonts w:asciiTheme="minorEastAsia" w:eastAsiaTheme="minorEastAsia" w:hAnsiTheme="minorEastAsia" w:hint="eastAsia"/>
                <w:color w:val="000000"/>
              </w:rPr>
              <w:t>浙商证券</w:t>
            </w:r>
            <w:proofErr w:type="gramEnd"/>
          </w:p>
        </w:tc>
      </w:tr>
      <w:tr w:rsidR="00C40BA8" w:rsidRPr="00C40BA8" w14:paraId="629BD7DB"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45EA614E" w14:textId="4287C1C4"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63</w:t>
            </w:r>
          </w:p>
        </w:tc>
        <w:tc>
          <w:tcPr>
            <w:tcW w:w="4909" w:type="dxa"/>
            <w:tcBorders>
              <w:top w:val="single" w:sz="4" w:space="0" w:color="000000"/>
              <w:left w:val="single" w:sz="4" w:space="0" w:color="000000"/>
              <w:bottom w:val="single" w:sz="4" w:space="0" w:color="000000"/>
              <w:right w:val="single" w:sz="4" w:space="0" w:color="000000"/>
            </w:tcBorders>
            <w:vAlign w:val="bottom"/>
          </w:tcPr>
          <w:p w14:paraId="4BA3B677" w14:textId="6D216088"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中金公司</w:t>
            </w:r>
          </w:p>
        </w:tc>
      </w:tr>
      <w:tr w:rsidR="00C40BA8" w:rsidRPr="00C40BA8" w14:paraId="34316A27"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0FB4EA97" w14:textId="34812390"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64</w:t>
            </w:r>
          </w:p>
        </w:tc>
        <w:tc>
          <w:tcPr>
            <w:tcW w:w="4909" w:type="dxa"/>
            <w:tcBorders>
              <w:top w:val="single" w:sz="4" w:space="0" w:color="000000"/>
              <w:left w:val="single" w:sz="4" w:space="0" w:color="000000"/>
              <w:bottom w:val="single" w:sz="4" w:space="0" w:color="000000"/>
              <w:right w:val="single" w:sz="4" w:space="0" w:color="000000"/>
            </w:tcBorders>
            <w:vAlign w:val="bottom"/>
          </w:tcPr>
          <w:p w14:paraId="2A986A44" w14:textId="593E235A"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中</w:t>
            </w:r>
            <w:proofErr w:type="gramStart"/>
            <w:r w:rsidRPr="00C40BA8">
              <w:rPr>
                <w:rFonts w:asciiTheme="minorEastAsia" w:eastAsiaTheme="minorEastAsia" w:hAnsiTheme="minorEastAsia" w:hint="eastAsia"/>
                <w:color w:val="000000"/>
              </w:rPr>
              <w:t>金资本</w:t>
            </w:r>
            <w:proofErr w:type="gramEnd"/>
          </w:p>
        </w:tc>
      </w:tr>
      <w:tr w:rsidR="00C40BA8" w:rsidRPr="00C40BA8" w14:paraId="01AEC540"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66C21D87" w14:textId="3FDF1DF2"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65</w:t>
            </w:r>
          </w:p>
        </w:tc>
        <w:tc>
          <w:tcPr>
            <w:tcW w:w="4909" w:type="dxa"/>
            <w:tcBorders>
              <w:top w:val="single" w:sz="4" w:space="0" w:color="000000"/>
              <w:left w:val="single" w:sz="4" w:space="0" w:color="000000"/>
              <w:bottom w:val="single" w:sz="4" w:space="0" w:color="000000"/>
              <w:right w:val="single" w:sz="4" w:space="0" w:color="000000"/>
            </w:tcBorders>
            <w:vAlign w:val="center"/>
          </w:tcPr>
          <w:p w14:paraId="3FF3A932" w14:textId="6D8C961E"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中欧基金</w:t>
            </w:r>
          </w:p>
        </w:tc>
      </w:tr>
      <w:tr w:rsidR="00C40BA8" w:rsidRPr="00C40BA8" w14:paraId="20DD41EE"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28D1D2D0" w14:textId="4567E87F"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66</w:t>
            </w:r>
          </w:p>
        </w:tc>
        <w:tc>
          <w:tcPr>
            <w:tcW w:w="4909" w:type="dxa"/>
            <w:tcBorders>
              <w:top w:val="single" w:sz="4" w:space="0" w:color="000000"/>
              <w:left w:val="single" w:sz="4" w:space="0" w:color="000000"/>
              <w:bottom w:val="single" w:sz="4" w:space="0" w:color="000000"/>
              <w:right w:val="single" w:sz="4" w:space="0" w:color="000000"/>
            </w:tcBorders>
            <w:vAlign w:val="bottom"/>
          </w:tcPr>
          <w:p w14:paraId="14912FA3" w14:textId="3E4F23AF"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中</w:t>
            </w:r>
            <w:proofErr w:type="gramStart"/>
            <w:r w:rsidRPr="00C40BA8">
              <w:rPr>
                <w:rFonts w:asciiTheme="minorEastAsia" w:eastAsiaTheme="minorEastAsia" w:hAnsiTheme="minorEastAsia" w:hint="eastAsia"/>
                <w:color w:val="000000"/>
              </w:rPr>
              <w:t>泰资管</w:t>
            </w:r>
            <w:proofErr w:type="gramEnd"/>
          </w:p>
        </w:tc>
      </w:tr>
      <w:tr w:rsidR="00C40BA8" w:rsidRPr="00C40BA8" w14:paraId="24680C96"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63370666" w14:textId="7D18B85A"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67</w:t>
            </w:r>
          </w:p>
        </w:tc>
        <w:tc>
          <w:tcPr>
            <w:tcW w:w="4909" w:type="dxa"/>
            <w:tcBorders>
              <w:top w:val="single" w:sz="4" w:space="0" w:color="000000"/>
              <w:left w:val="single" w:sz="4" w:space="0" w:color="000000"/>
              <w:bottom w:val="single" w:sz="4" w:space="0" w:color="000000"/>
              <w:right w:val="single" w:sz="4" w:space="0" w:color="000000"/>
            </w:tcBorders>
            <w:vAlign w:val="bottom"/>
          </w:tcPr>
          <w:p w14:paraId="50FD6712" w14:textId="38655559"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中</w:t>
            </w:r>
            <w:proofErr w:type="gramStart"/>
            <w:r w:rsidRPr="00C40BA8">
              <w:rPr>
                <w:rFonts w:asciiTheme="minorEastAsia" w:eastAsiaTheme="minorEastAsia" w:hAnsiTheme="minorEastAsia" w:hint="eastAsia"/>
                <w:color w:val="000000"/>
              </w:rPr>
              <w:t>信建投自营</w:t>
            </w:r>
            <w:proofErr w:type="gramEnd"/>
          </w:p>
        </w:tc>
      </w:tr>
      <w:tr w:rsidR="00C40BA8" w:rsidRPr="00C40BA8" w14:paraId="5BC881E0" w14:textId="77777777">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46B79150" w14:textId="22880C87"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68</w:t>
            </w:r>
          </w:p>
        </w:tc>
        <w:tc>
          <w:tcPr>
            <w:tcW w:w="4909" w:type="dxa"/>
            <w:tcBorders>
              <w:top w:val="single" w:sz="4" w:space="0" w:color="000000"/>
              <w:left w:val="single" w:sz="4" w:space="0" w:color="000000"/>
              <w:bottom w:val="single" w:sz="4" w:space="0" w:color="000000"/>
              <w:right w:val="single" w:sz="4" w:space="0" w:color="000000"/>
            </w:tcBorders>
            <w:vAlign w:val="bottom"/>
          </w:tcPr>
          <w:p w14:paraId="0B4E7418" w14:textId="58555EAC"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中信证券</w:t>
            </w:r>
          </w:p>
        </w:tc>
      </w:tr>
      <w:tr w:rsidR="00C40BA8" w:rsidRPr="00C40BA8" w14:paraId="144E6C6F"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362B6151" w14:textId="5E1DDF33"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69</w:t>
            </w:r>
          </w:p>
        </w:tc>
        <w:tc>
          <w:tcPr>
            <w:tcW w:w="4909" w:type="dxa"/>
            <w:tcBorders>
              <w:top w:val="single" w:sz="4" w:space="0" w:color="000000"/>
              <w:left w:val="single" w:sz="4" w:space="0" w:color="000000"/>
              <w:bottom w:val="single" w:sz="4" w:space="0" w:color="000000"/>
              <w:right w:val="single" w:sz="4" w:space="0" w:color="000000"/>
            </w:tcBorders>
            <w:vAlign w:val="center"/>
          </w:tcPr>
          <w:p w14:paraId="39412C54" w14:textId="3B0884E3"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中信资管</w:t>
            </w:r>
          </w:p>
        </w:tc>
      </w:tr>
      <w:tr w:rsidR="00C40BA8" w:rsidRPr="00C40BA8" w14:paraId="16A9C195" w14:textId="77777777" w:rsidTr="008D24C2">
        <w:trPr>
          <w:trHeight w:val="299"/>
        </w:trPr>
        <w:tc>
          <w:tcPr>
            <w:tcW w:w="3430" w:type="dxa"/>
            <w:tcBorders>
              <w:top w:val="single" w:sz="4" w:space="0" w:color="000000"/>
              <w:left w:val="single" w:sz="4" w:space="0" w:color="000000"/>
              <w:bottom w:val="single" w:sz="4" w:space="0" w:color="000000"/>
              <w:right w:val="single" w:sz="4" w:space="0" w:color="000000"/>
            </w:tcBorders>
            <w:vAlign w:val="bottom"/>
          </w:tcPr>
          <w:p w14:paraId="1FA2909A" w14:textId="50DEDEBE"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70</w:t>
            </w:r>
          </w:p>
        </w:tc>
        <w:tc>
          <w:tcPr>
            <w:tcW w:w="4909" w:type="dxa"/>
            <w:tcBorders>
              <w:top w:val="single" w:sz="4" w:space="0" w:color="000000"/>
              <w:left w:val="single" w:sz="4" w:space="0" w:color="000000"/>
              <w:bottom w:val="single" w:sz="4" w:space="0" w:color="000000"/>
              <w:right w:val="single" w:sz="4" w:space="0" w:color="000000"/>
            </w:tcBorders>
            <w:vAlign w:val="center"/>
          </w:tcPr>
          <w:p w14:paraId="3A923937" w14:textId="1113F68B" w:rsidR="00C40BA8" w:rsidRPr="00C40BA8" w:rsidRDefault="00C40BA8" w:rsidP="00C40BA8">
            <w:pPr>
              <w:widowControl/>
              <w:jc w:val="center"/>
              <w:textAlignment w:val="bottom"/>
              <w:rPr>
                <w:rFonts w:asciiTheme="minorEastAsia" w:eastAsiaTheme="minorEastAsia" w:hAnsiTheme="minorEastAsia" w:hint="eastAsia"/>
                <w:color w:val="000000"/>
              </w:rPr>
            </w:pPr>
            <w:r w:rsidRPr="00C40BA8">
              <w:rPr>
                <w:rFonts w:asciiTheme="minorEastAsia" w:eastAsiaTheme="minorEastAsia" w:hAnsiTheme="minorEastAsia" w:hint="eastAsia"/>
                <w:color w:val="000000"/>
              </w:rPr>
              <w:t>紫金资本</w:t>
            </w:r>
          </w:p>
        </w:tc>
      </w:tr>
    </w:tbl>
    <w:p w14:paraId="68C26DE9" w14:textId="77777777" w:rsidR="00BB411D" w:rsidRDefault="00BB411D">
      <w:pPr>
        <w:rPr>
          <w:rFonts w:ascii="宋体" w:eastAsia="宋体" w:hAnsi="宋体" w:cs="宋体" w:hint="eastAsia"/>
          <w:b/>
          <w:bCs/>
          <w:sz w:val="24"/>
          <w:szCs w:val="24"/>
          <w:lang w:val="en-US"/>
        </w:rPr>
      </w:pPr>
    </w:p>
    <w:sectPr w:rsidR="00BB411D">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18072" w14:textId="77777777" w:rsidR="00981702" w:rsidRDefault="00981702">
      <w:pPr>
        <w:rPr>
          <w:rFonts w:hint="eastAsia"/>
        </w:rPr>
      </w:pPr>
      <w:r>
        <w:separator/>
      </w:r>
    </w:p>
  </w:endnote>
  <w:endnote w:type="continuationSeparator" w:id="0">
    <w:p w14:paraId="68C27DC2" w14:textId="77777777" w:rsidR="00981702" w:rsidRDefault="009817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985512"/>
    </w:sdtPr>
    <w:sdtContent>
      <w:p w14:paraId="49DB1319" w14:textId="77777777" w:rsidR="00BB411D" w:rsidRDefault="00000000">
        <w:pPr>
          <w:pStyle w:val="a8"/>
          <w:jc w:val="center"/>
          <w:rPr>
            <w:rFonts w:hint="eastAsia"/>
          </w:rPr>
        </w:pPr>
        <w:r>
          <w:fldChar w:fldCharType="begin"/>
        </w:r>
        <w:r>
          <w:instrText>PAGE   \* MERGEFORMAT</w:instrText>
        </w:r>
        <w:r>
          <w:fldChar w:fldCharType="separate"/>
        </w:r>
        <w:r>
          <w:t>2</w:t>
        </w:r>
        <w:r>
          <w:fldChar w:fldCharType="end"/>
        </w:r>
      </w:p>
    </w:sdtContent>
  </w:sdt>
  <w:p w14:paraId="254902B2" w14:textId="77777777" w:rsidR="00BB411D" w:rsidRDefault="00BB411D">
    <w:pPr>
      <w:pStyle w:val="a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06171" w14:textId="77777777" w:rsidR="00981702" w:rsidRDefault="00981702">
      <w:pPr>
        <w:rPr>
          <w:rFonts w:hint="eastAsia"/>
        </w:rPr>
      </w:pPr>
      <w:r>
        <w:separator/>
      </w:r>
    </w:p>
  </w:footnote>
  <w:footnote w:type="continuationSeparator" w:id="0">
    <w:p w14:paraId="55C0B5C2" w14:textId="77777777" w:rsidR="00981702" w:rsidRDefault="0098170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F71358"/>
    <w:multiLevelType w:val="singleLevel"/>
    <w:tmpl w:val="68F71358"/>
    <w:lvl w:ilvl="0">
      <w:start w:val="4"/>
      <w:numFmt w:val="decimal"/>
      <w:lvlText w:val="%1."/>
      <w:lvlJc w:val="left"/>
      <w:pPr>
        <w:tabs>
          <w:tab w:val="left" w:pos="312"/>
        </w:tabs>
      </w:pPr>
    </w:lvl>
  </w:abstractNum>
  <w:num w:numId="1" w16cid:durableId="488055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F1"/>
    <w:rsid w:val="00001DBB"/>
    <w:rsid w:val="00005696"/>
    <w:rsid w:val="00010492"/>
    <w:rsid w:val="00014F6C"/>
    <w:rsid w:val="0001603C"/>
    <w:rsid w:val="0004574E"/>
    <w:rsid w:val="00046AE9"/>
    <w:rsid w:val="00053DDE"/>
    <w:rsid w:val="00054645"/>
    <w:rsid w:val="00060525"/>
    <w:rsid w:val="00061767"/>
    <w:rsid w:val="000631D7"/>
    <w:rsid w:val="00066070"/>
    <w:rsid w:val="00067D39"/>
    <w:rsid w:val="0008002E"/>
    <w:rsid w:val="0008328B"/>
    <w:rsid w:val="00091113"/>
    <w:rsid w:val="000938F1"/>
    <w:rsid w:val="00096A41"/>
    <w:rsid w:val="000B3B67"/>
    <w:rsid w:val="000B419B"/>
    <w:rsid w:val="000B69B7"/>
    <w:rsid w:val="000C4FC1"/>
    <w:rsid w:val="000C7D38"/>
    <w:rsid w:val="000D5365"/>
    <w:rsid w:val="000E051D"/>
    <w:rsid w:val="000E47E6"/>
    <w:rsid w:val="000E5874"/>
    <w:rsid w:val="000F3878"/>
    <w:rsid w:val="00103187"/>
    <w:rsid w:val="00117D95"/>
    <w:rsid w:val="00117F6A"/>
    <w:rsid w:val="0012745D"/>
    <w:rsid w:val="0012788F"/>
    <w:rsid w:val="00133049"/>
    <w:rsid w:val="00135DF5"/>
    <w:rsid w:val="00142151"/>
    <w:rsid w:val="00144B32"/>
    <w:rsid w:val="001519ED"/>
    <w:rsid w:val="00152300"/>
    <w:rsid w:val="00154D9E"/>
    <w:rsid w:val="00164A6C"/>
    <w:rsid w:val="0016770E"/>
    <w:rsid w:val="0017555B"/>
    <w:rsid w:val="001768FA"/>
    <w:rsid w:val="00180CF8"/>
    <w:rsid w:val="00181A34"/>
    <w:rsid w:val="00186AF1"/>
    <w:rsid w:val="001901BA"/>
    <w:rsid w:val="001914F4"/>
    <w:rsid w:val="0019534C"/>
    <w:rsid w:val="001A07CD"/>
    <w:rsid w:val="001A25E6"/>
    <w:rsid w:val="001A4CD2"/>
    <w:rsid w:val="001A7E85"/>
    <w:rsid w:val="001C188E"/>
    <w:rsid w:val="001C5507"/>
    <w:rsid w:val="001D07B1"/>
    <w:rsid w:val="001D7D62"/>
    <w:rsid w:val="001E01C7"/>
    <w:rsid w:val="001E141B"/>
    <w:rsid w:val="001E73F4"/>
    <w:rsid w:val="001F798A"/>
    <w:rsid w:val="001F7AEA"/>
    <w:rsid w:val="00205F09"/>
    <w:rsid w:val="00210D6E"/>
    <w:rsid w:val="0021616A"/>
    <w:rsid w:val="0021656F"/>
    <w:rsid w:val="00224C6A"/>
    <w:rsid w:val="00235AB3"/>
    <w:rsid w:val="002367CA"/>
    <w:rsid w:val="00237D2B"/>
    <w:rsid w:val="002413EB"/>
    <w:rsid w:val="002440DF"/>
    <w:rsid w:val="002517A5"/>
    <w:rsid w:val="00251E5A"/>
    <w:rsid w:val="002603AB"/>
    <w:rsid w:val="00264984"/>
    <w:rsid w:val="00267B05"/>
    <w:rsid w:val="00272904"/>
    <w:rsid w:val="00275DA1"/>
    <w:rsid w:val="002770C8"/>
    <w:rsid w:val="00277FE6"/>
    <w:rsid w:val="00283E20"/>
    <w:rsid w:val="0029054A"/>
    <w:rsid w:val="00293EB9"/>
    <w:rsid w:val="002A1600"/>
    <w:rsid w:val="002C2865"/>
    <w:rsid w:val="002C6DAB"/>
    <w:rsid w:val="002D7999"/>
    <w:rsid w:val="002E6A2A"/>
    <w:rsid w:val="002E7260"/>
    <w:rsid w:val="002F0EF7"/>
    <w:rsid w:val="002F3917"/>
    <w:rsid w:val="002F6FB7"/>
    <w:rsid w:val="003077C8"/>
    <w:rsid w:val="00310B59"/>
    <w:rsid w:val="00312F5A"/>
    <w:rsid w:val="00323783"/>
    <w:rsid w:val="003460E3"/>
    <w:rsid w:val="0035345E"/>
    <w:rsid w:val="00356668"/>
    <w:rsid w:val="00356776"/>
    <w:rsid w:val="00375D7C"/>
    <w:rsid w:val="003813F1"/>
    <w:rsid w:val="00383521"/>
    <w:rsid w:val="00397389"/>
    <w:rsid w:val="003974C8"/>
    <w:rsid w:val="003A220C"/>
    <w:rsid w:val="003B1C74"/>
    <w:rsid w:val="003B74C5"/>
    <w:rsid w:val="003C5226"/>
    <w:rsid w:val="003D1975"/>
    <w:rsid w:val="003D424E"/>
    <w:rsid w:val="003D7DB8"/>
    <w:rsid w:val="003F0FA2"/>
    <w:rsid w:val="003F3CBB"/>
    <w:rsid w:val="00401B41"/>
    <w:rsid w:val="00402ECB"/>
    <w:rsid w:val="004113FE"/>
    <w:rsid w:val="00414F01"/>
    <w:rsid w:val="004152E8"/>
    <w:rsid w:val="00416D06"/>
    <w:rsid w:val="0041724C"/>
    <w:rsid w:val="00424B5B"/>
    <w:rsid w:val="00427ED6"/>
    <w:rsid w:val="0044155E"/>
    <w:rsid w:val="004429F8"/>
    <w:rsid w:val="004439B7"/>
    <w:rsid w:val="00456603"/>
    <w:rsid w:val="004572B2"/>
    <w:rsid w:val="004720C6"/>
    <w:rsid w:val="00475C23"/>
    <w:rsid w:val="0047612C"/>
    <w:rsid w:val="004779B9"/>
    <w:rsid w:val="0048033E"/>
    <w:rsid w:val="00492859"/>
    <w:rsid w:val="004C0D52"/>
    <w:rsid w:val="004D0967"/>
    <w:rsid w:val="004D6A6C"/>
    <w:rsid w:val="004E08A1"/>
    <w:rsid w:val="004E36DF"/>
    <w:rsid w:val="004E4731"/>
    <w:rsid w:val="004E7F24"/>
    <w:rsid w:val="004F2A69"/>
    <w:rsid w:val="005012E5"/>
    <w:rsid w:val="0050134B"/>
    <w:rsid w:val="00506B46"/>
    <w:rsid w:val="00515247"/>
    <w:rsid w:val="005416A3"/>
    <w:rsid w:val="005423CF"/>
    <w:rsid w:val="00550B7C"/>
    <w:rsid w:val="00555B2F"/>
    <w:rsid w:val="005624B8"/>
    <w:rsid w:val="00564474"/>
    <w:rsid w:val="00570420"/>
    <w:rsid w:val="00570F1A"/>
    <w:rsid w:val="00572767"/>
    <w:rsid w:val="00576746"/>
    <w:rsid w:val="00585A69"/>
    <w:rsid w:val="00586491"/>
    <w:rsid w:val="00594F95"/>
    <w:rsid w:val="005B21F5"/>
    <w:rsid w:val="005B2714"/>
    <w:rsid w:val="005B6772"/>
    <w:rsid w:val="005B6E87"/>
    <w:rsid w:val="005C2DDC"/>
    <w:rsid w:val="005C60C7"/>
    <w:rsid w:val="005C7350"/>
    <w:rsid w:val="005D3B6B"/>
    <w:rsid w:val="005D4CEC"/>
    <w:rsid w:val="005D6DE1"/>
    <w:rsid w:val="005E2AE8"/>
    <w:rsid w:val="005E6397"/>
    <w:rsid w:val="005E7CC0"/>
    <w:rsid w:val="005F6E16"/>
    <w:rsid w:val="00603011"/>
    <w:rsid w:val="006045BF"/>
    <w:rsid w:val="00605C6A"/>
    <w:rsid w:val="00606013"/>
    <w:rsid w:val="00630C2B"/>
    <w:rsid w:val="006420FE"/>
    <w:rsid w:val="00644CD5"/>
    <w:rsid w:val="006531CE"/>
    <w:rsid w:val="0065370D"/>
    <w:rsid w:val="006654FD"/>
    <w:rsid w:val="00666B5F"/>
    <w:rsid w:val="006715BD"/>
    <w:rsid w:val="0068529C"/>
    <w:rsid w:val="00685CCD"/>
    <w:rsid w:val="006966B2"/>
    <w:rsid w:val="0069751A"/>
    <w:rsid w:val="00697613"/>
    <w:rsid w:val="006A2610"/>
    <w:rsid w:val="006A3A12"/>
    <w:rsid w:val="006A49F0"/>
    <w:rsid w:val="006B5CB7"/>
    <w:rsid w:val="006C3413"/>
    <w:rsid w:val="006D5A0A"/>
    <w:rsid w:val="006F2462"/>
    <w:rsid w:val="006F4569"/>
    <w:rsid w:val="006F481E"/>
    <w:rsid w:val="006F7EBA"/>
    <w:rsid w:val="0070561E"/>
    <w:rsid w:val="00712715"/>
    <w:rsid w:val="0071661D"/>
    <w:rsid w:val="00716EE9"/>
    <w:rsid w:val="00736089"/>
    <w:rsid w:val="007362D5"/>
    <w:rsid w:val="0074539D"/>
    <w:rsid w:val="00753384"/>
    <w:rsid w:val="00753FB7"/>
    <w:rsid w:val="007540C4"/>
    <w:rsid w:val="0078041F"/>
    <w:rsid w:val="00785958"/>
    <w:rsid w:val="0078618A"/>
    <w:rsid w:val="007978A4"/>
    <w:rsid w:val="007A131A"/>
    <w:rsid w:val="007A179F"/>
    <w:rsid w:val="007A2E71"/>
    <w:rsid w:val="007A4C4E"/>
    <w:rsid w:val="007D167A"/>
    <w:rsid w:val="007D66CD"/>
    <w:rsid w:val="00801E1C"/>
    <w:rsid w:val="00802820"/>
    <w:rsid w:val="00804038"/>
    <w:rsid w:val="008063C1"/>
    <w:rsid w:val="0081066E"/>
    <w:rsid w:val="00824640"/>
    <w:rsid w:val="00824A13"/>
    <w:rsid w:val="00836971"/>
    <w:rsid w:val="00841A24"/>
    <w:rsid w:val="008451EE"/>
    <w:rsid w:val="00845E64"/>
    <w:rsid w:val="008530F3"/>
    <w:rsid w:val="00855DEF"/>
    <w:rsid w:val="0085727B"/>
    <w:rsid w:val="008641CA"/>
    <w:rsid w:val="00866B6B"/>
    <w:rsid w:val="008749C1"/>
    <w:rsid w:val="008806D5"/>
    <w:rsid w:val="008A5CF8"/>
    <w:rsid w:val="008A65CA"/>
    <w:rsid w:val="008C33B1"/>
    <w:rsid w:val="008C4759"/>
    <w:rsid w:val="008D5F0B"/>
    <w:rsid w:val="008E633C"/>
    <w:rsid w:val="008F227C"/>
    <w:rsid w:val="008F37DC"/>
    <w:rsid w:val="008F52A5"/>
    <w:rsid w:val="008F54FD"/>
    <w:rsid w:val="008F796C"/>
    <w:rsid w:val="00906EDA"/>
    <w:rsid w:val="00907A85"/>
    <w:rsid w:val="009110D6"/>
    <w:rsid w:val="009217EB"/>
    <w:rsid w:val="00922174"/>
    <w:rsid w:val="00924382"/>
    <w:rsid w:val="009247F5"/>
    <w:rsid w:val="0092517F"/>
    <w:rsid w:val="00926828"/>
    <w:rsid w:val="009329D0"/>
    <w:rsid w:val="00933F47"/>
    <w:rsid w:val="009460DB"/>
    <w:rsid w:val="0095296E"/>
    <w:rsid w:val="0095750D"/>
    <w:rsid w:val="00957D44"/>
    <w:rsid w:val="00960B94"/>
    <w:rsid w:val="009623B0"/>
    <w:rsid w:val="00963127"/>
    <w:rsid w:val="00967471"/>
    <w:rsid w:val="00967E1E"/>
    <w:rsid w:val="0097117B"/>
    <w:rsid w:val="00980480"/>
    <w:rsid w:val="00981702"/>
    <w:rsid w:val="009867BC"/>
    <w:rsid w:val="00991315"/>
    <w:rsid w:val="009932E7"/>
    <w:rsid w:val="00993BEE"/>
    <w:rsid w:val="009947FB"/>
    <w:rsid w:val="00995182"/>
    <w:rsid w:val="00996ADB"/>
    <w:rsid w:val="009A39AE"/>
    <w:rsid w:val="009C105B"/>
    <w:rsid w:val="009C3D53"/>
    <w:rsid w:val="009D1089"/>
    <w:rsid w:val="009E0551"/>
    <w:rsid w:val="009F59D0"/>
    <w:rsid w:val="00A05EF7"/>
    <w:rsid w:val="00A23398"/>
    <w:rsid w:val="00A3010E"/>
    <w:rsid w:val="00A31BA5"/>
    <w:rsid w:val="00A44085"/>
    <w:rsid w:val="00A477D8"/>
    <w:rsid w:val="00A52A51"/>
    <w:rsid w:val="00A579C6"/>
    <w:rsid w:val="00A71181"/>
    <w:rsid w:val="00A73FB7"/>
    <w:rsid w:val="00A92B77"/>
    <w:rsid w:val="00AA4E77"/>
    <w:rsid w:val="00AA738C"/>
    <w:rsid w:val="00AB1127"/>
    <w:rsid w:val="00AB5AF0"/>
    <w:rsid w:val="00AC0D8B"/>
    <w:rsid w:val="00AC12B8"/>
    <w:rsid w:val="00AC3097"/>
    <w:rsid w:val="00AC368F"/>
    <w:rsid w:val="00AC5A46"/>
    <w:rsid w:val="00AC70D1"/>
    <w:rsid w:val="00AE30E8"/>
    <w:rsid w:val="00AF0C76"/>
    <w:rsid w:val="00AF53BB"/>
    <w:rsid w:val="00B01D9B"/>
    <w:rsid w:val="00B04833"/>
    <w:rsid w:val="00B05D29"/>
    <w:rsid w:val="00B14C80"/>
    <w:rsid w:val="00B172CF"/>
    <w:rsid w:val="00B21636"/>
    <w:rsid w:val="00B26386"/>
    <w:rsid w:val="00B329AE"/>
    <w:rsid w:val="00B44ADA"/>
    <w:rsid w:val="00B44D45"/>
    <w:rsid w:val="00B47FB1"/>
    <w:rsid w:val="00B5143F"/>
    <w:rsid w:val="00B5209F"/>
    <w:rsid w:val="00B66A63"/>
    <w:rsid w:val="00B72244"/>
    <w:rsid w:val="00B74429"/>
    <w:rsid w:val="00B774A1"/>
    <w:rsid w:val="00B81501"/>
    <w:rsid w:val="00B8368B"/>
    <w:rsid w:val="00B84146"/>
    <w:rsid w:val="00B8527F"/>
    <w:rsid w:val="00B94E1B"/>
    <w:rsid w:val="00BA3FEF"/>
    <w:rsid w:val="00BA7C14"/>
    <w:rsid w:val="00BB077A"/>
    <w:rsid w:val="00BB26E0"/>
    <w:rsid w:val="00BB411D"/>
    <w:rsid w:val="00BB770E"/>
    <w:rsid w:val="00BC2986"/>
    <w:rsid w:val="00BC77EB"/>
    <w:rsid w:val="00BC7DEB"/>
    <w:rsid w:val="00BD14EF"/>
    <w:rsid w:val="00BD2D5C"/>
    <w:rsid w:val="00BE4571"/>
    <w:rsid w:val="00BF03C9"/>
    <w:rsid w:val="00BF0996"/>
    <w:rsid w:val="00BF4465"/>
    <w:rsid w:val="00BF75F1"/>
    <w:rsid w:val="00C0305C"/>
    <w:rsid w:val="00C045A2"/>
    <w:rsid w:val="00C06043"/>
    <w:rsid w:val="00C17EF2"/>
    <w:rsid w:val="00C2078A"/>
    <w:rsid w:val="00C32F82"/>
    <w:rsid w:val="00C40BA8"/>
    <w:rsid w:val="00C418AB"/>
    <w:rsid w:val="00C847B7"/>
    <w:rsid w:val="00CB259D"/>
    <w:rsid w:val="00CB72BC"/>
    <w:rsid w:val="00CC218B"/>
    <w:rsid w:val="00CC47DD"/>
    <w:rsid w:val="00CE3C0D"/>
    <w:rsid w:val="00CE5593"/>
    <w:rsid w:val="00D0144C"/>
    <w:rsid w:val="00D03E4D"/>
    <w:rsid w:val="00D04C38"/>
    <w:rsid w:val="00D16968"/>
    <w:rsid w:val="00D17272"/>
    <w:rsid w:val="00D17A2E"/>
    <w:rsid w:val="00D32195"/>
    <w:rsid w:val="00D321CB"/>
    <w:rsid w:val="00D348C5"/>
    <w:rsid w:val="00D35E79"/>
    <w:rsid w:val="00D541E1"/>
    <w:rsid w:val="00D56442"/>
    <w:rsid w:val="00D60F17"/>
    <w:rsid w:val="00D61A8D"/>
    <w:rsid w:val="00D71589"/>
    <w:rsid w:val="00D75AF6"/>
    <w:rsid w:val="00D806E0"/>
    <w:rsid w:val="00D83DB6"/>
    <w:rsid w:val="00D8532A"/>
    <w:rsid w:val="00D87DF5"/>
    <w:rsid w:val="00DA573F"/>
    <w:rsid w:val="00DA615B"/>
    <w:rsid w:val="00DB1D01"/>
    <w:rsid w:val="00DC155B"/>
    <w:rsid w:val="00DC35F6"/>
    <w:rsid w:val="00DC4CFB"/>
    <w:rsid w:val="00DD0B95"/>
    <w:rsid w:val="00DD7B8A"/>
    <w:rsid w:val="00DE15E2"/>
    <w:rsid w:val="00DF0729"/>
    <w:rsid w:val="00E00179"/>
    <w:rsid w:val="00E001E3"/>
    <w:rsid w:val="00E0075B"/>
    <w:rsid w:val="00E13D43"/>
    <w:rsid w:val="00E26F20"/>
    <w:rsid w:val="00E321EE"/>
    <w:rsid w:val="00E409FE"/>
    <w:rsid w:val="00E40B9E"/>
    <w:rsid w:val="00E46B0B"/>
    <w:rsid w:val="00E51C25"/>
    <w:rsid w:val="00E576A3"/>
    <w:rsid w:val="00E63EBE"/>
    <w:rsid w:val="00E643D3"/>
    <w:rsid w:val="00E67D38"/>
    <w:rsid w:val="00E912D2"/>
    <w:rsid w:val="00E93E51"/>
    <w:rsid w:val="00E95024"/>
    <w:rsid w:val="00EB258F"/>
    <w:rsid w:val="00EB48FE"/>
    <w:rsid w:val="00EB496D"/>
    <w:rsid w:val="00EB617C"/>
    <w:rsid w:val="00ED4917"/>
    <w:rsid w:val="00ED50DF"/>
    <w:rsid w:val="00EE2053"/>
    <w:rsid w:val="00EF12C5"/>
    <w:rsid w:val="00EF647F"/>
    <w:rsid w:val="00EF7E61"/>
    <w:rsid w:val="00F04AA5"/>
    <w:rsid w:val="00F113A1"/>
    <w:rsid w:val="00F20C1D"/>
    <w:rsid w:val="00F303AF"/>
    <w:rsid w:val="00F41A80"/>
    <w:rsid w:val="00F423C5"/>
    <w:rsid w:val="00F445C1"/>
    <w:rsid w:val="00F448F3"/>
    <w:rsid w:val="00F526EF"/>
    <w:rsid w:val="00F570DF"/>
    <w:rsid w:val="00F6092C"/>
    <w:rsid w:val="00F60E0E"/>
    <w:rsid w:val="00F65241"/>
    <w:rsid w:val="00F66566"/>
    <w:rsid w:val="00F76B86"/>
    <w:rsid w:val="00F856C1"/>
    <w:rsid w:val="00F9035F"/>
    <w:rsid w:val="00FA244A"/>
    <w:rsid w:val="00FA569E"/>
    <w:rsid w:val="00FA5DAC"/>
    <w:rsid w:val="00FD25D2"/>
    <w:rsid w:val="00FE272B"/>
    <w:rsid w:val="00FF049D"/>
    <w:rsid w:val="00FF662F"/>
    <w:rsid w:val="013F0B6D"/>
    <w:rsid w:val="016407A7"/>
    <w:rsid w:val="01710365"/>
    <w:rsid w:val="01EC0DE3"/>
    <w:rsid w:val="023623DF"/>
    <w:rsid w:val="02575B12"/>
    <w:rsid w:val="025F4662"/>
    <w:rsid w:val="03EB6F3B"/>
    <w:rsid w:val="04363AE8"/>
    <w:rsid w:val="04A51736"/>
    <w:rsid w:val="04E83035"/>
    <w:rsid w:val="05467D5B"/>
    <w:rsid w:val="0667442D"/>
    <w:rsid w:val="06CE1DB6"/>
    <w:rsid w:val="07B23486"/>
    <w:rsid w:val="08955DE8"/>
    <w:rsid w:val="08D062B9"/>
    <w:rsid w:val="08DA0EE6"/>
    <w:rsid w:val="096C2D7F"/>
    <w:rsid w:val="09D750A5"/>
    <w:rsid w:val="0A3208AE"/>
    <w:rsid w:val="0BCD4D32"/>
    <w:rsid w:val="0CEA5470"/>
    <w:rsid w:val="0D533D0D"/>
    <w:rsid w:val="0E15651D"/>
    <w:rsid w:val="0E5057A7"/>
    <w:rsid w:val="0ECF2B6F"/>
    <w:rsid w:val="0F9C5147"/>
    <w:rsid w:val="107514F4"/>
    <w:rsid w:val="12745F08"/>
    <w:rsid w:val="12987560"/>
    <w:rsid w:val="12B10F0A"/>
    <w:rsid w:val="12BE53D5"/>
    <w:rsid w:val="13780B86"/>
    <w:rsid w:val="13B56D71"/>
    <w:rsid w:val="146855F8"/>
    <w:rsid w:val="14A800EA"/>
    <w:rsid w:val="14E804E7"/>
    <w:rsid w:val="153C5E15"/>
    <w:rsid w:val="193463F1"/>
    <w:rsid w:val="1A732F49"/>
    <w:rsid w:val="1B225189"/>
    <w:rsid w:val="1BBC26CD"/>
    <w:rsid w:val="1CBF2FF6"/>
    <w:rsid w:val="1CF30371"/>
    <w:rsid w:val="1D7551D2"/>
    <w:rsid w:val="1DF0041A"/>
    <w:rsid w:val="1F2C5F1C"/>
    <w:rsid w:val="1FC63103"/>
    <w:rsid w:val="20D81D57"/>
    <w:rsid w:val="20FB6928"/>
    <w:rsid w:val="20FE1268"/>
    <w:rsid w:val="221C2118"/>
    <w:rsid w:val="23307C29"/>
    <w:rsid w:val="239C07D8"/>
    <w:rsid w:val="242F7EE0"/>
    <w:rsid w:val="244D65B8"/>
    <w:rsid w:val="24606236"/>
    <w:rsid w:val="26416061"/>
    <w:rsid w:val="270218DC"/>
    <w:rsid w:val="2702368A"/>
    <w:rsid w:val="271A2793"/>
    <w:rsid w:val="27B70AB5"/>
    <w:rsid w:val="28052AE2"/>
    <w:rsid w:val="2A273105"/>
    <w:rsid w:val="2A295AED"/>
    <w:rsid w:val="2AC31D70"/>
    <w:rsid w:val="2B033E75"/>
    <w:rsid w:val="2BEE0681"/>
    <w:rsid w:val="2D5B3129"/>
    <w:rsid w:val="2D766B80"/>
    <w:rsid w:val="2D986AF6"/>
    <w:rsid w:val="2EA15E7F"/>
    <w:rsid w:val="2F860BD0"/>
    <w:rsid w:val="2FE36023"/>
    <w:rsid w:val="301A6009"/>
    <w:rsid w:val="30AD5BD5"/>
    <w:rsid w:val="30BA09FB"/>
    <w:rsid w:val="316E7B6E"/>
    <w:rsid w:val="31EE2758"/>
    <w:rsid w:val="3267118D"/>
    <w:rsid w:val="32D97AC0"/>
    <w:rsid w:val="32E53E60"/>
    <w:rsid w:val="33122C98"/>
    <w:rsid w:val="34AB1673"/>
    <w:rsid w:val="355C2AFF"/>
    <w:rsid w:val="36914AC3"/>
    <w:rsid w:val="373F7FE3"/>
    <w:rsid w:val="37513472"/>
    <w:rsid w:val="375A12C0"/>
    <w:rsid w:val="37902946"/>
    <w:rsid w:val="37971BCD"/>
    <w:rsid w:val="37D050DF"/>
    <w:rsid w:val="39074B30"/>
    <w:rsid w:val="391D07F7"/>
    <w:rsid w:val="3A716DDB"/>
    <w:rsid w:val="3A79380C"/>
    <w:rsid w:val="3AD30AAD"/>
    <w:rsid w:val="3B2A24ED"/>
    <w:rsid w:val="3B471B5C"/>
    <w:rsid w:val="3B64626A"/>
    <w:rsid w:val="3CDE204C"/>
    <w:rsid w:val="3D791238"/>
    <w:rsid w:val="3DEE4511"/>
    <w:rsid w:val="3E5C76CC"/>
    <w:rsid w:val="3E867169"/>
    <w:rsid w:val="40FC6F44"/>
    <w:rsid w:val="414D154E"/>
    <w:rsid w:val="41764F49"/>
    <w:rsid w:val="41DD28D2"/>
    <w:rsid w:val="42AE24C0"/>
    <w:rsid w:val="43931DE2"/>
    <w:rsid w:val="43F542D4"/>
    <w:rsid w:val="442E38B9"/>
    <w:rsid w:val="44BF0181"/>
    <w:rsid w:val="44C379A3"/>
    <w:rsid w:val="44F543D6"/>
    <w:rsid w:val="45120AE5"/>
    <w:rsid w:val="456450B8"/>
    <w:rsid w:val="45F34DBA"/>
    <w:rsid w:val="461D1E37"/>
    <w:rsid w:val="49995AD8"/>
    <w:rsid w:val="49F572F3"/>
    <w:rsid w:val="4A331C29"/>
    <w:rsid w:val="4B3519D1"/>
    <w:rsid w:val="4B6E6C91"/>
    <w:rsid w:val="4DA270BE"/>
    <w:rsid w:val="4E1D4541"/>
    <w:rsid w:val="4E45017D"/>
    <w:rsid w:val="4E740A62"/>
    <w:rsid w:val="4F7B5069"/>
    <w:rsid w:val="5030075B"/>
    <w:rsid w:val="50F5758E"/>
    <w:rsid w:val="511544DC"/>
    <w:rsid w:val="51CC4711"/>
    <w:rsid w:val="526E7576"/>
    <w:rsid w:val="52D376E2"/>
    <w:rsid w:val="533B38FC"/>
    <w:rsid w:val="534C7720"/>
    <w:rsid w:val="5382152B"/>
    <w:rsid w:val="553D6107"/>
    <w:rsid w:val="557856A7"/>
    <w:rsid w:val="56CE6A8E"/>
    <w:rsid w:val="58A11A39"/>
    <w:rsid w:val="58CB0C76"/>
    <w:rsid w:val="59576FB6"/>
    <w:rsid w:val="5991283D"/>
    <w:rsid w:val="5AE96334"/>
    <w:rsid w:val="5B04316E"/>
    <w:rsid w:val="5B9C33A6"/>
    <w:rsid w:val="5BC16969"/>
    <w:rsid w:val="5C166CB5"/>
    <w:rsid w:val="5C8C51C9"/>
    <w:rsid w:val="5D066909"/>
    <w:rsid w:val="5D137698"/>
    <w:rsid w:val="5D316E56"/>
    <w:rsid w:val="5D7133D9"/>
    <w:rsid w:val="5E23390B"/>
    <w:rsid w:val="5E784CCF"/>
    <w:rsid w:val="5E7F123B"/>
    <w:rsid w:val="5E89711F"/>
    <w:rsid w:val="5F3A53B0"/>
    <w:rsid w:val="5F3B3668"/>
    <w:rsid w:val="5F4609F6"/>
    <w:rsid w:val="5F5C70D4"/>
    <w:rsid w:val="5FD44EBD"/>
    <w:rsid w:val="603E4A2C"/>
    <w:rsid w:val="60A07495"/>
    <w:rsid w:val="642B4D28"/>
    <w:rsid w:val="64393E88"/>
    <w:rsid w:val="644A7E43"/>
    <w:rsid w:val="64502E6A"/>
    <w:rsid w:val="64AA1D6F"/>
    <w:rsid w:val="64C9520C"/>
    <w:rsid w:val="657D5FF6"/>
    <w:rsid w:val="6613084A"/>
    <w:rsid w:val="666D10DD"/>
    <w:rsid w:val="66D460EA"/>
    <w:rsid w:val="673E5311"/>
    <w:rsid w:val="67C779FD"/>
    <w:rsid w:val="67CE2B39"/>
    <w:rsid w:val="686314D3"/>
    <w:rsid w:val="6974326C"/>
    <w:rsid w:val="69F460FE"/>
    <w:rsid w:val="6A2B07BC"/>
    <w:rsid w:val="6A7506A4"/>
    <w:rsid w:val="6AE306AA"/>
    <w:rsid w:val="6B39651C"/>
    <w:rsid w:val="6BD37796"/>
    <w:rsid w:val="6C5337CF"/>
    <w:rsid w:val="6C726189"/>
    <w:rsid w:val="6CA67BE1"/>
    <w:rsid w:val="6D402A5E"/>
    <w:rsid w:val="6F653D83"/>
    <w:rsid w:val="6FD82D77"/>
    <w:rsid w:val="7007308C"/>
    <w:rsid w:val="706A53C9"/>
    <w:rsid w:val="71330988"/>
    <w:rsid w:val="71687B5B"/>
    <w:rsid w:val="716F2C97"/>
    <w:rsid w:val="71956476"/>
    <w:rsid w:val="71A16BC9"/>
    <w:rsid w:val="72204E44"/>
    <w:rsid w:val="72A714F9"/>
    <w:rsid w:val="72CE3C4C"/>
    <w:rsid w:val="73E94CF6"/>
    <w:rsid w:val="74A92964"/>
    <w:rsid w:val="755C3532"/>
    <w:rsid w:val="76A076F1"/>
    <w:rsid w:val="76BE1FCB"/>
    <w:rsid w:val="770C3DA7"/>
    <w:rsid w:val="77185065"/>
    <w:rsid w:val="77DD7B29"/>
    <w:rsid w:val="781C57AE"/>
    <w:rsid w:val="78632E2A"/>
    <w:rsid w:val="786B1CDE"/>
    <w:rsid w:val="79116D2A"/>
    <w:rsid w:val="796C5D0E"/>
    <w:rsid w:val="7A6C37AC"/>
    <w:rsid w:val="7A86597F"/>
    <w:rsid w:val="7AC34054"/>
    <w:rsid w:val="7BBD4F47"/>
    <w:rsid w:val="7C3F770A"/>
    <w:rsid w:val="7D3B6123"/>
    <w:rsid w:val="7DE17DC3"/>
    <w:rsid w:val="7E853A34"/>
    <w:rsid w:val="7EBE1163"/>
    <w:rsid w:val="7EEB3B79"/>
    <w:rsid w:val="7F0D7F93"/>
    <w:rsid w:val="7F5B0CFF"/>
    <w:rsid w:val="7FF54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26CEF7"/>
  <w15:docId w15:val="{5BF7CBD5-9B2F-4E78-9CAE-705EFB1BB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9"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1A4CD2"/>
    <w:pPr>
      <w:widowControl w:val="0"/>
      <w:autoSpaceDE w:val="0"/>
      <w:autoSpaceDN w:val="0"/>
    </w:pPr>
    <w:rPr>
      <w:rFonts w:ascii="仿宋" w:eastAsia="仿宋" w:hAnsi="仿宋" w:cs="仿宋"/>
      <w:sz w:val="22"/>
      <w:szCs w:val="22"/>
      <w:lang w:val="zh-CN" w:bidi="zh-CN"/>
    </w:rPr>
  </w:style>
  <w:style w:type="paragraph" w:styleId="1">
    <w:name w:val="heading 1"/>
    <w:basedOn w:val="a"/>
    <w:next w:val="a"/>
    <w:link w:val="10"/>
    <w:uiPriority w:val="9"/>
    <w:qFormat/>
    <w:pPr>
      <w:outlineLvl w:val="0"/>
    </w:pPr>
    <w:rPr>
      <w:rFonts w:ascii="PMingLiU" w:eastAsia="PMingLiU" w:hAnsi="PMingLiU" w:cs="PMingLiU"/>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uiPriority w:val="9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uiPriority w:val="99"/>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customStyle="1" w:styleId="10">
    <w:name w:val="标题 1 字符"/>
    <w:basedOn w:val="a0"/>
    <w:link w:val="1"/>
    <w:uiPriority w:val="9"/>
    <w:qFormat/>
    <w:rPr>
      <w:rFonts w:ascii="PMingLiU" w:eastAsia="PMingLiU" w:hAnsi="PMingLiU" w:cs="PMingLiU"/>
      <w:sz w:val="44"/>
      <w:szCs w:val="44"/>
      <w:lang w:val="zh-CN" w:bidi="zh-CN"/>
    </w:rPr>
  </w:style>
  <w:style w:type="character" w:customStyle="1" w:styleId="20">
    <w:name w:val="标题 2 字符"/>
    <w:basedOn w:val="a0"/>
    <w:link w:val="2"/>
    <w:uiPriority w:val="9"/>
    <w:qFormat/>
    <w:rPr>
      <w:rFonts w:asciiTheme="majorHAnsi" w:eastAsiaTheme="majorEastAsia" w:hAnsiTheme="majorHAnsi" w:cstheme="majorBidi"/>
      <w:b/>
      <w:bCs/>
      <w:sz w:val="32"/>
      <w:szCs w:val="32"/>
      <w:lang w:val="zh-CN" w:bidi="zh-CN"/>
    </w:rPr>
  </w:style>
  <w:style w:type="paragraph" w:customStyle="1" w:styleId="Style6">
    <w:name w:val="_Style 6"/>
    <w:basedOn w:val="a"/>
    <w:uiPriority w:val="34"/>
    <w:qFormat/>
    <w:pPr>
      <w:autoSpaceDE/>
      <w:autoSpaceDN/>
      <w:ind w:firstLineChars="200" w:firstLine="420"/>
      <w:jc w:val="both"/>
    </w:pPr>
    <w:rPr>
      <w:rFonts w:ascii="Calibri" w:eastAsia="宋体" w:hAnsi="Calibri" w:cs="Times New Roman"/>
      <w:kern w:val="2"/>
      <w:sz w:val="21"/>
      <w:lang w:val="en-US" w:bidi="ar-SA"/>
    </w:rPr>
  </w:style>
  <w:style w:type="paragraph" w:customStyle="1" w:styleId="11">
    <w:name w:val="修订1"/>
    <w:hidden/>
    <w:uiPriority w:val="99"/>
    <w:unhideWhenUsed/>
    <w:qFormat/>
    <w:rPr>
      <w:rFonts w:ascii="仿宋" w:eastAsia="仿宋" w:hAnsi="仿宋" w:cs="仿宋"/>
      <w:sz w:val="22"/>
      <w:szCs w:val="22"/>
      <w:lang w:val="zh-CN" w:bidi="zh-CN"/>
    </w:rPr>
  </w:style>
  <w:style w:type="paragraph" w:customStyle="1" w:styleId="21">
    <w:name w:val="修订2"/>
    <w:hidden/>
    <w:uiPriority w:val="99"/>
    <w:unhideWhenUsed/>
    <w:qFormat/>
    <w:rPr>
      <w:rFonts w:ascii="仿宋" w:eastAsia="仿宋" w:hAnsi="仿宋" w:cs="仿宋"/>
      <w:sz w:val="22"/>
      <w:szCs w:val="22"/>
      <w:lang w:val="zh-CN" w:bidi="zh-CN"/>
    </w:rPr>
  </w:style>
  <w:style w:type="paragraph" w:customStyle="1" w:styleId="3">
    <w:name w:val="修订3"/>
    <w:hidden/>
    <w:uiPriority w:val="99"/>
    <w:unhideWhenUsed/>
    <w:qFormat/>
    <w:rPr>
      <w:rFonts w:ascii="仿宋" w:eastAsia="仿宋" w:hAnsi="仿宋" w:cs="仿宋"/>
      <w:sz w:val="22"/>
      <w:szCs w:val="22"/>
      <w:lang w:val="zh-CN" w:bidi="zh-CN"/>
    </w:rPr>
  </w:style>
  <w:style w:type="paragraph" w:styleId="af">
    <w:name w:val="List Paragraph"/>
    <w:basedOn w:val="a"/>
    <w:uiPriority w:val="99"/>
    <w:unhideWhenUsed/>
    <w:qFormat/>
    <w:pPr>
      <w:ind w:firstLineChars="200" w:firstLine="420"/>
    </w:pPr>
  </w:style>
  <w:style w:type="paragraph" w:customStyle="1" w:styleId="4">
    <w:name w:val="修订4"/>
    <w:hidden/>
    <w:uiPriority w:val="99"/>
    <w:unhideWhenUsed/>
    <w:qFormat/>
    <w:rPr>
      <w:rFonts w:ascii="仿宋" w:eastAsia="仿宋" w:hAnsi="仿宋" w:cs="仿宋"/>
      <w:sz w:val="22"/>
      <w:szCs w:val="22"/>
      <w:lang w:val="zh-CN" w:bidi="zh-CN"/>
    </w:rPr>
  </w:style>
  <w:style w:type="paragraph" w:styleId="af0">
    <w:name w:val="Revision"/>
    <w:hidden/>
    <w:uiPriority w:val="99"/>
    <w:unhideWhenUsed/>
    <w:rsid w:val="00B8527F"/>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18E03-23A0-4B6B-A5B0-0D570AF7D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6</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黄丽琼</cp:lastModifiedBy>
  <cp:revision>157</cp:revision>
  <dcterms:created xsi:type="dcterms:W3CDTF">2025-10-31T07:30:00Z</dcterms:created>
  <dcterms:modified xsi:type="dcterms:W3CDTF">2025-12-18T03:26:00Z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eyJoZGlkIjoiYTdlNGQwNjU5ZDVlYjA5MzM4NDZkNTQwYzczNDgwZmIiLCJ1c2VySWQiOiI0ODc3NzI3MTkifQ==</vt:lpwstr>
  </property>
</Properties>
</file>