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42278">
      <w:pPr>
        <w:spacing w:before="156" w:beforeLines="50" w:after="156" w:afterLines="50" w:line="400" w:lineRule="exact"/>
        <w:rPr>
          <w:rFonts w:eastAsiaTheme="minorEastAsia"/>
          <w:bCs/>
          <w:iCs/>
          <w:sz w:val="24"/>
        </w:rPr>
      </w:pPr>
      <w:r>
        <w:rPr>
          <w:rFonts w:hint="eastAsia" w:eastAsiaTheme="minorEastAsia"/>
          <w:bCs/>
          <w:iCs/>
          <w:sz w:val="24"/>
        </w:rPr>
        <w:t>证券代码：688139</w:t>
      </w:r>
      <w:r>
        <w:rPr>
          <w:rFonts w:eastAsiaTheme="minorEastAsia"/>
          <w:bCs/>
          <w:iCs/>
          <w:sz w:val="24"/>
        </w:rPr>
        <w:t xml:space="preserve">                                 </w:t>
      </w:r>
      <w:r>
        <w:rPr>
          <w:rFonts w:hint="eastAsia" w:eastAsiaTheme="minorEastAsia"/>
          <w:bCs/>
          <w:iCs/>
          <w:sz w:val="24"/>
        </w:rPr>
        <w:t xml:space="preserve">   证券简称：海尔生物</w:t>
      </w:r>
    </w:p>
    <w:p w14:paraId="6EBB0698">
      <w:pPr>
        <w:spacing w:before="156" w:beforeLines="50" w:after="156" w:afterLines="50" w:line="400" w:lineRule="exact"/>
        <w:jc w:val="center"/>
        <w:rPr>
          <w:rFonts w:eastAsiaTheme="minorEastAsia"/>
          <w:b/>
          <w:bCs/>
          <w:iCs/>
          <w:sz w:val="30"/>
          <w:szCs w:val="30"/>
        </w:rPr>
      </w:pPr>
      <w:r>
        <w:rPr>
          <w:rFonts w:hint="eastAsia" w:eastAsiaTheme="minorEastAsia"/>
          <w:b/>
          <w:bCs/>
          <w:iCs/>
          <w:sz w:val="30"/>
          <w:szCs w:val="30"/>
        </w:rPr>
        <w:t>青岛海尔生物医疗股份有限公司</w:t>
      </w:r>
    </w:p>
    <w:p w14:paraId="17F8ED7B">
      <w:pPr>
        <w:spacing w:before="156" w:beforeLines="50" w:after="156" w:afterLines="50" w:line="400" w:lineRule="exact"/>
        <w:jc w:val="center"/>
        <w:rPr>
          <w:rFonts w:eastAsiaTheme="minorEastAsia"/>
          <w:b/>
          <w:bCs/>
          <w:iCs/>
          <w:sz w:val="30"/>
          <w:szCs w:val="30"/>
        </w:rPr>
      </w:pPr>
      <w:r>
        <w:rPr>
          <w:rFonts w:hint="eastAsia" w:eastAsiaTheme="minorEastAsia"/>
          <w:b/>
          <w:bCs/>
          <w:iCs/>
          <w:sz w:val="30"/>
          <w:szCs w:val="30"/>
        </w:rPr>
        <w:t>投资者关系活动记录表</w:t>
      </w:r>
    </w:p>
    <w:p w14:paraId="43BB4FB1">
      <w:pPr>
        <w:spacing w:line="400" w:lineRule="exact"/>
        <w:rPr>
          <w:rFonts w:hint="eastAsia" w:eastAsiaTheme="minorEastAsia"/>
          <w:bCs/>
          <w:iCs/>
          <w:sz w:val="24"/>
          <w:szCs w:val="24"/>
          <w:lang w:val="en-US" w:eastAsia="zh-CN"/>
        </w:rPr>
      </w:pPr>
      <w:r>
        <w:rPr>
          <w:rFonts w:eastAsiaTheme="minorEastAsia"/>
          <w:bCs/>
          <w:iCs/>
          <w:sz w:val="24"/>
          <w:szCs w:val="24"/>
        </w:rPr>
        <w:t xml:space="preserve">                                                    </w:t>
      </w:r>
      <w:r>
        <w:rPr>
          <w:rFonts w:hint="eastAsia" w:eastAsiaTheme="minorEastAsia"/>
          <w:bCs/>
          <w:iCs/>
          <w:sz w:val="24"/>
          <w:szCs w:val="24"/>
        </w:rPr>
        <w:t xml:space="preserve">  </w:t>
      </w:r>
      <w:r>
        <w:rPr>
          <w:rFonts w:eastAsiaTheme="minorEastAsia"/>
          <w:bCs/>
          <w:iCs/>
          <w:sz w:val="24"/>
          <w:szCs w:val="24"/>
        </w:rPr>
        <w:t xml:space="preserve">  </w:t>
      </w:r>
      <w:r>
        <w:rPr>
          <w:rFonts w:hint="eastAsia" w:eastAsiaTheme="minorEastAsia"/>
          <w:bCs/>
          <w:iCs/>
          <w:sz w:val="24"/>
          <w:szCs w:val="24"/>
        </w:rPr>
        <w:t>编号：</w:t>
      </w:r>
      <w:r>
        <w:rPr>
          <w:rFonts w:eastAsiaTheme="minorEastAsia"/>
          <w:bCs/>
          <w:iCs/>
          <w:sz w:val="24"/>
          <w:szCs w:val="24"/>
        </w:rPr>
        <w:t>2025-02</w:t>
      </w:r>
      <w:r>
        <w:rPr>
          <w:rFonts w:hint="eastAsia" w:eastAsiaTheme="minorEastAsia"/>
          <w:bCs/>
          <w:iCs/>
          <w:sz w:val="24"/>
          <w:szCs w:val="24"/>
          <w:lang w:val="en-US" w:eastAsia="zh-CN"/>
        </w:rPr>
        <w:t>6</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1C6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tcPr>
          <w:p w14:paraId="03ED0223">
            <w:pPr>
              <w:spacing w:line="360" w:lineRule="auto"/>
              <w:rPr>
                <w:rFonts w:eastAsiaTheme="minorEastAsia"/>
                <w:b/>
                <w:bCs/>
                <w:iCs/>
                <w:sz w:val="24"/>
                <w:szCs w:val="24"/>
              </w:rPr>
            </w:pPr>
            <w:r>
              <w:rPr>
                <w:rFonts w:hint="eastAsia" w:eastAsiaTheme="minorEastAsia"/>
                <w:b/>
                <w:bCs/>
                <w:iCs/>
                <w:sz w:val="24"/>
                <w:szCs w:val="24"/>
              </w:rPr>
              <w:t>投资者关系活动类别</w:t>
            </w:r>
          </w:p>
          <w:p w14:paraId="36779B1C">
            <w:pPr>
              <w:spacing w:line="360" w:lineRule="auto"/>
              <w:rPr>
                <w:rFonts w:eastAsiaTheme="minorEastAsia"/>
                <w:b/>
                <w:bCs/>
                <w:iCs/>
                <w:sz w:val="24"/>
                <w:szCs w:val="24"/>
              </w:rPr>
            </w:pPr>
          </w:p>
        </w:tc>
        <w:tc>
          <w:tcPr>
            <w:tcW w:w="6614" w:type="dxa"/>
            <w:tcBorders>
              <w:top w:val="single" w:color="auto" w:sz="4" w:space="0"/>
              <w:left w:val="single" w:color="auto" w:sz="4" w:space="0"/>
              <w:bottom w:val="single" w:color="auto" w:sz="4" w:space="0"/>
              <w:right w:val="single" w:color="auto" w:sz="4" w:space="0"/>
            </w:tcBorders>
          </w:tcPr>
          <w:p w14:paraId="258642F6">
            <w:pPr>
              <w:spacing w:line="360" w:lineRule="auto"/>
              <w:rPr>
                <w:rFonts w:eastAsiaTheme="minorEastAsia"/>
                <w:bCs/>
                <w:iCs/>
                <w:sz w:val="24"/>
                <w:szCs w:val="24"/>
              </w:rPr>
            </w:pPr>
            <w:r>
              <w:rPr>
                <w:rFonts w:hint="eastAsia" w:eastAsiaTheme="minorEastAsia"/>
                <w:bCs/>
                <w:iCs/>
                <w:sz w:val="24"/>
                <w:szCs w:val="24"/>
              </w:rPr>
              <w:sym w:font="Wingdings 2" w:char="0052"/>
            </w:r>
            <w:r>
              <w:rPr>
                <w:rFonts w:hint="eastAsia" w:eastAsiaTheme="minorEastAsia"/>
                <w:sz w:val="24"/>
                <w:szCs w:val="24"/>
              </w:rPr>
              <w:t xml:space="preserve">特定对象调研       </w:t>
            </w:r>
            <w:r>
              <w:rPr>
                <w:rFonts w:hint="eastAsia" w:eastAsiaTheme="minorEastAsia"/>
                <w:bCs/>
                <w:iCs/>
                <w:sz w:val="24"/>
                <w:szCs w:val="24"/>
              </w:rPr>
              <w:t>□</w:t>
            </w:r>
            <w:r>
              <w:rPr>
                <w:rFonts w:hint="eastAsia" w:eastAsiaTheme="minorEastAsia"/>
                <w:sz w:val="24"/>
                <w:szCs w:val="24"/>
              </w:rPr>
              <w:t>分析师会议</w:t>
            </w:r>
          </w:p>
          <w:p w14:paraId="2AC39D47">
            <w:pPr>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媒体采访            </w:t>
            </w:r>
            <w:r>
              <w:rPr>
                <w:rFonts w:hint="eastAsia" w:eastAsiaTheme="minorEastAsia"/>
                <w:bCs/>
                <w:iCs/>
                <w:sz w:val="24"/>
                <w:szCs w:val="24"/>
              </w:rPr>
              <w:t>□</w:t>
            </w:r>
            <w:r>
              <w:rPr>
                <w:rFonts w:hint="eastAsia" w:eastAsiaTheme="minorEastAsia"/>
                <w:sz w:val="24"/>
                <w:szCs w:val="24"/>
              </w:rPr>
              <w:t>业绩说明会</w:t>
            </w:r>
          </w:p>
          <w:p w14:paraId="2D757254">
            <w:pPr>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新闻发布会          </w:t>
            </w:r>
            <w:r>
              <w:rPr>
                <w:rFonts w:hint="eastAsia" w:eastAsiaTheme="minorEastAsia"/>
                <w:bCs/>
                <w:iCs/>
                <w:sz w:val="24"/>
                <w:szCs w:val="24"/>
              </w:rPr>
              <w:t>□</w:t>
            </w:r>
            <w:r>
              <w:rPr>
                <w:rFonts w:hint="eastAsia" w:eastAsiaTheme="minorEastAsia"/>
                <w:sz w:val="24"/>
                <w:szCs w:val="24"/>
              </w:rPr>
              <w:t>路演活动</w:t>
            </w:r>
          </w:p>
          <w:p w14:paraId="0DAFC993">
            <w:pPr>
              <w:tabs>
                <w:tab w:val="left" w:pos="3045"/>
                <w:tab w:val="center" w:pos="3199"/>
              </w:tabs>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现场参观            </w:t>
            </w:r>
            <w:r>
              <w:rPr>
                <w:rFonts w:hint="eastAsia" w:eastAsiaTheme="minorEastAsia"/>
                <w:bCs/>
                <w:iCs/>
                <w:sz w:val="24"/>
                <w:szCs w:val="24"/>
              </w:rPr>
              <w:t>□</w:t>
            </w:r>
            <w:r>
              <w:rPr>
                <w:rFonts w:hint="eastAsia" w:eastAsiaTheme="minorEastAsia"/>
                <w:sz w:val="24"/>
                <w:szCs w:val="24"/>
              </w:rPr>
              <w:t>电话会议</w:t>
            </w:r>
          </w:p>
          <w:p w14:paraId="2BD4C3B3">
            <w:pPr>
              <w:tabs>
                <w:tab w:val="center" w:pos="3199"/>
              </w:tabs>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其他 （</w:t>
            </w:r>
            <w:r>
              <w:rPr>
                <w:rFonts w:hint="eastAsia" w:eastAsiaTheme="minorEastAsia"/>
                <w:sz w:val="24"/>
                <w:szCs w:val="24"/>
                <w:u w:val="single"/>
              </w:rPr>
              <w:t>请文字说明其他活动内容）</w:t>
            </w:r>
          </w:p>
        </w:tc>
      </w:tr>
      <w:tr w14:paraId="58E3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76E69F5">
            <w:pPr>
              <w:spacing w:line="360" w:lineRule="auto"/>
              <w:rPr>
                <w:rFonts w:eastAsiaTheme="minorEastAsia"/>
                <w:b/>
                <w:bCs/>
                <w:iCs/>
                <w:sz w:val="24"/>
                <w:szCs w:val="24"/>
              </w:rPr>
            </w:pPr>
            <w:r>
              <w:rPr>
                <w:rFonts w:hint="eastAsia" w:eastAsiaTheme="minorEastAsia"/>
                <w:b/>
                <w:bCs/>
                <w:iCs/>
                <w:sz w:val="24"/>
                <w:szCs w:val="24"/>
              </w:rPr>
              <w:t>参与单位名称</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1E3BD56">
            <w:pPr>
              <w:widowControl/>
              <w:jc w:val="left"/>
              <w:rPr>
                <w:rFonts w:hint="eastAsia" w:ascii="宋体" w:hAnsi="宋体" w:cs="宋体"/>
                <w:kern w:val="0"/>
                <w:sz w:val="24"/>
                <w:szCs w:val="24"/>
              </w:rPr>
            </w:pPr>
            <w:r>
              <w:rPr>
                <w:rFonts w:hint="eastAsia" w:ascii="宋体" w:hAnsi="宋体" w:cs="宋体"/>
                <w:kern w:val="0"/>
                <w:sz w:val="24"/>
                <w:szCs w:val="24"/>
                <w:lang w:val="en-US" w:eastAsia="zh-CN"/>
              </w:rPr>
              <w:t>易方达基金、国泰基金、兴业证券、泰康资管、信达证券、国信证券</w:t>
            </w:r>
            <w:r>
              <w:rPr>
                <w:rFonts w:hint="eastAsia" w:eastAsiaTheme="minorEastAsia"/>
                <w:bCs/>
                <w:iCs/>
                <w:sz w:val="24"/>
                <w:szCs w:val="24"/>
              </w:rPr>
              <w:t>6</w:t>
            </w:r>
            <w:r>
              <w:rPr>
                <w:rFonts w:hint="eastAsia" w:ascii="宋体" w:hAnsi="宋体" w:cs="宋体"/>
                <w:kern w:val="0"/>
                <w:sz w:val="24"/>
                <w:szCs w:val="24"/>
              </w:rPr>
              <w:t>家机构</w:t>
            </w:r>
          </w:p>
        </w:tc>
      </w:tr>
      <w:tr w14:paraId="0739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08" w:type="dxa"/>
            <w:tcBorders>
              <w:top w:val="single" w:color="auto" w:sz="4" w:space="0"/>
              <w:left w:val="single" w:color="auto" w:sz="4" w:space="0"/>
              <w:bottom w:val="single" w:color="auto" w:sz="4" w:space="0"/>
              <w:right w:val="single" w:color="auto" w:sz="4" w:space="0"/>
            </w:tcBorders>
            <w:vAlign w:val="center"/>
          </w:tcPr>
          <w:p w14:paraId="26882889">
            <w:pPr>
              <w:spacing w:line="360" w:lineRule="auto"/>
              <w:rPr>
                <w:rFonts w:eastAsiaTheme="minorEastAsia"/>
                <w:b/>
                <w:bCs/>
                <w:iCs/>
                <w:sz w:val="24"/>
                <w:szCs w:val="24"/>
              </w:rPr>
            </w:pPr>
            <w:r>
              <w:rPr>
                <w:rFonts w:hint="eastAsia" w:eastAsiaTheme="minorEastAsia"/>
                <w:b/>
                <w:bCs/>
                <w:iCs/>
                <w:sz w:val="24"/>
                <w:szCs w:val="24"/>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5087DD18">
            <w:pPr>
              <w:spacing w:line="360" w:lineRule="auto"/>
              <w:rPr>
                <w:rFonts w:eastAsiaTheme="minorEastAsia"/>
                <w:bCs/>
                <w:iCs/>
                <w:sz w:val="24"/>
                <w:szCs w:val="24"/>
              </w:rPr>
            </w:pPr>
            <w:r>
              <w:rPr>
                <w:rFonts w:hint="eastAsia" w:eastAsiaTheme="minorEastAsia"/>
                <w:bCs/>
                <w:iCs/>
                <w:sz w:val="24"/>
                <w:szCs w:val="24"/>
              </w:rPr>
              <w:t>202</w:t>
            </w:r>
            <w:r>
              <w:rPr>
                <w:rFonts w:eastAsiaTheme="minorEastAsia"/>
                <w:bCs/>
                <w:iCs/>
                <w:sz w:val="24"/>
                <w:szCs w:val="24"/>
              </w:rPr>
              <w:t>5</w:t>
            </w:r>
            <w:r>
              <w:rPr>
                <w:rFonts w:hint="eastAsia" w:eastAsiaTheme="minorEastAsia"/>
                <w:bCs/>
                <w:iCs/>
                <w:sz w:val="24"/>
                <w:szCs w:val="24"/>
              </w:rPr>
              <w:t>年1</w:t>
            </w:r>
            <w:r>
              <w:rPr>
                <w:rFonts w:hint="eastAsia" w:eastAsiaTheme="minorEastAsia"/>
                <w:bCs/>
                <w:iCs/>
                <w:sz w:val="24"/>
                <w:szCs w:val="24"/>
                <w:lang w:val="en-US" w:eastAsia="zh-CN"/>
              </w:rPr>
              <w:t>2</w:t>
            </w:r>
            <w:r>
              <w:rPr>
                <w:rFonts w:hint="eastAsia" w:eastAsiaTheme="minorEastAsia"/>
                <w:bCs/>
                <w:iCs/>
                <w:sz w:val="24"/>
                <w:szCs w:val="24"/>
              </w:rPr>
              <w:t>月</w:t>
            </w:r>
            <w:r>
              <w:rPr>
                <w:rFonts w:hint="eastAsia" w:eastAsiaTheme="minorEastAsia"/>
                <w:bCs/>
                <w:iCs/>
                <w:sz w:val="24"/>
                <w:szCs w:val="24"/>
                <w:lang w:val="en-US" w:eastAsia="zh-CN"/>
              </w:rPr>
              <w:t>17</w:t>
            </w:r>
            <w:r>
              <w:rPr>
                <w:rFonts w:hint="eastAsia" w:eastAsiaTheme="minorEastAsia"/>
                <w:bCs/>
                <w:iCs/>
                <w:sz w:val="24"/>
                <w:szCs w:val="24"/>
              </w:rPr>
              <w:t xml:space="preserve">日 </w:t>
            </w:r>
            <w:r>
              <w:rPr>
                <w:rFonts w:eastAsiaTheme="minorEastAsia"/>
                <w:bCs/>
                <w:iCs/>
                <w:sz w:val="24"/>
                <w:szCs w:val="24"/>
              </w:rPr>
              <w:t>-2025</w:t>
            </w:r>
            <w:r>
              <w:rPr>
                <w:rFonts w:hint="eastAsia" w:eastAsiaTheme="minorEastAsia"/>
                <w:bCs/>
                <w:iCs/>
                <w:sz w:val="24"/>
                <w:szCs w:val="24"/>
              </w:rPr>
              <w:t>年1</w:t>
            </w:r>
            <w:r>
              <w:rPr>
                <w:rFonts w:hint="eastAsia" w:eastAsiaTheme="minorEastAsia"/>
                <w:bCs/>
                <w:iCs/>
                <w:sz w:val="24"/>
                <w:szCs w:val="24"/>
                <w:lang w:val="en-US" w:eastAsia="zh-CN"/>
              </w:rPr>
              <w:t>2</w:t>
            </w:r>
            <w:r>
              <w:rPr>
                <w:rFonts w:hint="eastAsia" w:eastAsiaTheme="minorEastAsia"/>
                <w:bCs/>
                <w:iCs/>
                <w:sz w:val="24"/>
                <w:szCs w:val="24"/>
              </w:rPr>
              <w:t>月</w:t>
            </w:r>
            <w:r>
              <w:rPr>
                <w:rFonts w:hint="eastAsia" w:eastAsiaTheme="minorEastAsia"/>
                <w:bCs/>
                <w:iCs/>
                <w:sz w:val="24"/>
                <w:szCs w:val="24"/>
                <w:lang w:val="en-US" w:eastAsia="zh-CN"/>
              </w:rPr>
              <w:t>18</w:t>
            </w:r>
            <w:r>
              <w:rPr>
                <w:rFonts w:hint="eastAsia" w:eastAsiaTheme="minorEastAsia"/>
                <w:bCs/>
                <w:iCs/>
                <w:sz w:val="24"/>
                <w:szCs w:val="24"/>
              </w:rPr>
              <w:t>日</w:t>
            </w:r>
          </w:p>
        </w:tc>
      </w:tr>
      <w:tr w14:paraId="5CDB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F78109E">
            <w:pPr>
              <w:spacing w:line="360" w:lineRule="auto"/>
              <w:rPr>
                <w:rFonts w:eastAsiaTheme="minorEastAsia"/>
                <w:b/>
                <w:bCs/>
                <w:iCs/>
                <w:sz w:val="24"/>
                <w:szCs w:val="24"/>
              </w:rPr>
            </w:pPr>
            <w:r>
              <w:rPr>
                <w:rFonts w:hint="eastAsia" w:eastAsiaTheme="minorEastAsia"/>
                <w:b/>
                <w:bCs/>
                <w:iCs/>
                <w:sz w:val="24"/>
                <w:szCs w:val="24"/>
              </w:rPr>
              <w:t>参会方式</w:t>
            </w:r>
          </w:p>
        </w:tc>
        <w:tc>
          <w:tcPr>
            <w:tcW w:w="6614" w:type="dxa"/>
            <w:tcBorders>
              <w:top w:val="single" w:color="auto" w:sz="4" w:space="0"/>
              <w:left w:val="single" w:color="auto" w:sz="4" w:space="0"/>
              <w:bottom w:val="single" w:color="auto" w:sz="4" w:space="0"/>
              <w:right w:val="single" w:color="auto" w:sz="4" w:space="0"/>
            </w:tcBorders>
            <w:vAlign w:val="center"/>
          </w:tcPr>
          <w:p w14:paraId="4C2259C9">
            <w:pPr>
              <w:spacing w:line="360" w:lineRule="auto"/>
              <w:rPr>
                <w:rFonts w:eastAsiaTheme="minorEastAsia"/>
                <w:bCs/>
                <w:iCs/>
                <w:sz w:val="24"/>
                <w:szCs w:val="24"/>
              </w:rPr>
            </w:pPr>
            <w:r>
              <w:rPr>
                <w:rFonts w:hint="eastAsia" w:eastAsiaTheme="minorEastAsia"/>
                <w:bCs/>
                <w:iCs/>
                <w:sz w:val="24"/>
                <w:szCs w:val="24"/>
                <w:lang w:val="en-US" w:eastAsia="zh-CN"/>
              </w:rPr>
              <w:t>线下</w:t>
            </w:r>
            <w:r>
              <w:rPr>
                <w:rFonts w:hint="eastAsia" w:eastAsiaTheme="minorEastAsia"/>
                <w:bCs/>
                <w:iCs/>
                <w:sz w:val="24"/>
                <w:szCs w:val="24"/>
              </w:rPr>
              <w:t>会议</w:t>
            </w:r>
          </w:p>
        </w:tc>
      </w:tr>
      <w:tr w14:paraId="38F3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410250D">
            <w:pPr>
              <w:spacing w:line="360" w:lineRule="auto"/>
              <w:rPr>
                <w:rFonts w:eastAsiaTheme="minorEastAsia"/>
                <w:b/>
                <w:bCs/>
                <w:iCs/>
                <w:sz w:val="24"/>
                <w:szCs w:val="24"/>
              </w:rPr>
            </w:pPr>
            <w:r>
              <w:rPr>
                <w:rFonts w:hint="eastAsia" w:eastAsiaTheme="minorEastAsia"/>
                <w:b/>
                <w:bCs/>
                <w:iCs/>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tcPr>
          <w:p w14:paraId="5A6A3EAF">
            <w:pPr>
              <w:spacing w:line="360" w:lineRule="auto"/>
              <w:rPr>
                <w:rFonts w:eastAsiaTheme="minorEastAsia"/>
                <w:bCs/>
                <w:iCs/>
                <w:sz w:val="24"/>
                <w:szCs w:val="24"/>
              </w:rPr>
            </w:pPr>
            <w:r>
              <w:rPr>
                <w:rFonts w:hint="eastAsia" w:eastAsiaTheme="minorEastAsia"/>
                <w:bCs/>
                <w:iCs/>
                <w:sz w:val="24"/>
                <w:szCs w:val="24"/>
                <w:lang w:val="en-US" w:eastAsia="zh-CN"/>
              </w:rPr>
              <w:t>董事会秘书黄艳莉、</w:t>
            </w:r>
            <w:r>
              <w:rPr>
                <w:rFonts w:hint="eastAsia" w:eastAsiaTheme="minorEastAsia"/>
                <w:bCs/>
                <w:iCs/>
                <w:sz w:val="24"/>
                <w:szCs w:val="24"/>
              </w:rPr>
              <w:t>证券事务代表刘向青</w:t>
            </w:r>
          </w:p>
        </w:tc>
      </w:tr>
      <w:tr w14:paraId="39B9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08" w:type="dxa"/>
            <w:tcBorders>
              <w:top w:val="single" w:color="auto" w:sz="4" w:space="0"/>
              <w:left w:val="single" w:color="auto" w:sz="4" w:space="0"/>
              <w:bottom w:val="single" w:color="auto" w:sz="4" w:space="0"/>
              <w:right w:val="single" w:color="auto" w:sz="4" w:space="0"/>
            </w:tcBorders>
            <w:vAlign w:val="center"/>
          </w:tcPr>
          <w:p w14:paraId="4981A274">
            <w:pPr>
              <w:spacing w:line="480" w:lineRule="atLeast"/>
              <w:rPr>
                <w:rFonts w:eastAsiaTheme="minorEastAsia"/>
                <w:b/>
                <w:bCs/>
                <w:iCs/>
                <w:sz w:val="24"/>
                <w:szCs w:val="24"/>
              </w:rPr>
            </w:pPr>
            <w:r>
              <w:rPr>
                <w:rFonts w:hint="eastAsia" w:eastAsiaTheme="minorEastAsia"/>
                <w:b/>
                <w:bCs/>
                <w:iCs/>
                <w:sz w:val="24"/>
                <w:szCs w:val="24"/>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tcPr>
          <w:p w14:paraId="1DD13511">
            <w:pPr>
              <w:numPr>
                <w:ilvl w:val="0"/>
                <w:numId w:val="1"/>
              </w:numPr>
              <w:spacing w:before="156" w:beforeLines="50" w:line="360" w:lineRule="auto"/>
              <w:ind w:left="0" w:firstLine="482" w:firstLineChars="200"/>
              <w:jc w:val="left"/>
              <w:rPr>
                <w:rFonts w:ascii="宋体" w:hAnsi="宋体"/>
                <w:b/>
                <w:sz w:val="24"/>
              </w:rPr>
            </w:pPr>
            <w:r>
              <w:rPr>
                <w:rFonts w:hint="eastAsia" w:ascii="宋体" w:hAnsi="宋体"/>
                <w:b/>
                <w:sz w:val="24"/>
                <w:lang w:val="en-US" w:eastAsia="zh-CN"/>
              </w:rPr>
              <w:t>请公司介绍一下海外业务进展以及后续预期情况</w:t>
            </w:r>
            <w:r>
              <w:rPr>
                <w:rFonts w:ascii="宋体" w:hAnsi="宋体"/>
                <w:b/>
                <w:sz w:val="24"/>
              </w:rPr>
              <w:t>？</w:t>
            </w:r>
          </w:p>
          <w:p w14:paraId="22CDBA6D">
            <w:pPr>
              <w:spacing w:before="156" w:beforeLines="50" w:line="360" w:lineRule="auto"/>
              <w:ind w:firstLine="482" w:firstLineChars="200"/>
              <w:jc w:val="left"/>
              <w:rPr>
                <w:rFonts w:ascii="宋体" w:hAnsi="宋体"/>
                <w:b/>
                <w:sz w:val="24"/>
              </w:rPr>
            </w:pPr>
            <w:r>
              <w:rPr>
                <w:rFonts w:ascii="宋体" w:hAnsi="宋体"/>
                <w:b/>
                <w:sz w:val="24"/>
              </w:rPr>
              <w:t>答:</w:t>
            </w:r>
            <w:r>
              <w:rPr>
                <w:rFonts w:ascii="宋体" w:hAnsi="宋体"/>
                <w:bCs/>
                <w:sz w:val="24"/>
              </w:rPr>
              <w:t>前三季度</w:t>
            </w:r>
            <w:r>
              <w:rPr>
                <w:rFonts w:hint="eastAsia" w:ascii="宋体" w:hAnsi="宋体"/>
                <w:bCs/>
                <w:sz w:val="24"/>
                <w:lang w:eastAsia="zh-CN"/>
              </w:rPr>
              <w:t>，</w:t>
            </w:r>
            <w:r>
              <w:rPr>
                <w:rFonts w:ascii="宋体" w:hAnsi="宋体"/>
                <w:bCs/>
                <w:sz w:val="24"/>
              </w:rPr>
              <w:t>公司海外市场同比增长20%，其中欧洲、亚洲区域高双位数增长，美洲区域低双位数增长，非洲区域个位数增长。作为国内医药生物行业较早出海的企业，公司多年来全球化战略的落地成果显著，2016年到2024年公司海外收入的复合增长率超过20%，截至目前海外市场收入占公司整体收入的比重已超过35%。 海外业务的高增长主要得益于广阔的海外市场空间下，公司多年深耕的本土化运营体系和持续拓展的产品品类优势得以不断放大。目前公司已实现18个国家的本地化部署，累计近400个产品型号获得境外注册认证。未来，公司将加快各产业产品的本地化注册认证进程，着力深化与拓展当地化国家布局，预计海外收入有望延续高增长。</w:t>
            </w:r>
          </w:p>
          <w:p w14:paraId="237F79A6">
            <w:pPr>
              <w:numPr>
                <w:ilvl w:val="0"/>
                <w:numId w:val="1"/>
              </w:numPr>
              <w:spacing w:before="156" w:beforeLines="50" w:line="360" w:lineRule="auto"/>
              <w:ind w:left="0" w:firstLine="482" w:firstLineChars="200"/>
              <w:jc w:val="left"/>
              <w:rPr>
                <w:rFonts w:ascii="宋体" w:hAnsi="宋体"/>
                <w:b/>
                <w:sz w:val="24"/>
              </w:rPr>
            </w:pPr>
            <w:r>
              <w:rPr>
                <w:rFonts w:hint="eastAsia" w:ascii="宋体" w:hAnsi="宋体"/>
                <w:b/>
                <w:sz w:val="24"/>
              </w:rPr>
              <w:t>请公司介绍一下</w:t>
            </w:r>
            <w:r>
              <w:rPr>
                <w:rFonts w:ascii="宋体" w:hAnsi="宋体"/>
                <w:b/>
                <w:sz w:val="24"/>
              </w:rPr>
              <w:t>国内</w:t>
            </w:r>
            <w:r>
              <w:rPr>
                <w:rFonts w:hint="eastAsia" w:ascii="宋体" w:hAnsi="宋体"/>
                <w:b/>
                <w:sz w:val="24"/>
              </w:rPr>
              <w:t>市场表现以及</w:t>
            </w:r>
            <w:r>
              <w:rPr>
                <w:rFonts w:ascii="宋体" w:hAnsi="宋体"/>
                <w:b/>
                <w:sz w:val="24"/>
              </w:rPr>
              <w:t>各渠道恢复情况？</w:t>
            </w:r>
          </w:p>
          <w:p w14:paraId="29F83AA6">
            <w:pPr>
              <w:spacing w:before="156" w:beforeLines="50" w:line="360" w:lineRule="auto"/>
              <w:ind w:firstLine="482" w:firstLineChars="200"/>
              <w:jc w:val="left"/>
              <w:rPr>
                <w:rFonts w:ascii="宋体" w:hAnsi="宋体"/>
                <w:bCs/>
                <w:sz w:val="24"/>
              </w:rPr>
            </w:pPr>
            <w:r>
              <w:rPr>
                <w:rFonts w:ascii="宋体" w:hAnsi="宋体"/>
                <w:b/>
                <w:sz w:val="24"/>
              </w:rPr>
              <w:t>答:</w:t>
            </w:r>
            <w:r>
              <w:rPr>
                <w:rFonts w:hint="eastAsia" w:ascii="宋体" w:hAnsi="宋体"/>
                <w:bCs/>
                <w:sz w:val="24"/>
              </w:rPr>
              <w:t>前三季度国内市场实现收入11.17亿元，降幅同比收窄至10.48%，根据招标网公开数据统计，公司超低温、低温、培养箱、安全柜、离心机系列产品的市场份额稳步提升，</w:t>
            </w:r>
            <w:r>
              <w:rPr>
                <w:rFonts w:ascii="宋体" w:hAnsi="宋体"/>
                <w:bCs/>
                <w:sz w:val="24"/>
              </w:rPr>
              <w:t>展现出渐进复苏态势</w:t>
            </w:r>
            <w:r>
              <w:rPr>
                <w:rFonts w:hint="eastAsia" w:ascii="宋体" w:hAnsi="宋体"/>
                <w:bCs/>
                <w:sz w:val="24"/>
              </w:rPr>
              <w:t>。</w:t>
            </w:r>
          </w:p>
          <w:p w14:paraId="6C6A9178">
            <w:pPr>
              <w:spacing w:before="156" w:beforeLines="50" w:line="360" w:lineRule="auto"/>
              <w:ind w:firstLine="480" w:firstLineChars="200"/>
              <w:jc w:val="left"/>
              <w:rPr>
                <w:rFonts w:ascii="宋体" w:hAnsi="宋体"/>
                <w:bCs/>
                <w:sz w:val="24"/>
              </w:rPr>
            </w:pPr>
            <w:r>
              <w:rPr>
                <w:rFonts w:ascii="宋体" w:hAnsi="宋体"/>
                <w:bCs/>
                <w:sz w:val="24"/>
              </w:rPr>
              <w:t>从渠道角度看，得益于国家对高校科研机构的重视以及新药研发市场的活跃，高科和制药渠道持续稳步发展，2025年前三季度，以数智样本库解决方案为代表的综合解决方案落地广州实验室、北京昌平实验室、山东中医药大学等科研机构；在医院和疾控端，尽管当前仍存在一定压力，但是医疗新基建持续推进、县域医疗体系改革等带动了结构性的机会，公司商机漏斗正在逐渐提升。公司将积极推进在手项目转化，以促进国内市场业务持续稳定发展。</w:t>
            </w:r>
          </w:p>
          <w:p w14:paraId="1EC9FEB5">
            <w:pPr>
              <w:numPr>
                <w:ilvl w:val="0"/>
                <w:numId w:val="1"/>
              </w:numPr>
              <w:spacing w:before="156" w:beforeLines="50" w:line="360" w:lineRule="auto"/>
              <w:ind w:left="0" w:firstLine="482" w:firstLineChars="200"/>
              <w:jc w:val="left"/>
              <w:rPr>
                <w:rFonts w:ascii="宋体" w:hAnsi="宋体"/>
                <w:b/>
                <w:sz w:val="24"/>
              </w:rPr>
            </w:pPr>
            <w:r>
              <w:rPr>
                <w:rFonts w:hint="eastAsia" w:ascii="宋体" w:hAnsi="宋体"/>
                <w:b/>
                <w:sz w:val="24"/>
                <w:lang w:val="en-US" w:eastAsia="zh-CN"/>
              </w:rPr>
              <w:t>公司</w:t>
            </w:r>
            <w:r>
              <w:rPr>
                <w:rFonts w:ascii="宋体" w:hAnsi="宋体"/>
                <w:b/>
                <w:sz w:val="24"/>
              </w:rPr>
              <w:t>智慧用药产业</w:t>
            </w:r>
            <w:r>
              <w:rPr>
                <w:rFonts w:hint="eastAsia" w:ascii="宋体" w:hAnsi="宋体"/>
                <w:b/>
                <w:sz w:val="24"/>
                <w:lang w:val="en-US" w:eastAsia="zh-CN"/>
              </w:rPr>
              <w:t>近期进展如何，后续如何展望</w:t>
            </w:r>
            <w:bookmarkStart w:id="0" w:name="_GoBack"/>
            <w:bookmarkEnd w:id="0"/>
            <w:r>
              <w:rPr>
                <w:rFonts w:hint="eastAsia" w:ascii="宋体" w:hAnsi="宋体"/>
                <w:b/>
                <w:sz w:val="24"/>
                <w:lang w:val="en-US" w:eastAsia="zh-CN"/>
              </w:rPr>
              <w:t>？</w:t>
            </w:r>
          </w:p>
          <w:p w14:paraId="483E6CD3">
            <w:pPr>
              <w:spacing w:before="156" w:beforeLines="50" w:line="360" w:lineRule="auto"/>
              <w:ind w:firstLine="482" w:firstLineChars="200"/>
              <w:jc w:val="left"/>
              <w:rPr>
                <w:rFonts w:hint="eastAsia" w:ascii="宋体" w:hAnsi="宋体" w:eastAsia="宋体"/>
                <w:b/>
                <w:sz w:val="24"/>
                <w:lang w:eastAsia="zh-CN"/>
              </w:rPr>
            </w:pPr>
            <w:r>
              <w:rPr>
                <w:rFonts w:ascii="宋体" w:hAnsi="宋体"/>
                <w:b/>
                <w:sz w:val="24"/>
              </w:rPr>
              <w:t>答:</w:t>
            </w:r>
            <w:r>
              <w:rPr>
                <w:rFonts w:hint="eastAsia" w:ascii="宋体" w:hAnsi="宋体"/>
                <w:bCs/>
                <w:sz w:val="24"/>
                <w:lang w:val="en-US" w:eastAsia="zh-CN"/>
              </w:rPr>
              <w:t>今年前三季度，</w:t>
            </w:r>
            <w:r>
              <w:rPr>
                <w:rFonts w:hint="eastAsia" w:ascii="宋体" w:hAnsi="宋体"/>
                <w:bCs/>
                <w:sz w:val="24"/>
              </w:rPr>
              <w:t>智慧用药产业</w:t>
            </w:r>
            <w:r>
              <w:rPr>
                <w:rFonts w:hint="eastAsia" w:ascii="宋体" w:hAnsi="宋体"/>
                <w:bCs/>
                <w:sz w:val="24"/>
                <w:lang w:val="en-US" w:eastAsia="zh-CN"/>
              </w:rPr>
              <w:t>同比</w:t>
            </w:r>
            <w:r>
              <w:rPr>
                <w:rFonts w:hint="eastAsia" w:ascii="宋体" w:hAnsi="宋体"/>
                <w:bCs/>
                <w:sz w:val="24"/>
              </w:rPr>
              <w:t>增长14%</w:t>
            </w:r>
            <w:r>
              <w:rPr>
                <w:rFonts w:hint="eastAsia" w:ascii="宋体" w:hAnsi="宋体"/>
                <w:bCs/>
                <w:sz w:val="24"/>
                <w:lang w:eastAsia="zh-CN"/>
              </w:rPr>
              <w:t>，</w:t>
            </w:r>
            <w:r>
              <w:rPr>
                <w:rFonts w:ascii="宋体" w:hAnsi="宋体"/>
                <w:bCs/>
                <w:sz w:val="24"/>
              </w:rPr>
              <w:t>得益于国内市场协同效应发挥以及海外市场的加快拓展，下半年订单交付逐渐加速</w:t>
            </w:r>
            <w:r>
              <w:rPr>
                <w:rFonts w:hint="eastAsia" w:ascii="宋体" w:hAnsi="宋体"/>
                <w:bCs/>
                <w:sz w:val="24"/>
                <w:lang w:val="en-US" w:eastAsia="zh-CN"/>
              </w:rPr>
              <w:t>，</w:t>
            </w:r>
            <w:r>
              <w:rPr>
                <w:rFonts w:ascii="宋体" w:hAnsi="宋体"/>
                <w:bCs/>
                <w:sz w:val="24"/>
              </w:rPr>
              <w:t>预计</w:t>
            </w:r>
            <w:r>
              <w:rPr>
                <w:rFonts w:hint="eastAsia" w:ascii="宋体" w:hAnsi="宋体"/>
                <w:bCs/>
                <w:sz w:val="24"/>
                <w:lang w:val="en-US" w:eastAsia="zh-CN"/>
              </w:rPr>
              <w:t>该产业</w:t>
            </w:r>
            <w:r>
              <w:rPr>
                <w:rFonts w:ascii="宋体" w:hAnsi="宋体"/>
                <w:bCs/>
                <w:sz w:val="24"/>
              </w:rPr>
              <w:t>全年</w:t>
            </w:r>
            <w:r>
              <w:rPr>
                <w:rFonts w:hint="eastAsia" w:ascii="宋体" w:hAnsi="宋体"/>
                <w:bCs/>
                <w:sz w:val="24"/>
                <w:lang w:val="en-US" w:eastAsia="zh-CN"/>
              </w:rPr>
              <w:t>有望保持</w:t>
            </w:r>
            <w:r>
              <w:rPr>
                <w:rFonts w:ascii="宋体" w:hAnsi="宋体"/>
                <w:bCs/>
                <w:sz w:val="24"/>
              </w:rPr>
              <w:t>双位数增长</w:t>
            </w:r>
            <w:r>
              <w:rPr>
                <w:rFonts w:hint="eastAsia" w:ascii="宋体" w:hAnsi="宋体"/>
                <w:bCs/>
                <w:sz w:val="24"/>
                <w:lang w:eastAsia="zh-CN"/>
              </w:rPr>
              <w:t>。</w:t>
            </w:r>
          </w:p>
          <w:p w14:paraId="463D2B10">
            <w:pPr>
              <w:spacing w:before="156" w:beforeLines="50" w:line="360" w:lineRule="auto"/>
              <w:ind w:firstLine="480" w:firstLineChars="200"/>
              <w:jc w:val="left"/>
              <w:rPr>
                <w:rFonts w:ascii="宋体" w:hAnsi="宋体"/>
                <w:bCs/>
                <w:sz w:val="24"/>
              </w:rPr>
            </w:pPr>
            <w:r>
              <w:rPr>
                <w:rFonts w:hint="eastAsia" w:ascii="宋体" w:hAnsi="宋体"/>
                <w:bCs/>
                <w:sz w:val="24"/>
                <w:lang w:val="en-US" w:eastAsia="zh-CN"/>
              </w:rPr>
              <w:t>在智慧用药产业，</w:t>
            </w:r>
            <w:r>
              <w:rPr>
                <w:rFonts w:ascii="宋体" w:hAnsi="宋体"/>
                <w:bCs/>
                <w:sz w:val="24"/>
              </w:rPr>
              <w:t>公司致力于打造智慧用药全场景数字智能解决方案，推动传统的药品供应调剂模式向以患者为中心的服务模式转型，凭借AI视觉识别技术、高速运动控制技术以及多机械手仿生控制技术等，不断迭代门诊/住院药房场景方案、静配中心场景方案。 公司在AI和自动化领域的技术优势为国内外拓展提供了有力支撑。在国内，公司依托场景方案的综合竞争优势，三季度新增陕西省人民医院等20多家用户，累计服务400多家医疗服务机构。在海外，公司积极布局海外市场拓展，阶段性成果显著，在东南亚区域，公司已与泰国三大私立医院集团之一的RAM医疗集团（Ramkhamhaeng Hospital Group）签署战略合作协议，率先试点药房自动化解决方案，覆盖门诊药房（OPD）自动化系统、智能库存管理模块，并开发集成化工作流程与分析工具，为当地医疗服务机构提供高效、智能的用药管理方案；在越南，公司与越南知名脑卒中治疗中心S.I.S芹苴国际综合医院（S.I.S International Hospital）及越南越进医疗有限公司（VT healthcare）达成战略合作，共同推动越南首个“医院用药全流程数智化解决方案”落地。</w:t>
            </w:r>
          </w:p>
          <w:p w14:paraId="6768CFD1">
            <w:pPr>
              <w:numPr>
                <w:ilvl w:val="0"/>
                <w:numId w:val="1"/>
              </w:numPr>
              <w:spacing w:before="156" w:beforeLines="50" w:line="360" w:lineRule="auto"/>
              <w:ind w:left="0" w:firstLine="482" w:firstLineChars="200"/>
              <w:jc w:val="left"/>
              <w:rPr>
                <w:rFonts w:ascii="宋体" w:hAnsi="宋体"/>
                <w:b/>
                <w:sz w:val="24"/>
              </w:rPr>
            </w:pPr>
            <w:r>
              <w:rPr>
                <w:rFonts w:hint="eastAsia" w:ascii="宋体" w:hAnsi="宋体"/>
                <w:b/>
                <w:sz w:val="24"/>
              </w:rPr>
              <w:t>公司目前盈利增速落后于收入增速，请问原因是什么？</w:t>
            </w:r>
            <w:r>
              <w:rPr>
                <w:rFonts w:ascii="宋体" w:hAnsi="宋体"/>
                <w:b/>
                <w:sz w:val="24"/>
              </w:rPr>
              <w:t xml:space="preserve"> </w:t>
            </w:r>
          </w:p>
          <w:p w14:paraId="00D2F058">
            <w:pPr>
              <w:spacing w:before="156" w:beforeLines="50" w:line="360" w:lineRule="auto"/>
              <w:ind w:firstLine="482" w:firstLineChars="200"/>
              <w:jc w:val="left"/>
              <w:rPr>
                <w:rFonts w:ascii="宋体" w:hAnsi="宋体"/>
                <w:bCs/>
                <w:sz w:val="24"/>
              </w:rPr>
            </w:pPr>
            <w:r>
              <w:rPr>
                <w:rFonts w:ascii="宋体" w:hAnsi="宋体"/>
                <w:b/>
                <w:sz w:val="24"/>
              </w:rPr>
              <w:t>答:</w:t>
            </w:r>
            <w:r>
              <w:rPr>
                <w:rFonts w:ascii="宋体" w:hAnsi="宋体"/>
                <w:bCs/>
                <w:sz w:val="24"/>
              </w:rPr>
              <w:t>公司盈利能力前三季度受外部环境、新建产能爬坡和公司主动中长期战略投入等因素综合影响；第三季度随着营业收入增长、业务结构升级和产品竞争力提升，盈利能力恢复性提升。第三季度毛利率为46.99%，环比提升3.53个百分点；在净利端，第三季度归母净利率环比提升3.43个百分点。</w:t>
            </w:r>
          </w:p>
          <w:p w14:paraId="329FD85C">
            <w:pPr>
              <w:numPr>
                <w:ilvl w:val="0"/>
                <w:numId w:val="1"/>
              </w:numPr>
              <w:spacing w:before="156" w:beforeLines="50" w:line="360" w:lineRule="auto"/>
              <w:ind w:hanging="5"/>
              <w:jc w:val="left"/>
              <w:rPr>
                <w:rFonts w:ascii="宋体" w:hAnsi="宋体"/>
                <w:b/>
                <w:sz w:val="24"/>
              </w:rPr>
            </w:pPr>
            <w:r>
              <w:rPr>
                <w:rFonts w:ascii="宋体" w:hAnsi="宋体"/>
                <w:b/>
                <w:sz w:val="24"/>
              </w:rPr>
              <w:t>公司如何看待后续的发展态势？</w:t>
            </w:r>
          </w:p>
          <w:p w14:paraId="393C13C5">
            <w:pPr>
              <w:spacing w:before="156" w:beforeLines="50" w:line="360" w:lineRule="auto"/>
              <w:ind w:firstLine="482" w:firstLineChars="200"/>
              <w:jc w:val="left"/>
              <w:rPr>
                <w:rFonts w:ascii="宋体" w:hAnsi="宋体"/>
                <w:bCs/>
                <w:sz w:val="24"/>
              </w:rPr>
            </w:pPr>
            <w:r>
              <w:rPr>
                <w:rFonts w:ascii="宋体" w:hAnsi="宋体"/>
                <w:b/>
                <w:sz w:val="24"/>
              </w:rPr>
              <w:t>答:</w:t>
            </w:r>
            <w:r>
              <w:rPr>
                <w:rFonts w:ascii="宋体" w:hAnsi="宋体"/>
                <w:bCs/>
                <w:sz w:val="24"/>
              </w:rPr>
              <w:t>公司在国内与海外市场均面临广阔机遇。在国内，公司各产业都有很大的份额提升空间，尤其是实验室解决方案等产业国产化空间显著；在海外，优势产业低温存储的市场占有率尚不足10%，而实验室解决方案、自动化用药及血液技术等新兴业务的增长潜力则更为巨大。 在此基础上，公司将继续坚持以技术为基、以场景为核，以全球化引擎加快发展进程；并基于“大市场、小细分、多产品、多应用”的行业特点，通过内生和外延的双轮驱动补强现有产业、扩大业务边界，重塑产业发展格局。 基于行业的常态化发展和公司核心竞争力的提升，经初步测算，从年度趋势上看：收入端在2025年确认拐点；利润端有望在2026年迎来拐点（以上预测依据目前可获得的公开信息及管理层初步测算作出，不构成公司对任何投资者或第三方的业绩承诺、盈利预测或前瞻性陈述，敬请投资者注意风险）。</w:t>
            </w:r>
          </w:p>
          <w:p w14:paraId="3A47AD1A">
            <w:pPr>
              <w:spacing w:before="156" w:beforeLines="50" w:line="360" w:lineRule="auto"/>
              <w:ind w:firstLine="480" w:firstLineChars="200"/>
              <w:jc w:val="left"/>
              <w:rPr>
                <w:rFonts w:hint="default" w:ascii="宋体" w:hAnsi="宋体" w:eastAsia="宋体"/>
                <w:bCs/>
                <w:sz w:val="24"/>
                <w:lang w:val="en-US" w:eastAsia="zh-CN"/>
              </w:rPr>
            </w:pPr>
          </w:p>
        </w:tc>
      </w:tr>
      <w:tr w14:paraId="381D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04FDC98">
            <w:pPr>
              <w:spacing w:line="480" w:lineRule="atLeast"/>
              <w:rPr>
                <w:rFonts w:eastAsiaTheme="minorEastAsia"/>
                <w:b/>
                <w:bCs/>
                <w:iCs/>
                <w:sz w:val="24"/>
                <w:szCs w:val="24"/>
              </w:rPr>
            </w:pPr>
            <w:r>
              <w:rPr>
                <w:rFonts w:hint="eastAsia" w:eastAsiaTheme="minorEastAsia"/>
                <w:b/>
                <w:bCs/>
                <w:iCs/>
                <w:sz w:val="24"/>
                <w:szCs w:val="24"/>
              </w:rPr>
              <w:t>附件清单</w:t>
            </w:r>
          </w:p>
        </w:tc>
        <w:tc>
          <w:tcPr>
            <w:tcW w:w="6614" w:type="dxa"/>
            <w:tcBorders>
              <w:top w:val="single" w:color="auto" w:sz="4" w:space="0"/>
              <w:left w:val="single" w:color="auto" w:sz="4" w:space="0"/>
              <w:bottom w:val="single" w:color="auto" w:sz="4" w:space="0"/>
              <w:right w:val="single" w:color="auto" w:sz="4" w:space="0"/>
            </w:tcBorders>
          </w:tcPr>
          <w:p w14:paraId="32CE86FD">
            <w:pPr>
              <w:spacing w:line="480" w:lineRule="atLeast"/>
              <w:rPr>
                <w:rFonts w:eastAsiaTheme="minorEastAsia"/>
                <w:bCs/>
                <w:iCs/>
                <w:sz w:val="24"/>
                <w:szCs w:val="24"/>
              </w:rPr>
            </w:pPr>
            <w:r>
              <w:rPr>
                <w:rFonts w:eastAsiaTheme="minorEastAsia"/>
                <w:bCs/>
                <w:iCs/>
                <w:sz w:val="24"/>
                <w:szCs w:val="24"/>
              </w:rPr>
              <w:t>无</w:t>
            </w:r>
          </w:p>
        </w:tc>
      </w:tr>
      <w:tr w14:paraId="2E32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D0EDF82">
            <w:pPr>
              <w:spacing w:line="480" w:lineRule="atLeast"/>
              <w:rPr>
                <w:rFonts w:eastAsiaTheme="minorEastAsia"/>
                <w:b/>
                <w:bCs/>
                <w:iCs/>
                <w:sz w:val="24"/>
                <w:szCs w:val="24"/>
              </w:rPr>
            </w:pPr>
            <w:r>
              <w:rPr>
                <w:rFonts w:hint="eastAsia" w:eastAsiaTheme="minorEastAsia"/>
                <w:b/>
                <w:bCs/>
                <w:iCs/>
                <w:sz w:val="24"/>
                <w:szCs w:val="24"/>
              </w:rPr>
              <w:t>日期</w:t>
            </w:r>
          </w:p>
        </w:tc>
        <w:tc>
          <w:tcPr>
            <w:tcW w:w="6614" w:type="dxa"/>
            <w:tcBorders>
              <w:top w:val="single" w:color="auto" w:sz="4" w:space="0"/>
              <w:left w:val="single" w:color="auto" w:sz="4" w:space="0"/>
              <w:bottom w:val="single" w:color="auto" w:sz="4" w:space="0"/>
              <w:right w:val="single" w:color="auto" w:sz="4" w:space="0"/>
            </w:tcBorders>
          </w:tcPr>
          <w:p w14:paraId="1EA15479">
            <w:pPr>
              <w:spacing w:line="480" w:lineRule="atLeast"/>
              <w:rPr>
                <w:rFonts w:eastAsiaTheme="minorEastAsia"/>
                <w:bCs/>
                <w:iCs/>
                <w:sz w:val="24"/>
                <w:szCs w:val="24"/>
              </w:rPr>
            </w:pPr>
            <w:r>
              <w:rPr>
                <w:rFonts w:hint="eastAsia" w:eastAsiaTheme="minorEastAsia"/>
                <w:bCs/>
                <w:iCs/>
                <w:sz w:val="24"/>
                <w:szCs w:val="24"/>
              </w:rPr>
              <w:t>202</w:t>
            </w:r>
            <w:r>
              <w:rPr>
                <w:rFonts w:eastAsiaTheme="minorEastAsia"/>
                <w:bCs/>
                <w:iCs/>
                <w:sz w:val="24"/>
                <w:szCs w:val="24"/>
              </w:rPr>
              <w:t>5</w:t>
            </w:r>
            <w:r>
              <w:rPr>
                <w:rFonts w:hint="eastAsia" w:eastAsiaTheme="minorEastAsia"/>
                <w:bCs/>
                <w:iCs/>
                <w:sz w:val="24"/>
                <w:szCs w:val="24"/>
              </w:rPr>
              <w:t>年</w:t>
            </w:r>
            <w:r>
              <w:rPr>
                <w:rFonts w:hint="eastAsia" w:eastAsiaTheme="minorEastAsia"/>
                <w:bCs/>
                <w:iCs/>
                <w:sz w:val="24"/>
                <w:szCs w:val="24"/>
                <w:lang w:val="en-US" w:eastAsia="zh-CN"/>
              </w:rPr>
              <w:t>12</w:t>
            </w:r>
            <w:r>
              <w:rPr>
                <w:rFonts w:hint="eastAsia" w:eastAsiaTheme="minorEastAsia"/>
                <w:bCs/>
                <w:iCs/>
                <w:sz w:val="24"/>
                <w:szCs w:val="24"/>
              </w:rPr>
              <w:t>月</w:t>
            </w:r>
            <w:r>
              <w:rPr>
                <w:rFonts w:hint="eastAsia" w:eastAsiaTheme="minorEastAsia"/>
                <w:bCs/>
                <w:iCs/>
                <w:sz w:val="24"/>
                <w:szCs w:val="24"/>
                <w:lang w:val="en-US" w:eastAsia="zh-CN"/>
              </w:rPr>
              <w:t>18</w:t>
            </w:r>
            <w:r>
              <w:rPr>
                <w:rFonts w:hint="eastAsia" w:eastAsiaTheme="minorEastAsia"/>
                <w:bCs/>
                <w:iCs/>
                <w:sz w:val="24"/>
                <w:szCs w:val="24"/>
              </w:rPr>
              <w:t>日</w:t>
            </w:r>
          </w:p>
        </w:tc>
      </w:tr>
    </w:tbl>
    <w:p w14:paraId="1CF085B1">
      <w:pPr>
        <w:widowControl/>
        <w:jc w:val="left"/>
        <w:rPr>
          <w:b/>
          <w:sz w:val="24"/>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A7CD">
    <w:pPr>
      <w:pStyle w:val="14"/>
    </w:pPr>
  </w:p>
  <w:p w14:paraId="62B21A8B">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86209"/>
    <w:multiLevelType w:val="singleLevel"/>
    <w:tmpl w:val="0448620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71B3"/>
    <w:rsid w:val="00182462"/>
    <w:rsid w:val="00182F54"/>
    <w:rsid w:val="00183247"/>
    <w:rsid w:val="001834D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DE5"/>
    <w:rsid w:val="001C0692"/>
    <w:rsid w:val="001C0806"/>
    <w:rsid w:val="001C0D2B"/>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5C40"/>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270A"/>
    <w:rsid w:val="003447E1"/>
    <w:rsid w:val="00344BD5"/>
    <w:rsid w:val="00346152"/>
    <w:rsid w:val="00346E94"/>
    <w:rsid w:val="0035150A"/>
    <w:rsid w:val="0035220C"/>
    <w:rsid w:val="003535B2"/>
    <w:rsid w:val="003564B4"/>
    <w:rsid w:val="003568DB"/>
    <w:rsid w:val="00360444"/>
    <w:rsid w:val="00362C69"/>
    <w:rsid w:val="00364635"/>
    <w:rsid w:val="00365469"/>
    <w:rsid w:val="00371B31"/>
    <w:rsid w:val="00373697"/>
    <w:rsid w:val="0037405B"/>
    <w:rsid w:val="00375BC7"/>
    <w:rsid w:val="00376D4E"/>
    <w:rsid w:val="003774D6"/>
    <w:rsid w:val="00380AAF"/>
    <w:rsid w:val="003815D8"/>
    <w:rsid w:val="003828DB"/>
    <w:rsid w:val="0038733C"/>
    <w:rsid w:val="00387AE5"/>
    <w:rsid w:val="00390753"/>
    <w:rsid w:val="003925A2"/>
    <w:rsid w:val="00394C8F"/>
    <w:rsid w:val="00397458"/>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3CD7"/>
    <w:rsid w:val="004772C6"/>
    <w:rsid w:val="00477377"/>
    <w:rsid w:val="00480443"/>
    <w:rsid w:val="00480D98"/>
    <w:rsid w:val="004848C1"/>
    <w:rsid w:val="00486B72"/>
    <w:rsid w:val="00490316"/>
    <w:rsid w:val="004904B8"/>
    <w:rsid w:val="00492518"/>
    <w:rsid w:val="0049390D"/>
    <w:rsid w:val="004A115D"/>
    <w:rsid w:val="004A3138"/>
    <w:rsid w:val="004A524C"/>
    <w:rsid w:val="004A5C75"/>
    <w:rsid w:val="004B020A"/>
    <w:rsid w:val="004B035B"/>
    <w:rsid w:val="004B048D"/>
    <w:rsid w:val="004B33ED"/>
    <w:rsid w:val="004B477F"/>
    <w:rsid w:val="004B5A0A"/>
    <w:rsid w:val="004B6A57"/>
    <w:rsid w:val="004B6B27"/>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2B25"/>
    <w:rsid w:val="005644B9"/>
    <w:rsid w:val="00564F41"/>
    <w:rsid w:val="005650CB"/>
    <w:rsid w:val="00565E14"/>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A24BE"/>
    <w:rsid w:val="005A32ED"/>
    <w:rsid w:val="005A3EB3"/>
    <w:rsid w:val="005A436D"/>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54BD"/>
    <w:rsid w:val="006A7C15"/>
    <w:rsid w:val="006B0D96"/>
    <w:rsid w:val="006B1F24"/>
    <w:rsid w:val="006B2A02"/>
    <w:rsid w:val="006B4F2F"/>
    <w:rsid w:val="006B5D65"/>
    <w:rsid w:val="006B75E9"/>
    <w:rsid w:val="006C0A16"/>
    <w:rsid w:val="006C0AEB"/>
    <w:rsid w:val="006C1009"/>
    <w:rsid w:val="006C23E3"/>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0536"/>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27949"/>
    <w:rsid w:val="00735734"/>
    <w:rsid w:val="00742D56"/>
    <w:rsid w:val="00743087"/>
    <w:rsid w:val="00743090"/>
    <w:rsid w:val="00743192"/>
    <w:rsid w:val="007459D6"/>
    <w:rsid w:val="00746EA9"/>
    <w:rsid w:val="007479A8"/>
    <w:rsid w:val="00750CD6"/>
    <w:rsid w:val="00751BE0"/>
    <w:rsid w:val="00752754"/>
    <w:rsid w:val="007536F2"/>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4C9B"/>
    <w:rsid w:val="00816A1C"/>
    <w:rsid w:val="00816A92"/>
    <w:rsid w:val="00816AA2"/>
    <w:rsid w:val="00816B48"/>
    <w:rsid w:val="00817A8D"/>
    <w:rsid w:val="0082048C"/>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4BBE"/>
    <w:rsid w:val="00844E11"/>
    <w:rsid w:val="00845411"/>
    <w:rsid w:val="00847B4E"/>
    <w:rsid w:val="00851218"/>
    <w:rsid w:val="00853613"/>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1741D"/>
    <w:rsid w:val="009205AB"/>
    <w:rsid w:val="00921464"/>
    <w:rsid w:val="00921C49"/>
    <w:rsid w:val="009226E4"/>
    <w:rsid w:val="00922A72"/>
    <w:rsid w:val="0092339E"/>
    <w:rsid w:val="00924F99"/>
    <w:rsid w:val="00930A07"/>
    <w:rsid w:val="00931ADE"/>
    <w:rsid w:val="0093359B"/>
    <w:rsid w:val="009336EE"/>
    <w:rsid w:val="00933789"/>
    <w:rsid w:val="009339B8"/>
    <w:rsid w:val="00936CE4"/>
    <w:rsid w:val="0093727F"/>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63B4"/>
    <w:rsid w:val="009B7C4A"/>
    <w:rsid w:val="009C05A1"/>
    <w:rsid w:val="009C0FED"/>
    <w:rsid w:val="009C23E8"/>
    <w:rsid w:val="009C2A3D"/>
    <w:rsid w:val="009C32F6"/>
    <w:rsid w:val="009C33AC"/>
    <w:rsid w:val="009C35EA"/>
    <w:rsid w:val="009C5303"/>
    <w:rsid w:val="009D004D"/>
    <w:rsid w:val="009D12FE"/>
    <w:rsid w:val="009D1EFC"/>
    <w:rsid w:val="009D37CA"/>
    <w:rsid w:val="009D4468"/>
    <w:rsid w:val="009D783D"/>
    <w:rsid w:val="009E295C"/>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0E8E"/>
    <w:rsid w:val="00A61234"/>
    <w:rsid w:val="00A6142D"/>
    <w:rsid w:val="00A636B8"/>
    <w:rsid w:val="00A63BEC"/>
    <w:rsid w:val="00A64CCE"/>
    <w:rsid w:val="00A64D4F"/>
    <w:rsid w:val="00A650AF"/>
    <w:rsid w:val="00A6537D"/>
    <w:rsid w:val="00A66A0C"/>
    <w:rsid w:val="00A706F1"/>
    <w:rsid w:val="00A711B9"/>
    <w:rsid w:val="00A7151A"/>
    <w:rsid w:val="00A727D6"/>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A78"/>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D00F1"/>
    <w:rsid w:val="00BD0D6F"/>
    <w:rsid w:val="00BD2A05"/>
    <w:rsid w:val="00BD4D8A"/>
    <w:rsid w:val="00BD6828"/>
    <w:rsid w:val="00BE10EB"/>
    <w:rsid w:val="00BE2402"/>
    <w:rsid w:val="00BE2EB8"/>
    <w:rsid w:val="00BE2F25"/>
    <w:rsid w:val="00BE4B9A"/>
    <w:rsid w:val="00BE519E"/>
    <w:rsid w:val="00BE52CE"/>
    <w:rsid w:val="00BE61AD"/>
    <w:rsid w:val="00BE71D1"/>
    <w:rsid w:val="00BE751F"/>
    <w:rsid w:val="00BF3604"/>
    <w:rsid w:val="00BF3A11"/>
    <w:rsid w:val="00BF3A84"/>
    <w:rsid w:val="00BF5D15"/>
    <w:rsid w:val="00C0183C"/>
    <w:rsid w:val="00C04842"/>
    <w:rsid w:val="00C04E22"/>
    <w:rsid w:val="00C06A7E"/>
    <w:rsid w:val="00C07462"/>
    <w:rsid w:val="00C11F64"/>
    <w:rsid w:val="00C12514"/>
    <w:rsid w:val="00C1295F"/>
    <w:rsid w:val="00C12C7B"/>
    <w:rsid w:val="00C135E4"/>
    <w:rsid w:val="00C14027"/>
    <w:rsid w:val="00C1696C"/>
    <w:rsid w:val="00C172B3"/>
    <w:rsid w:val="00C231C6"/>
    <w:rsid w:val="00C2338E"/>
    <w:rsid w:val="00C2587B"/>
    <w:rsid w:val="00C25D90"/>
    <w:rsid w:val="00C26D08"/>
    <w:rsid w:val="00C26EBD"/>
    <w:rsid w:val="00C274D3"/>
    <w:rsid w:val="00C275E8"/>
    <w:rsid w:val="00C27B68"/>
    <w:rsid w:val="00C30070"/>
    <w:rsid w:val="00C308C1"/>
    <w:rsid w:val="00C31554"/>
    <w:rsid w:val="00C3168D"/>
    <w:rsid w:val="00C322F6"/>
    <w:rsid w:val="00C32865"/>
    <w:rsid w:val="00C32F8C"/>
    <w:rsid w:val="00C33877"/>
    <w:rsid w:val="00C338B8"/>
    <w:rsid w:val="00C340AC"/>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448B"/>
    <w:rsid w:val="00D55A99"/>
    <w:rsid w:val="00D6043C"/>
    <w:rsid w:val="00D612ED"/>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37391"/>
    <w:rsid w:val="00F4145C"/>
    <w:rsid w:val="00F43062"/>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5678E9"/>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9745F39"/>
    <w:rsid w:val="3D3C085F"/>
    <w:rsid w:val="3E8A5678"/>
    <w:rsid w:val="3F654A5D"/>
    <w:rsid w:val="426C4F0E"/>
    <w:rsid w:val="431C567C"/>
    <w:rsid w:val="44B63F1A"/>
    <w:rsid w:val="451654F4"/>
    <w:rsid w:val="48810F87"/>
    <w:rsid w:val="4A5B3B64"/>
    <w:rsid w:val="4AC01A61"/>
    <w:rsid w:val="4B42452F"/>
    <w:rsid w:val="4B820183"/>
    <w:rsid w:val="4B88547A"/>
    <w:rsid w:val="4BC01C90"/>
    <w:rsid w:val="4E1A1FF3"/>
    <w:rsid w:val="4F576EB4"/>
    <w:rsid w:val="50CF1F2E"/>
    <w:rsid w:val="51E031B4"/>
    <w:rsid w:val="531A4FAA"/>
    <w:rsid w:val="535C05BC"/>
    <w:rsid w:val="541B05CB"/>
    <w:rsid w:val="54A46742"/>
    <w:rsid w:val="56BD1493"/>
    <w:rsid w:val="5AE76118"/>
    <w:rsid w:val="5B197DCD"/>
    <w:rsid w:val="5BCE7D78"/>
    <w:rsid w:val="5C3A5466"/>
    <w:rsid w:val="5CE14FED"/>
    <w:rsid w:val="5DC51364"/>
    <w:rsid w:val="6014409A"/>
    <w:rsid w:val="621A06A3"/>
    <w:rsid w:val="649C1615"/>
    <w:rsid w:val="64B32B11"/>
    <w:rsid w:val="65962F5E"/>
    <w:rsid w:val="65A70431"/>
    <w:rsid w:val="65D84CB5"/>
    <w:rsid w:val="6646797E"/>
    <w:rsid w:val="665520F7"/>
    <w:rsid w:val="679805F2"/>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widowControl/>
      <w:spacing w:before="480" w:line="276" w:lineRule="auto"/>
      <w:jc w:val="left"/>
      <w:outlineLvl w:val="0"/>
    </w:pPr>
    <w:rPr>
      <w:rFonts w:ascii="Cambria" w:hAnsi="Cambria"/>
      <w:b/>
      <w:bCs/>
      <w:color w:val="21798E"/>
      <w:kern w:val="0"/>
      <w:sz w:val="28"/>
      <w:szCs w:val="28"/>
    </w:rPr>
  </w:style>
  <w:style w:type="paragraph" w:styleId="3">
    <w:name w:val="heading 2"/>
    <w:basedOn w:val="1"/>
    <w:next w:val="1"/>
    <w:link w:val="27"/>
    <w:semiHidden/>
    <w:unhideWhenUsed/>
    <w:qFormat/>
    <w:uiPriority w:val="9"/>
    <w:pPr>
      <w:keepNext/>
      <w:keepLines/>
      <w:widowControl/>
      <w:spacing w:before="200" w:line="276" w:lineRule="auto"/>
      <w:jc w:val="left"/>
      <w:outlineLvl w:val="1"/>
    </w:pPr>
    <w:rPr>
      <w:rFonts w:ascii="Cambria" w:hAnsi="Cambria"/>
      <w:b/>
      <w:bCs/>
      <w:color w:val="2DA2BF"/>
      <w:kern w:val="0"/>
      <w:sz w:val="26"/>
      <w:szCs w:val="26"/>
    </w:rPr>
  </w:style>
  <w:style w:type="paragraph" w:styleId="4">
    <w:name w:val="heading 3"/>
    <w:basedOn w:val="1"/>
    <w:next w:val="1"/>
    <w:link w:val="28"/>
    <w:semiHidden/>
    <w:unhideWhenUsed/>
    <w:qFormat/>
    <w:uiPriority w:val="9"/>
    <w:pPr>
      <w:keepNext/>
      <w:keepLines/>
      <w:widowControl/>
      <w:spacing w:before="200" w:line="276" w:lineRule="auto"/>
      <w:jc w:val="left"/>
      <w:outlineLvl w:val="2"/>
    </w:pPr>
    <w:rPr>
      <w:rFonts w:ascii="Cambria" w:hAnsi="Cambria"/>
      <w:b/>
      <w:bCs/>
      <w:color w:val="2DA2BF"/>
      <w:kern w:val="0"/>
      <w:sz w:val="22"/>
      <w:szCs w:val="22"/>
    </w:rPr>
  </w:style>
  <w:style w:type="paragraph" w:styleId="5">
    <w:name w:val="heading 4"/>
    <w:basedOn w:val="1"/>
    <w:next w:val="1"/>
    <w:link w:val="29"/>
    <w:semiHidden/>
    <w:unhideWhenUsed/>
    <w:qFormat/>
    <w:uiPriority w:val="9"/>
    <w:pPr>
      <w:keepNext/>
      <w:keepLines/>
      <w:widowControl/>
      <w:spacing w:before="200" w:line="276" w:lineRule="auto"/>
      <w:jc w:val="left"/>
      <w:outlineLvl w:val="3"/>
    </w:pPr>
    <w:rPr>
      <w:rFonts w:ascii="Cambria" w:hAnsi="Cambria"/>
      <w:b/>
      <w:bCs/>
      <w:i/>
      <w:iCs/>
      <w:color w:val="2DA2BF"/>
      <w:kern w:val="0"/>
      <w:sz w:val="22"/>
      <w:szCs w:val="22"/>
    </w:rPr>
  </w:style>
  <w:style w:type="paragraph" w:styleId="6">
    <w:name w:val="heading 5"/>
    <w:basedOn w:val="1"/>
    <w:next w:val="1"/>
    <w:link w:val="30"/>
    <w:semiHidden/>
    <w:unhideWhenUsed/>
    <w:qFormat/>
    <w:uiPriority w:val="9"/>
    <w:pPr>
      <w:keepNext/>
      <w:keepLines/>
      <w:widowControl/>
      <w:spacing w:before="200" w:line="276" w:lineRule="auto"/>
      <w:jc w:val="left"/>
      <w:outlineLvl w:val="4"/>
    </w:pPr>
    <w:rPr>
      <w:rFonts w:ascii="Cambria" w:hAnsi="Cambria"/>
      <w:color w:val="16505E"/>
      <w:kern w:val="0"/>
      <w:sz w:val="22"/>
      <w:szCs w:val="22"/>
    </w:rPr>
  </w:style>
  <w:style w:type="paragraph" w:styleId="7">
    <w:name w:val="heading 6"/>
    <w:basedOn w:val="1"/>
    <w:next w:val="1"/>
    <w:link w:val="31"/>
    <w:semiHidden/>
    <w:unhideWhenUsed/>
    <w:qFormat/>
    <w:uiPriority w:val="9"/>
    <w:pPr>
      <w:keepNext/>
      <w:keepLines/>
      <w:widowControl/>
      <w:spacing w:before="200" w:line="276" w:lineRule="auto"/>
      <w:jc w:val="left"/>
      <w:outlineLvl w:val="5"/>
    </w:pPr>
    <w:rPr>
      <w:rFonts w:ascii="Cambria" w:hAnsi="Cambria"/>
      <w:i/>
      <w:iCs/>
      <w:color w:val="16505E"/>
      <w:kern w:val="0"/>
      <w:sz w:val="22"/>
      <w:szCs w:val="22"/>
    </w:rPr>
  </w:style>
  <w:style w:type="paragraph" w:styleId="8">
    <w:name w:val="heading 7"/>
    <w:basedOn w:val="1"/>
    <w:next w:val="1"/>
    <w:link w:val="32"/>
    <w:semiHidden/>
    <w:unhideWhenUsed/>
    <w:qFormat/>
    <w:uiPriority w:val="9"/>
    <w:pPr>
      <w:keepNext/>
      <w:keepLines/>
      <w:widowControl/>
      <w:spacing w:before="200" w:line="276" w:lineRule="auto"/>
      <w:jc w:val="left"/>
      <w:outlineLvl w:val="6"/>
    </w:pPr>
    <w:rPr>
      <w:rFonts w:ascii="Cambria" w:hAnsi="Cambria"/>
      <w:i/>
      <w:iCs/>
      <w:color w:val="404040"/>
      <w:kern w:val="0"/>
      <w:sz w:val="22"/>
      <w:szCs w:val="22"/>
    </w:rPr>
  </w:style>
  <w:style w:type="paragraph" w:styleId="9">
    <w:name w:val="heading 8"/>
    <w:basedOn w:val="1"/>
    <w:next w:val="1"/>
    <w:link w:val="33"/>
    <w:semiHidden/>
    <w:unhideWhenUsed/>
    <w:qFormat/>
    <w:uiPriority w:val="9"/>
    <w:pPr>
      <w:keepNext/>
      <w:keepLines/>
      <w:widowControl/>
      <w:spacing w:before="200" w:line="276" w:lineRule="auto"/>
      <w:jc w:val="left"/>
      <w:outlineLvl w:val="7"/>
    </w:pPr>
    <w:rPr>
      <w:rFonts w:ascii="Cambria" w:hAnsi="Cambria"/>
      <w:color w:val="2DA2BF"/>
      <w:kern w:val="0"/>
      <w:sz w:val="20"/>
    </w:rPr>
  </w:style>
  <w:style w:type="paragraph" w:styleId="10">
    <w:name w:val="heading 9"/>
    <w:basedOn w:val="1"/>
    <w:next w:val="1"/>
    <w:link w:val="34"/>
    <w:semiHidden/>
    <w:unhideWhenUsed/>
    <w:qFormat/>
    <w:uiPriority w:val="9"/>
    <w:pPr>
      <w:keepNext/>
      <w:keepLines/>
      <w:widowControl/>
      <w:spacing w:before="200" w:line="276" w:lineRule="auto"/>
      <w:jc w:val="left"/>
      <w:outlineLvl w:val="8"/>
    </w:pPr>
    <w:rPr>
      <w:rFonts w:ascii="Cambria" w:hAnsi="Cambria"/>
      <w:i/>
      <w:iCs/>
      <w:color w:val="404040"/>
      <w:kern w:val="0"/>
      <w:sz w:val="20"/>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widowControl/>
      <w:spacing w:after="200"/>
      <w:jc w:val="left"/>
    </w:pPr>
    <w:rPr>
      <w:rFonts w:asciiTheme="minorHAnsi" w:hAnsiTheme="minorHAnsi" w:eastAsiaTheme="minorEastAsia" w:cstheme="minorBidi"/>
      <w:b/>
      <w:bCs/>
      <w:color w:val="2DA2BF"/>
      <w:kern w:val="0"/>
      <w:sz w:val="18"/>
      <w:szCs w:val="18"/>
    </w:rPr>
  </w:style>
  <w:style w:type="paragraph" w:styleId="12">
    <w:name w:val="annotation text"/>
    <w:basedOn w:val="1"/>
    <w:link w:val="51"/>
    <w:semiHidden/>
    <w:unhideWhenUsed/>
    <w:qFormat/>
    <w:uiPriority w:val="99"/>
    <w:pPr>
      <w:jc w:val="left"/>
    </w:pPr>
  </w:style>
  <w:style w:type="paragraph" w:styleId="13">
    <w:name w:val="Balloon Text"/>
    <w:basedOn w:val="1"/>
    <w:link w:val="53"/>
    <w:semiHidden/>
    <w:unhideWhenUsed/>
    <w:qFormat/>
    <w:uiPriority w:val="99"/>
    <w:rPr>
      <w:sz w:val="18"/>
      <w:szCs w:val="18"/>
    </w:rPr>
  </w:style>
  <w:style w:type="paragraph" w:styleId="14">
    <w:name w:val="footer"/>
    <w:basedOn w:val="1"/>
    <w:link w:val="50"/>
    <w:unhideWhenUsed/>
    <w:qFormat/>
    <w:uiPriority w:val="99"/>
    <w:pPr>
      <w:tabs>
        <w:tab w:val="center" w:pos="4153"/>
        <w:tab w:val="right" w:pos="8306"/>
      </w:tabs>
      <w:snapToGrid w:val="0"/>
      <w:jc w:val="left"/>
    </w:pPr>
    <w:rPr>
      <w:sz w:val="18"/>
      <w:szCs w:val="18"/>
    </w:rPr>
  </w:style>
  <w:style w:type="paragraph" w:styleId="15">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11"/>
    <w:pPr>
      <w:widowControl/>
      <w:spacing w:after="200" w:line="276" w:lineRule="auto"/>
      <w:jc w:val="left"/>
    </w:pPr>
    <w:rPr>
      <w:rFonts w:ascii="Cambria" w:hAnsi="Cambria"/>
      <w:i/>
      <w:iCs/>
      <w:color w:val="2DA2BF"/>
      <w:spacing w:val="15"/>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5"/>
    <w:qFormat/>
    <w:uiPriority w:val="10"/>
    <w:pPr>
      <w:widowControl/>
      <w:pBdr>
        <w:bottom w:val="single" w:color="2DA2BF" w:sz="8" w:space="4"/>
      </w:pBdr>
      <w:spacing w:after="300"/>
      <w:contextualSpacing/>
      <w:jc w:val="left"/>
    </w:pPr>
    <w:rPr>
      <w:rFonts w:ascii="Cambria" w:hAnsi="Cambria"/>
      <w:color w:val="343434"/>
      <w:spacing w:val="5"/>
      <w:kern w:val="28"/>
      <w:sz w:val="52"/>
      <w:szCs w:val="52"/>
    </w:rPr>
  </w:style>
  <w:style w:type="paragraph" w:styleId="19">
    <w:name w:val="annotation subject"/>
    <w:basedOn w:val="12"/>
    <w:next w:val="12"/>
    <w:link w:val="52"/>
    <w:semiHidden/>
    <w:unhideWhenUsed/>
    <w:qFormat/>
    <w:uiPriority w:val="99"/>
    <w:rPr>
      <w:b/>
      <w:bCs/>
    </w:rPr>
  </w:style>
  <w:style w:type="character" w:styleId="22">
    <w:name w:val="Strong"/>
    <w:qFormat/>
    <w:uiPriority w:val="22"/>
    <w:rPr>
      <w:b/>
      <w:bCs/>
    </w:rPr>
  </w:style>
  <w:style w:type="character" w:styleId="23">
    <w:name w:val="Emphasis"/>
    <w:qFormat/>
    <w:uiPriority w:val="20"/>
    <w:rPr>
      <w:i/>
      <w:iCs/>
    </w:rPr>
  </w:style>
  <w:style w:type="character" w:styleId="24">
    <w:name w:val="Hyperlink"/>
    <w:basedOn w:val="21"/>
    <w:semiHidden/>
    <w:unhideWhenUsed/>
    <w:qFormat/>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标题 1 字符"/>
    <w:link w:val="2"/>
    <w:qFormat/>
    <w:uiPriority w:val="9"/>
    <w:rPr>
      <w:rFonts w:ascii="Cambria" w:hAnsi="Cambria" w:eastAsia="宋体" w:cs="Times New Roman"/>
      <w:b/>
      <w:bCs/>
      <w:color w:val="21798E"/>
      <w:sz w:val="28"/>
      <w:szCs w:val="28"/>
    </w:rPr>
  </w:style>
  <w:style w:type="character" w:customStyle="1" w:styleId="27">
    <w:name w:val="标题 2 字符"/>
    <w:link w:val="3"/>
    <w:semiHidden/>
    <w:qFormat/>
    <w:uiPriority w:val="9"/>
    <w:rPr>
      <w:rFonts w:ascii="Cambria" w:hAnsi="Cambria" w:eastAsia="宋体" w:cs="Times New Roman"/>
      <w:b/>
      <w:bCs/>
      <w:color w:val="2DA2BF"/>
      <w:sz w:val="26"/>
      <w:szCs w:val="26"/>
    </w:rPr>
  </w:style>
  <w:style w:type="character" w:customStyle="1" w:styleId="28">
    <w:name w:val="标题 3 字符"/>
    <w:link w:val="4"/>
    <w:semiHidden/>
    <w:qFormat/>
    <w:uiPriority w:val="9"/>
    <w:rPr>
      <w:rFonts w:ascii="Cambria" w:hAnsi="Cambria" w:eastAsia="宋体" w:cs="Times New Roman"/>
      <w:b/>
      <w:bCs/>
      <w:color w:val="2DA2BF"/>
    </w:rPr>
  </w:style>
  <w:style w:type="character" w:customStyle="1" w:styleId="29">
    <w:name w:val="标题 4 字符"/>
    <w:link w:val="5"/>
    <w:semiHidden/>
    <w:qFormat/>
    <w:uiPriority w:val="9"/>
    <w:rPr>
      <w:rFonts w:ascii="Cambria" w:hAnsi="Cambria" w:eastAsia="宋体" w:cs="Times New Roman"/>
      <w:b/>
      <w:bCs/>
      <w:i/>
      <w:iCs/>
      <w:color w:val="2DA2BF"/>
    </w:rPr>
  </w:style>
  <w:style w:type="character" w:customStyle="1" w:styleId="30">
    <w:name w:val="标题 5 字符"/>
    <w:link w:val="6"/>
    <w:semiHidden/>
    <w:qFormat/>
    <w:uiPriority w:val="9"/>
    <w:rPr>
      <w:rFonts w:ascii="Cambria" w:hAnsi="Cambria" w:eastAsia="宋体" w:cs="Times New Roman"/>
      <w:color w:val="16505E"/>
    </w:rPr>
  </w:style>
  <w:style w:type="character" w:customStyle="1" w:styleId="31">
    <w:name w:val="标题 6 字符"/>
    <w:link w:val="7"/>
    <w:semiHidden/>
    <w:qFormat/>
    <w:uiPriority w:val="9"/>
    <w:rPr>
      <w:rFonts w:ascii="Cambria" w:hAnsi="Cambria" w:eastAsia="宋体" w:cs="Times New Roman"/>
      <w:i/>
      <w:iCs/>
      <w:color w:val="16505E"/>
    </w:rPr>
  </w:style>
  <w:style w:type="character" w:customStyle="1" w:styleId="32">
    <w:name w:val="标题 7 字符"/>
    <w:link w:val="8"/>
    <w:semiHidden/>
    <w:qFormat/>
    <w:uiPriority w:val="9"/>
    <w:rPr>
      <w:rFonts w:ascii="Cambria" w:hAnsi="Cambria" w:eastAsia="宋体" w:cs="Times New Roman"/>
      <w:i/>
      <w:iCs/>
      <w:color w:val="404040"/>
    </w:rPr>
  </w:style>
  <w:style w:type="character" w:customStyle="1" w:styleId="33">
    <w:name w:val="标题 8 字符"/>
    <w:link w:val="9"/>
    <w:semiHidden/>
    <w:qFormat/>
    <w:uiPriority w:val="9"/>
    <w:rPr>
      <w:rFonts w:ascii="Cambria" w:hAnsi="Cambria" w:eastAsia="宋体" w:cs="Times New Roman"/>
      <w:color w:val="2DA2BF"/>
      <w:sz w:val="20"/>
      <w:szCs w:val="20"/>
    </w:rPr>
  </w:style>
  <w:style w:type="character" w:customStyle="1" w:styleId="34">
    <w:name w:val="标题 9 字符"/>
    <w:link w:val="10"/>
    <w:semiHidden/>
    <w:qFormat/>
    <w:uiPriority w:val="9"/>
    <w:rPr>
      <w:rFonts w:ascii="Cambria" w:hAnsi="Cambria" w:eastAsia="宋体" w:cs="Times New Roman"/>
      <w:i/>
      <w:iCs/>
      <w:color w:val="404040"/>
      <w:sz w:val="20"/>
      <w:szCs w:val="20"/>
    </w:rPr>
  </w:style>
  <w:style w:type="character" w:customStyle="1" w:styleId="35">
    <w:name w:val="标题 字符"/>
    <w:link w:val="18"/>
    <w:qFormat/>
    <w:uiPriority w:val="10"/>
    <w:rPr>
      <w:rFonts w:ascii="Cambria" w:hAnsi="Cambria" w:eastAsia="宋体" w:cs="Times New Roman"/>
      <w:color w:val="343434"/>
      <w:spacing w:val="5"/>
      <w:kern w:val="28"/>
      <w:sz w:val="52"/>
      <w:szCs w:val="52"/>
    </w:rPr>
  </w:style>
  <w:style w:type="character" w:customStyle="1" w:styleId="36">
    <w:name w:val="副标题 字符"/>
    <w:link w:val="16"/>
    <w:qFormat/>
    <w:uiPriority w:val="11"/>
    <w:rPr>
      <w:rFonts w:ascii="Cambria" w:hAnsi="Cambria" w:eastAsia="宋体" w:cs="Times New Roman"/>
      <w:i/>
      <w:iCs/>
      <w:color w:val="2DA2BF"/>
      <w:spacing w:val="15"/>
      <w:sz w:val="24"/>
      <w:szCs w:val="24"/>
    </w:rPr>
  </w:style>
  <w:style w:type="paragraph" w:styleId="37">
    <w:name w:val="No Spacing"/>
    <w:qFormat/>
    <w:uiPriority w:val="1"/>
    <w:rPr>
      <w:rFonts w:asciiTheme="minorHAnsi" w:hAnsiTheme="minorHAnsi" w:eastAsiaTheme="minorEastAsia" w:cstheme="minorBidi"/>
      <w:sz w:val="22"/>
      <w:szCs w:val="22"/>
      <w:lang w:val="en-US" w:eastAsia="zh-CN" w:bidi="ar-SA"/>
    </w:rPr>
  </w:style>
  <w:style w:type="paragraph" w:styleId="38">
    <w:name w:val="List Paragraph"/>
    <w:basedOn w:val="1"/>
    <w:qFormat/>
    <w:uiPriority w:val="34"/>
    <w:pPr>
      <w:widowControl/>
      <w:spacing w:after="200" w:line="276" w:lineRule="auto"/>
      <w:ind w:left="720"/>
      <w:contextualSpacing/>
      <w:jc w:val="left"/>
    </w:pPr>
    <w:rPr>
      <w:rFonts w:asciiTheme="minorHAnsi" w:hAnsiTheme="minorHAnsi" w:eastAsiaTheme="minorEastAsia" w:cstheme="minorBidi"/>
      <w:kern w:val="0"/>
      <w:sz w:val="22"/>
      <w:szCs w:val="22"/>
    </w:rPr>
  </w:style>
  <w:style w:type="paragraph" w:styleId="39">
    <w:name w:val="Quote"/>
    <w:basedOn w:val="1"/>
    <w:next w:val="1"/>
    <w:link w:val="40"/>
    <w:qFormat/>
    <w:uiPriority w:val="29"/>
    <w:pPr>
      <w:widowControl/>
      <w:spacing w:after="200" w:line="276" w:lineRule="auto"/>
      <w:jc w:val="left"/>
    </w:pPr>
    <w:rPr>
      <w:rFonts w:asciiTheme="minorHAnsi" w:hAnsiTheme="minorHAnsi" w:eastAsiaTheme="minorEastAsia" w:cstheme="minorBidi"/>
      <w:i/>
      <w:iCs/>
      <w:color w:val="000000"/>
      <w:kern w:val="0"/>
      <w:sz w:val="22"/>
      <w:szCs w:val="22"/>
    </w:rPr>
  </w:style>
  <w:style w:type="character" w:customStyle="1" w:styleId="40">
    <w:name w:val="引用 字符"/>
    <w:link w:val="39"/>
    <w:qFormat/>
    <w:uiPriority w:val="29"/>
    <w:rPr>
      <w:i/>
      <w:iCs/>
      <w:color w:val="000000"/>
    </w:rPr>
  </w:style>
  <w:style w:type="paragraph" w:styleId="41">
    <w:name w:val="Intense Quote"/>
    <w:basedOn w:val="1"/>
    <w:next w:val="1"/>
    <w:link w:val="42"/>
    <w:qFormat/>
    <w:uiPriority w:val="30"/>
    <w:pPr>
      <w:widowControl/>
      <w:pBdr>
        <w:bottom w:val="single" w:color="2DA2BF" w:sz="4" w:space="4"/>
      </w:pBdr>
      <w:spacing w:before="200" w:after="280" w:line="276" w:lineRule="auto"/>
      <w:ind w:left="936" w:right="936"/>
      <w:jc w:val="left"/>
    </w:pPr>
    <w:rPr>
      <w:rFonts w:asciiTheme="minorHAnsi" w:hAnsiTheme="minorHAnsi" w:eastAsiaTheme="minorEastAsia" w:cstheme="minorBidi"/>
      <w:b/>
      <w:bCs/>
      <w:i/>
      <w:iCs/>
      <w:color w:val="2DA2BF"/>
      <w:kern w:val="0"/>
      <w:sz w:val="22"/>
      <w:szCs w:val="22"/>
    </w:rPr>
  </w:style>
  <w:style w:type="character" w:customStyle="1" w:styleId="42">
    <w:name w:val="明显引用 字符"/>
    <w:link w:val="41"/>
    <w:qFormat/>
    <w:uiPriority w:val="30"/>
    <w:rPr>
      <w:b/>
      <w:bCs/>
      <w:i/>
      <w:iCs/>
      <w:color w:val="2DA2BF"/>
    </w:rPr>
  </w:style>
  <w:style w:type="character" w:customStyle="1" w:styleId="43">
    <w:name w:val="不明显强调1"/>
    <w:qFormat/>
    <w:uiPriority w:val="19"/>
    <w:rPr>
      <w:i/>
      <w:iCs/>
      <w:color w:val="808080"/>
    </w:rPr>
  </w:style>
  <w:style w:type="character" w:customStyle="1" w:styleId="44">
    <w:name w:val="明显强调1"/>
    <w:qFormat/>
    <w:uiPriority w:val="21"/>
    <w:rPr>
      <w:b/>
      <w:bCs/>
      <w:i/>
      <w:iCs/>
      <w:color w:val="2DA2BF"/>
    </w:rPr>
  </w:style>
  <w:style w:type="character" w:customStyle="1" w:styleId="45">
    <w:name w:val="不明显参考1"/>
    <w:qFormat/>
    <w:uiPriority w:val="31"/>
    <w:rPr>
      <w:smallCaps/>
      <w:color w:val="DA1F28"/>
      <w:u w:val="single"/>
    </w:rPr>
  </w:style>
  <w:style w:type="character" w:customStyle="1" w:styleId="46">
    <w:name w:val="明显参考1"/>
    <w:qFormat/>
    <w:uiPriority w:val="32"/>
    <w:rPr>
      <w:b/>
      <w:bCs/>
      <w:smallCaps/>
      <w:color w:val="DA1F28"/>
      <w:spacing w:val="5"/>
      <w:u w:val="single"/>
    </w:rPr>
  </w:style>
  <w:style w:type="character" w:customStyle="1" w:styleId="47">
    <w:name w:val="书籍标题1"/>
    <w:qFormat/>
    <w:uiPriority w:val="33"/>
    <w:rPr>
      <w:b/>
      <w:bCs/>
      <w:smallCaps/>
      <w:spacing w:val="5"/>
    </w:rPr>
  </w:style>
  <w:style w:type="paragraph" w:customStyle="1" w:styleId="48">
    <w:name w:val="TOC 标题1"/>
    <w:basedOn w:val="2"/>
    <w:next w:val="1"/>
    <w:semiHidden/>
    <w:unhideWhenUsed/>
    <w:qFormat/>
    <w:uiPriority w:val="39"/>
    <w:pPr>
      <w:outlineLvl w:val="9"/>
    </w:pPr>
  </w:style>
  <w:style w:type="character" w:customStyle="1" w:styleId="49">
    <w:name w:val="页眉 字符"/>
    <w:basedOn w:val="21"/>
    <w:link w:val="15"/>
    <w:qFormat/>
    <w:uiPriority w:val="99"/>
    <w:rPr>
      <w:rFonts w:ascii="Times New Roman" w:hAnsi="Times New Roman" w:eastAsia="宋体" w:cs="Times New Roman"/>
      <w:kern w:val="2"/>
      <w:sz w:val="18"/>
      <w:szCs w:val="18"/>
    </w:rPr>
  </w:style>
  <w:style w:type="character" w:customStyle="1" w:styleId="50">
    <w:name w:val="页脚 字符"/>
    <w:basedOn w:val="21"/>
    <w:link w:val="14"/>
    <w:qFormat/>
    <w:uiPriority w:val="99"/>
    <w:rPr>
      <w:rFonts w:ascii="Times New Roman" w:hAnsi="Times New Roman" w:eastAsia="宋体" w:cs="Times New Roman"/>
      <w:kern w:val="2"/>
      <w:sz w:val="18"/>
      <w:szCs w:val="18"/>
    </w:rPr>
  </w:style>
  <w:style w:type="character" w:customStyle="1" w:styleId="51">
    <w:name w:val="批注文字 字符"/>
    <w:basedOn w:val="21"/>
    <w:link w:val="12"/>
    <w:semiHidden/>
    <w:qFormat/>
    <w:uiPriority w:val="99"/>
    <w:rPr>
      <w:rFonts w:ascii="Times New Roman" w:hAnsi="Times New Roman" w:eastAsia="宋体" w:cs="Times New Roman"/>
      <w:kern w:val="2"/>
      <w:sz w:val="21"/>
      <w:szCs w:val="20"/>
    </w:rPr>
  </w:style>
  <w:style w:type="character" w:customStyle="1" w:styleId="52">
    <w:name w:val="批注主题 字符"/>
    <w:basedOn w:val="51"/>
    <w:link w:val="19"/>
    <w:semiHidden/>
    <w:qFormat/>
    <w:uiPriority w:val="99"/>
    <w:rPr>
      <w:rFonts w:ascii="Times New Roman" w:hAnsi="Times New Roman" w:eastAsia="宋体" w:cs="Times New Roman"/>
      <w:b/>
      <w:bCs/>
      <w:kern w:val="2"/>
      <w:sz w:val="21"/>
      <w:szCs w:val="20"/>
    </w:rPr>
  </w:style>
  <w:style w:type="character" w:customStyle="1" w:styleId="53">
    <w:name w:val="批注框文本 字符"/>
    <w:basedOn w:val="21"/>
    <w:link w:val="13"/>
    <w:semiHidden/>
    <w:qFormat/>
    <w:uiPriority w:val="99"/>
    <w:rPr>
      <w:rFonts w:ascii="Times New Roman" w:hAnsi="Times New Roman" w:eastAsia="宋体" w:cs="Times New Roman"/>
      <w:kern w:val="2"/>
      <w:sz w:val="18"/>
      <w:szCs w:val="18"/>
    </w:rPr>
  </w:style>
  <w:style w:type="paragraph" w:customStyle="1" w:styleId="54">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55">
    <w:name w:val="fontstyle01"/>
    <w:basedOn w:val="21"/>
    <w:qFormat/>
    <w:uiPriority w:val="0"/>
    <w:rPr>
      <w:rFonts w:hint="eastAsia" w:ascii="宋体" w:hAnsi="宋体" w:eastAsia="宋体"/>
      <w:color w:val="000000"/>
      <w:sz w:val="24"/>
      <w:szCs w:val="24"/>
    </w:rPr>
  </w:style>
  <w:style w:type="character" w:customStyle="1" w:styleId="56">
    <w:name w:val="keyword"/>
    <w:basedOn w:val="21"/>
    <w:qFormat/>
    <w:uiPriority w:val="0"/>
  </w:style>
  <w:style w:type="character" w:customStyle="1" w:styleId="57">
    <w:name w:val="activekeyword"/>
    <w:basedOn w:val="21"/>
    <w:qFormat/>
    <w:uiPriority w:val="0"/>
  </w:style>
  <w:style w:type="character" w:customStyle="1" w:styleId="58">
    <w:name w:val="highlight"/>
    <w:basedOn w:val="21"/>
    <w:qFormat/>
    <w:uiPriority w:val="0"/>
  </w:style>
  <w:style w:type="character" w:customStyle="1" w:styleId="59">
    <w:name w:val="text-only"/>
    <w:basedOn w:val="21"/>
    <w:qFormat/>
    <w:uiPriority w:val="0"/>
  </w:style>
  <w:style w:type="paragraph" w:customStyle="1" w:styleId="60">
    <w:name w:val="3090"/>
    <w:basedOn w:val="1"/>
    <w:qFormat/>
    <w:uiPriority w:val="0"/>
    <w:pPr>
      <w:spacing w:line="360" w:lineRule="auto"/>
      <w:ind w:firstLine="200" w:firstLineChars="200"/>
    </w:pPr>
    <w:rPr>
      <w:sz w:val="24"/>
      <w:szCs w:val="24"/>
    </w:rPr>
  </w:style>
  <w:style w:type="character" w:customStyle="1" w:styleId="61">
    <w:name w:val="font21"/>
    <w:basedOn w:val="21"/>
    <w:qFormat/>
    <w:uiPriority w:val="0"/>
    <w:rPr>
      <w:rFonts w:hint="eastAsia" w:ascii="宋体" w:hAnsi="宋体" w:eastAsia="宋体"/>
      <w:b/>
      <w:bCs/>
      <w:color w:val="000000"/>
      <w:sz w:val="21"/>
      <w:szCs w:val="21"/>
      <w:u w:val="none"/>
    </w:rPr>
  </w:style>
  <w:style w:type="character" w:customStyle="1" w:styleId="62">
    <w:name w:val="font41"/>
    <w:basedOn w:val="21"/>
    <w:qFormat/>
    <w:uiPriority w:val="0"/>
    <w:rPr>
      <w:rFonts w:hint="default" w:ascii="Times New Roman" w:hAnsi="Times New Roman" w:cs="Times New Roman"/>
      <w:color w:val="000000"/>
      <w:sz w:val="21"/>
      <w:szCs w:val="21"/>
      <w:u w:val="none"/>
    </w:rPr>
  </w:style>
  <w:style w:type="character" w:customStyle="1" w:styleId="63">
    <w:name w:val="font11"/>
    <w:basedOn w:val="21"/>
    <w:qFormat/>
    <w:uiPriority w:val="0"/>
    <w:rPr>
      <w:rFonts w:hint="eastAsia" w:ascii="宋体" w:hAnsi="宋体" w:eastAsia="宋体"/>
      <w:color w:val="000000"/>
      <w:sz w:val="21"/>
      <w:szCs w:val="21"/>
      <w:u w:val="none"/>
    </w:rPr>
  </w:style>
  <w:style w:type="character" w:customStyle="1" w:styleId="64">
    <w:name w:val="biaodian"/>
    <w:basedOn w:val="2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1953</Words>
  <Characters>2054</Characters>
  <Lines>15</Lines>
  <Paragraphs>4</Paragraphs>
  <TotalTime>10</TotalTime>
  <ScaleCrop>false</ScaleCrop>
  <LinksUpToDate>false</LinksUpToDate>
  <CharactersWithSpaces>2192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2023-06-02T09:16:00Z</dcterms:created>
  <dc:creator>Windows 用户</dc:creator>
  <cp:lastModifiedBy>刘向青</cp:lastModifiedBy>
  <cp:lastPrinted>2024-05-14T09:00:00Z</cp:lastPrinted>
  <dcterms:modified xsi:type="dcterms:W3CDTF">2025-12-18T08:50:39Z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2052-12.1.0.23542</vt:lpwstr>
  </property>
  <property fmtid="{D5CDD505-2E9C-101B-9397-08002B2CF9AE}" pid="4" name="ICV">
    <vt:lpwstr>4008ABD01AF747508157E4D0231EB8D4_13</vt:lpwstr>
  </property>
  <property fmtid="{D5CDD505-2E9C-101B-9397-08002B2CF9AE}" pid="5" name="KSOTemplateDocerSaveRecord">
    <vt:lpwstr>eyJoZGlkIjoiMjJlZjg4M2NlMGFmMDI0N2JkNGI3YzdjYWIwZjZjOTEiLCJ1c2VySWQiOiIxNzYwNzU3NTEzIn0=</vt:lpwstr>
  </property>
</Properties>
</file>