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B2720">
      <w:pPr>
        <w:spacing w:after="156" w:afterLines="50" w:line="400" w:lineRule="exact"/>
        <w:jc w:val="left"/>
        <w:rPr>
          <w:bCs/>
          <w:iCs/>
          <w:sz w:val="24"/>
        </w:rPr>
      </w:pPr>
      <w:r>
        <w:rPr>
          <w:rFonts w:hAnsi="宋体"/>
          <w:bCs/>
          <w:iCs/>
          <w:sz w:val="24"/>
        </w:rPr>
        <w:t>证券代码：</w:t>
      </w:r>
      <w:r>
        <w:rPr>
          <w:rFonts w:hint="eastAsia"/>
          <w:bCs/>
          <w:iCs/>
          <w:sz w:val="24"/>
        </w:rPr>
        <w:t>603773</w:t>
      </w:r>
      <w:r>
        <w:rPr>
          <w:bCs/>
          <w:iCs/>
          <w:sz w:val="24"/>
        </w:rPr>
        <w:t xml:space="preserve">            </w:t>
      </w:r>
      <w:r>
        <w:rPr>
          <w:rFonts w:hint="eastAsia"/>
          <w:bCs/>
          <w:iCs/>
          <w:sz w:val="24"/>
        </w:rPr>
        <w:t xml:space="preserve">        </w:t>
      </w:r>
      <w:r>
        <w:rPr>
          <w:bCs/>
          <w:iCs/>
          <w:sz w:val="24"/>
        </w:rPr>
        <w:t xml:space="preserve"> </w:t>
      </w:r>
      <w:r>
        <w:rPr>
          <w:rFonts w:hint="eastAsia"/>
          <w:bCs/>
          <w:iCs/>
          <w:sz w:val="24"/>
        </w:rPr>
        <w:t xml:space="preserve">               </w:t>
      </w:r>
      <w:r>
        <w:rPr>
          <w:rFonts w:hAnsi="宋体"/>
          <w:bCs/>
          <w:iCs/>
          <w:sz w:val="24"/>
        </w:rPr>
        <w:t>证券简称：</w:t>
      </w:r>
      <w:r>
        <w:rPr>
          <w:rFonts w:hint="eastAsia" w:hAnsi="宋体"/>
          <w:bCs/>
          <w:iCs/>
          <w:sz w:val="24"/>
        </w:rPr>
        <w:t>沃格光电</w:t>
      </w:r>
    </w:p>
    <w:p w14:paraId="7C28D5B5">
      <w:pPr>
        <w:spacing w:line="360" w:lineRule="auto"/>
        <w:jc w:val="center"/>
        <w:rPr>
          <w:rFonts w:ascii="宋体" w:hAnsi="宋体"/>
          <w:b/>
          <w:bCs/>
          <w:iCs/>
          <w:color w:val="FF0000"/>
          <w:sz w:val="32"/>
          <w:szCs w:val="30"/>
        </w:rPr>
      </w:pPr>
      <w:r>
        <w:rPr>
          <w:rFonts w:hint="eastAsia" w:ascii="宋体" w:hAnsi="宋体"/>
          <w:b/>
          <w:bCs/>
          <w:iCs/>
          <w:color w:val="FF0000"/>
          <w:sz w:val="32"/>
          <w:szCs w:val="30"/>
        </w:rPr>
        <w:t>江西沃格光电集团股份有限公司</w:t>
      </w:r>
    </w:p>
    <w:p w14:paraId="459B6DD9">
      <w:pPr>
        <w:spacing w:line="360" w:lineRule="auto"/>
        <w:jc w:val="center"/>
        <w:rPr>
          <w:rFonts w:ascii="宋体" w:hAnsi="宋体"/>
          <w:b/>
          <w:bCs/>
          <w:iCs/>
          <w:color w:val="FF0000"/>
          <w:sz w:val="32"/>
          <w:szCs w:val="30"/>
        </w:rPr>
      </w:pPr>
      <w:r>
        <w:rPr>
          <w:rFonts w:hint="eastAsia" w:ascii="宋体" w:hAnsi="宋体"/>
          <w:b/>
          <w:bCs/>
          <w:iCs/>
          <w:color w:val="FF0000"/>
          <w:sz w:val="32"/>
          <w:szCs w:val="30"/>
        </w:rPr>
        <w:t>投资者关系活动记录表</w:t>
      </w:r>
    </w:p>
    <w:p w14:paraId="76D209A7">
      <w:pPr>
        <w:spacing w:line="400" w:lineRule="exact"/>
        <w:jc w:val="right"/>
        <w:rPr>
          <w:bCs/>
          <w:iCs/>
          <w:sz w:val="24"/>
          <w:szCs w:val="24"/>
        </w:rPr>
      </w:pPr>
    </w:p>
    <w:tbl>
      <w:tblPr>
        <w:tblStyle w:val="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3483"/>
        <w:gridCol w:w="4008"/>
      </w:tblGrid>
      <w:tr w14:paraId="1943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1718" w:type="dxa"/>
            <w:tcBorders>
              <w:right w:val="single" w:color="auto" w:sz="4" w:space="0"/>
            </w:tcBorders>
            <w:vAlign w:val="center"/>
          </w:tcPr>
          <w:p w14:paraId="72C9341E">
            <w:pPr>
              <w:spacing w:line="470" w:lineRule="exact"/>
              <w:rPr>
                <w:rFonts w:ascii="宋体" w:hAnsi="宋体"/>
                <w:b/>
                <w:bCs/>
                <w:iCs/>
                <w:sz w:val="24"/>
                <w:szCs w:val="24"/>
              </w:rPr>
            </w:pPr>
            <w:r>
              <w:rPr>
                <w:rFonts w:hint="eastAsia" w:ascii="宋体" w:hAnsi="宋体"/>
                <w:b/>
                <w:bCs/>
                <w:iCs/>
                <w:sz w:val="24"/>
                <w:szCs w:val="24"/>
              </w:rPr>
              <w:t>投资者关系活动类别</w:t>
            </w:r>
          </w:p>
        </w:tc>
        <w:tc>
          <w:tcPr>
            <w:tcW w:w="3483" w:type="dxa"/>
            <w:tcBorders>
              <w:top w:val="single" w:color="auto" w:sz="4" w:space="0"/>
              <w:left w:val="single" w:color="auto" w:sz="4" w:space="0"/>
              <w:bottom w:val="nil"/>
              <w:right w:val="nil"/>
            </w:tcBorders>
          </w:tcPr>
          <w:p w14:paraId="5523E2C4">
            <w:pPr>
              <w:spacing w:line="470" w:lineRule="exact"/>
              <w:ind w:firstLine="480" w:firstLineChars="200"/>
              <w:rPr>
                <w:rFonts w:ascii="宋体" w:hAnsi="宋体"/>
                <w:sz w:val="24"/>
                <w:szCs w:val="24"/>
              </w:rPr>
            </w:pPr>
            <w:r>
              <w:rPr>
                <w:rFonts w:ascii="宋体" w:hAnsi="宋体" w:cs="Arial"/>
                <w:bCs/>
                <w:iCs/>
                <w:sz w:val="24"/>
                <w:szCs w:val="24"/>
              </w:rPr>
              <w:sym w:font="Wingdings 2" w:char="F052"/>
            </w:r>
            <w:r>
              <w:rPr>
                <w:rFonts w:hint="eastAsia" w:ascii="宋体" w:hAnsi="宋体"/>
                <w:sz w:val="24"/>
                <w:szCs w:val="24"/>
              </w:rPr>
              <w:t>特定对象调研</w:t>
            </w:r>
          </w:p>
          <w:p w14:paraId="7DE2CD0F">
            <w:pPr>
              <w:spacing w:line="470" w:lineRule="exact"/>
              <w:ind w:firstLine="480" w:firstLineChars="200"/>
              <w:rPr>
                <w:rFonts w:ascii="宋体" w:hAnsi="宋体"/>
                <w:bCs/>
                <w:iCs/>
                <w:sz w:val="24"/>
                <w:szCs w:val="24"/>
              </w:rPr>
            </w:pPr>
            <w:r>
              <w:rPr>
                <w:rFonts w:hint="eastAsia" w:ascii="宋体" w:hAnsi="宋体"/>
                <w:bCs/>
                <w:iCs/>
                <w:sz w:val="24"/>
                <w:szCs w:val="24"/>
              </w:rPr>
              <w:t>□</w:t>
            </w:r>
            <w:r>
              <w:rPr>
                <w:rFonts w:hint="eastAsia" w:ascii="宋体" w:hAnsi="宋体"/>
                <w:sz w:val="24"/>
                <w:szCs w:val="24"/>
              </w:rPr>
              <w:t>媒体采访</w:t>
            </w:r>
          </w:p>
          <w:p w14:paraId="00E1A2ED">
            <w:pPr>
              <w:spacing w:line="470" w:lineRule="exact"/>
              <w:ind w:firstLine="480" w:firstLineChars="200"/>
              <w:rPr>
                <w:rFonts w:ascii="宋体" w:hAnsi="宋体"/>
                <w:bCs/>
                <w:iCs/>
                <w:sz w:val="24"/>
                <w:szCs w:val="24"/>
              </w:rPr>
            </w:pPr>
            <w:r>
              <w:rPr>
                <w:rFonts w:hint="eastAsia" w:ascii="宋体" w:hAnsi="宋体"/>
                <w:bCs/>
                <w:iCs/>
                <w:sz w:val="24"/>
                <w:szCs w:val="24"/>
              </w:rPr>
              <w:t>□</w:t>
            </w:r>
            <w:r>
              <w:rPr>
                <w:rFonts w:hint="eastAsia" w:ascii="宋体" w:hAnsi="宋体"/>
                <w:sz w:val="24"/>
                <w:szCs w:val="24"/>
              </w:rPr>
              <w:t>新闻发布会</w:t>
            </w:r>
          </w:p>
          <w:p w14:paraId="6B3415EB">
            <w:pPr>
              <w:tabs>
                <w:tab w:val="left" w:pos="3045"/>
                <w:tab w:val="center" w:pos="3199"/>
              </w:tabs>
              <w:spacing w:line="470" w:lineRule="exact"/>
              <w:ind w:firstLine="480" w:firstLineChars="200"/>
              <w:rPr>
                <w:rFonts w:ascii="宋体" w:hAnsi="宋体"/>
                <w:sz w:val="24"/>
                <w:szCs w:val="24"/>
              </w:rPr>
            </w:pPr>
            <w:r>
              <w:rPr>
                <w:rFonts w:ascii="宋体" w:hAnsi="宋体" w:cs="Arial"/>
                <w:bCs/>
                <w:iCs/>
                <w:sz w:val="24"/>
                <w:szCs w:val="24"/>
              </w:rPr>
              <w:sym w:font="Wingdings 2" w:char="00A3"/>
            </w:r>
            <w:r>
              <w:rPr>
                <w:rFonts w:hint="eastAsia" w:ascii="宋体" w:hAnsi="宋体"/>
                <w:sz w:val="24"/>
                <w:szCs w:val="24"/>
              </w:rPr>
              <w:t>现场参观</w:t>
            </w:r>
          </w:p>
          <w:p w14:paraId="2504E0CD">
            <w:pPr>
              <w:spacing w:line="470" w:lineRule="exact"/>
              <w:ind w:firstLine="480" w:firstLineChars="200"/>
              <w:rPr>
                <w:rFonts w:ascii="宋体" w:hAnsi="宋体"/>
                <w:b/>
                <w:bCs/>
                <w:iCs/>
                <w:sz w:val="24"/>
                <w:szCs w:val="24"/>
              </w:rPr>
            </w:pPr>
            <w:r>
              <w:rPr>
                <w:rFonts w:hint="eastAsia" w:ascii="宋体" w:hAnsi="宋体"/>
                <w:bCs/>
                <w:iCs/>
                <w:sz w:val="24"/>
                <w:szCs w:val="24"/>
              </w:rPr>
              <w:t>□</w:t>
            </w:r>
            <w:r>
              <w:rPr>
                <w:rFonts w:hint="eastAsia" w:ascii="宋体" w:hAnsi="宋体"/>
                <w:sz w:val="24"/>
                <w:szCs w:val="24"/>
              </w:rPr>
              <w:t>其他</w:t>
            </w:r>
          </w:p>
        </w:tc>
        <w:tc>
          <w:tcPr>
            <w:tcW w:w="4008" w:type="dxa"/>
            <w:tcBorders>
              <w:left w:val="nil"/>
            </w:tcBorders>
          </w:tcPr>
          <w:p w14:paraId="017595E6">
            <w:pPr>
              <w:spacing w:line="470" w:lineRule="exact"/>
              <w:rPr>
                <w:rFonts w:ascii="宋体" w:hAnsi="宋体"/>
                <w:sz w:val="24"/>
                <w:szCs w:val="24"/>
              </w:rPr>
            </w:pPr>
            <w:r>
              <w:rPr>
                <w:rFonts w:ascii="宋体" w:hAnsi="宋体" w:cs="Arial"/>
                <w:bCs/>
                <w:iCs/>
                <w:sz w:val="24"/>
                <w:szCs w:val="24"/>
              </w:rPr>
              <w:sym w:font="Wingdings 2" w:char="00A3"/>
            </w:r>
            <w:r>
              <w:rPr>
                <w:rFonts w:hint="eastAsia" w:ascii="宋体" w:hAnsi="宋体"/>
                <w:sz w:val="24"/>
                <w:szCs w:val="24"/>
              </w:rPr>
              <w:t>分析师会议</w:t>
            </w:r>
          </w:p>
          <w:p w14:paraId="3B18AB67">
            <w:pPr>
              <w:spacing w:line="470" w:lineRule="exact"/>
              <w:rPr>
                <w:rFonts w:ascii="宋体" w:hAnsi="宋体"/>
                <w:sz w:val="24"/>
                <w:szCs w:val="24"/>
              </w:rPr>
            </w:pPr>
            <w:r>
              <w:rPr>
                <w:rFonts w:hint="eastAsia" w:ascii="宋体" w:hAnsi="宋体"/>
                <w:bCs/>
                <w:iCs/>
                <w:sz w:val="24"/>
                <w:szCs w:val="24"/>
              </w:rPr>
              <w:t>□</w:t>
            </w:r>
            <w:r>
              <w:rPr>
                <w:rFonts w:hint="eastAsia" w:ascii="宋体" w:hAnsi="宋体"/>
                <w:sz w:val="24"/>
                <w:szCs w:val="24"/>
              </w:rPr>
              <w:t>业绩说明会</w:t>
            </w:r>
          </w:p>
          <w:p w14:paraId="4014E3E8">
            <w:pPr>
              <w:spacing w:line="470" w:lineRule="exact"/>
              <w:rPr>
                <w:rFonts w:ascii="宋体" w:hAnsi="宋体"/>
                <w:sz w:val="24"/>
                <w:szCs w:val="24"/>
              </w:rPr>
            </w:pPr>
            <w:r>
              <w:rPr>
                <w:rFonts w:hint="eastAsia" w:ascii="宋体" w:hAnsi="宋体"/>
                <w:bCs/>
                <w:iCs/>
                <w:sz w:val="24"/>
                <w:szCs w:val="24"/>
              </w:rPr>
              <w:t>□</w:t>
            </w:r>
            <w:r>
              <w:rPr>
                <w:rFonts w:hint="eastAsia" w:ascii="宋体" w:hAnsi="宋体"/>
                <w:sz w:val="24"/>
                <w:szCs w:val="24"/>
              </w:rPr>
              <w:t>路演活动</w:t>
            </w:r>
          </w:p>
          <w:p w14:paraId="0FF3DBCC">
            <w:pPr>
              <w:spacing w:line="470" w:lineRule="exact"/>
              <w:rPr>
                <w:rFonts w:ascii="宋体" w:hAnsi="宋体"/>
                <w:b/>
                <w:bCs/>
                <w:iCs/>
                <w:sz w:val="24"/>
                <w:szCs w:val="24"/>
              </w:rPr>
            </w:pPr>
            <w:r>
              <w:rPr>
                <w:rFonts w:ascii="宋体" w:hAnsi="宋体" w:cs="Arial"/>
                <w:bCs/>
                <w:iCs/>
                <w:sz w:val="24"/>
                <w:szCs w:val="24"/>
              </w:rPr>
              <w:sym w:font="Wingdings 2" w:char="00A3"/>
            </w:r>
            <w:r>
              <w:rPr>
                <w:rFonts w:hint="eastAsia" w:ascii="宋体" w:hAnsi="宋体"/>
                <w:sz w:val="24"/>
                <w:szCs w:val="24"/>
              </w:rPr>
              <w:t>电话会议</w:t>
            </w:r>
          </w:p>
        </w:tc>
      </w:tr>
      <w:tr w14:paraId="4548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718" w:type="dxa"/>
            <w:vAlign w:val="center"/>
          </w:tcPr>
          <w:p w14:paraId="5C1C7AB2">
            <w:pPr>
              <w:spacing w:line="470" w:lineRule="exact"/>
              <w:rPr>
                <w:rFonts w:ascii="宋体" w:hAnsi="宋体"/>
                <w:b/>
                <w:bCs/>
                <w:iCs/>
                <w:sz w:val="24"/>
                <w:szCs w:val="24"/>
              </w:rPr>
            </w:pPr>
            <w:r>
              <w:rPr>
                <w:rFonts w:hint="eastAsia" w:ascii="宋体" w:hAnsi="宋体"/>
                <w:b/>
                <w:bCs/>
                <w:iCs/>
                <w:sz w:val="24"/>
                <w:szCs w:val="24"/>
              </w:rPr>
              <w:t>活动参与机构名称</w:t>
            </w:r>
          </w:p>
        </w:tc>
        <w:tc>
          <w:tcPr>
            <w:tcW w:w="7491" w:type="dxa"/>
            <w:gridSpan w:val="2"/>
            <w:vAlign w:val="center"/>
          </w:tcPr>
          <w:p w14:paraId="4B90C35F">
            <w:pPr>
              <w:spacing w:line="360" w:lineRule="auto"/>
              <w:rPr>
                <w:rFonts w:hint="default" w:ascii="宋体" w:hAnsi="宋体"/>
                <w:sz w:val="24"/>
                <w:szCs w:val="24"/>
                <w:lang w:val="en-US"/>
              </w:rPr>
            </w:pPr>
            <w:r>
              <w:rPr>
                <w:rFonts w:hint="eastAsia" w:ascii="宋体" w:hAnsi="宋体"/>
                <w:sz w:val="24"/>
                <w:szCs w:val="24"/>
                <w:lang w:val="en-US" w:eastAsia="zh-CN"/>
              </w:rPr>
              <w:t>国海证券、</w:t>
            </w:r>
            <w:r>
              <w:rPr>
                <w:rFonts w:hint="eastAsia" w:ascii="宋体" w:hAnsi="宋体"/>
                <w:sz w:val="24"/>
                <w:szCs w:val="24"/>
              </w:rPr>
              <w:t>大成基金、平安基金</w:t>
            </w:r>
            <w:r>
              <w:rPr>
                <w:rFonts w:hint="eastAsia" w:ascii="宋体" w:hAnsi="宋体"/>
                <w:sz w:val="24"/>
                <w:szCs w:val="24"/>
                <w:lang w:eastAsia="zh-CN"/>
              </w:rPr>
              <w:t>、</w:t>
            </w:r>
            <w:r>
              <w:rPr>
                <w:rFonts w:hint="eastAsia" w:ascii="宋体" w:hAnsi="宋体"/>
                <w:sz w:val="24"/>
                <w:szCs w:val="24"/>
              </w:rPr>
              <w:t>国联基金、</w:t>
            </w:r>
            <w:r>
              <w:rPr>
                <w:rFonts w:hint="eastAsia" w:ascii="宋体" w:hAnsi="宋体"/>
                <w:sz w:val="24"/>
                <w:szCs w:val="24"/>
                <w:lang w:val="en-US" w:eastAsia="zh-CN"/>
              </w:rPr>
              <w:t>中信证券、</w:t>
            </w:r>
            <w:r>
              <w:rPr>
                <w:rFonts w:hint="eastAsia" w:ascii="宋体" w:hAnsi="宋体"/>
                <w:sz w:val="24"/>
                <w:szCs w:val="24"/>
              </w:rPr>
              <w:t>深圳博普科技、全天候基金、雾凇资本、</w:t>
            </w:r>
            <w:r>
              <w:rPr>
                <w:rFonts w:hint="eastAsia" w:ascii="宋体" w:hAnsi="宋体"/>
                <w:sz w:val="24"/>
                <w:szCs w:val="24"/>
                <w:lang w:val="en-US" w:eastAsia="zh-CN"/>
              </w:rPr>
              <w:t>中银资管、中银证券</w:t>
            </w:r>
          </w:p>
        </w:tc>
      </w:tr>
      <w:tr w14:paraId="24D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18" w:type="dxa"/>
            <w:vAlign w:val="center"/>
          </w:tcPr>
          <w:p w14:paraId="5A54A7A8">
            <w:pPr>
              <w:spacing w:line="470" w:lineRule="exact"/>
              <w:rPr>
                <w:rFonts w:ascii="宋体" w:hAnsi="宋体"/>
                <w:b/>
                <w:bCs/>
                <w:iCs/>
                <w:sz w:val="24"/>
                <w:szCs w:val="24"/>
              </w:rPr>
            </w:pPr>
            <w:r>
              <w:rPr>
                <w:rFonts w:ascii="宋体" w:hAnsi="宋体"/>
                <w:b/>
                <w:bCs/>
                <w:iCs/>
                <w:sz w:val="24"/>
                <w:szCs w:val="24"/>
              </w:rPr>
              <w:t>公司接待人员</w:t>
            </w:r>
          </w:p>
        </w:tc>
        <w:tc>
          <w:tcPr>
            <w:tcW w:w="7491" w:type="dxa"/>
            <w:gridSpan w:val="2"/>
            <w:vAlign w:val="center"/>
          </w:tcPr>
          <w:p w14:paraId="457CA257">
            <w:pPr>
              <w:autoSpaceDE w:val="0"/>
              <w:autoSpaceDN w:val="0"/>
              <w:adjustRightInd w:val="0"/>
              <w:spacing w:line="360" w:lineRule="auto"/>
              <w:jc w:val="left"/>
              <w:rPr>
                <w:rFonts w:ascii="宋体" w:hAnsi="宋体"/>
                <w:bCs/>
                <w:iCs/>
                <w:sz w:val="24"/>
                <w:szCs w:val="24"/>
              </w:rPr>
            </w:pPr>
            <w:r>
              <w:rPr>
                <w:rFonts w:ascii="宋体" w:hAnsi="宋体"/>
                <w:bCs/>
                <w:iCs/>
                <w:sz w:val="24"/>
                <w:szCs w:val="24"/>
              </w:rPr>
              <w:t>董事会秘书</w:t>
            </w:r>
            <w:r>
              <w:rPr>
                <w:rFonts w:hint="eastAsia" w:ascii="宋体" w:hAnsi="宋体"/>
                <w:bCs/>
                <w:iCs/>
                <w:sz w:val="24"/>
                <w:szCs w:val="24"/>
              </w:rPr>
              <w:t>龚庆宇</w:t>
            </w:r>
          </w:p>
        </w:tc>
      </w:tr>
      <w:tr w14:paraId="5845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8" w:type="dxa"/>
            <w:vAlign w:val="center"/>
          </w:tcPr>
          <w:p w14:paraId="17894E58">
            <w:pPr>
              <w:spacing w:line="470" w:lineRule="exact"/>
              <w:rPr>
                <w:rFonts w:ascii="宋体" w:hAnsi="宋体"/>
                <w:b/>
                <w:bCs/>
                <w:iCs/>
                <w:sz w:val="24"/>
                <w:szCs w:val="24"/>
              </w:rPr>
            </w:pPr>
            <w:r>
              <w:rPr>
                <w:rFonts w:hint="eastAsia" w:ascii="宋体" w:hAnsi="宋体"/>
                <w:b/>
                <w:bCs/>
                <w:iCs/>
                <w:sz w:val="24"/>
                <w:szCs w:val="24"/>
              </w:rPr>
              <w:t>时间</w:t>
            </w:r>
          </w:p>
        </w:tc>
        <w:tc>
          <w:tcPr>
            <w:tcW w:w="7491" w:type="dxa"/>
            <w:gridSpan w:val="2"/>
            <w:vAlign w:val="center"/>
          </w:tcPr>
          <w:p w14:paraId="098F448A">
            <w:pPr>
              <w:spacing w:line="470" w:lineRule="exact"/>
              <w:rPr>
                <w:rFonts w:ascii="宋体" w:hAnsi="宋体"/>
                <w:bCs/>
                <w:iCs/>
                <w:sz w:val="24"/>
                <w:szCs w:val="24"/>
              </w:rPr>
            </w:pPr>
            <w:r>
              <w:rPr>
                <w:rFonts w:hint="eastAsia" w:ascii="宋体" w:hAnsi="宋体"/>
                <w:bCs/>
                <w:iCs/>
                <w:sz w:val="24"/>
                <w:szCs w:val="24"/>
              </w:rPr>
              <w:t>202</w:t>
            </w:r>
            <w:r>
              <w:rPr>
                <w:rFonts w:ascii="宋体" w:hAnsi="宋体"/>
                <w:bCs/>
                <w:iCs/>
                <w:sz w:val="24"/>
                <w:szCs w:val="24"/>
              </w:rPr>
              <w:t>5</w:t>
            </w:r>
            <w:r>
              <w:rPr>
                <w:rFonts w:hint="eastAsia" w:ascii="宋体" w:hAnsi="宋体"/>
                <w:bCs/>
                <w:iCs/>
                <w:sz w:val="24"/>
                <w:szCs w:val="24"/>
              </w:rPr>
              <w:t>年</w:t>
            </w:r>
            <w:r>
              <w:rPr>
                <w:rFonts w:ascii="宋体" w:hAnsi="宋体"/>
                <w:bCs/>
                <w:iCs/>
                <w:sz w:val="24"/>
                <w:szCs w:val="24"/>
              </w:rPr>
              <w:t>12</w:t>
            </w:r>
            <w:r>
              <w:rPr>
                <w:rFonts w:hint="eastAsia" w:ascii="宋体" w:hAnsi="宋体"/>
                <w:bCs/>
                <w:iCs/>
                <w:sz w:val="24"/>
                <w:szCs w:val="24"/>
              </w:rPr>
              <w:t>月</w:t>
            </w:r>
            <w:r>
              <w:rPr>
                <w:rFonts w:hint="eastAsia" w:ascii="宋体" w:hAnsi="宋体"/>
                <w:bCs/>
                <w:iCs/>
                <w:sz w:val="24"/>
                <w:szCs w:val="24"/>
                <w:lang w:val="en-US" w:eastAsia="zh-CN"/>
              </w:rPr>
              <w:t>16</w:t>
            </w:r>
            <w:r>
              <w:rPr>
                <w:rFonts w:hint="eastAsia" w:ascii="宋体" w:hAnsi="宋体"/>
                <w:bCs/>
                <w:iCs/>
                <w:sz w:val="24"/>
                <w:szCs w:val="24"/>
              </w:rPr>
              <w:t>日至202</w:t>
            </w:r>
            <w:r>
              <w:rPr>
                <w:rFonts w:ascii="宋体" w:hAnsi="宋体"/>
                <w:bCs/>
                <w:iCs/>
                <w:sz w:val="24"/>
                <w:szCs w:val="24"/>
              </w:rPr>
              <w:t>5</w:t>
            </w:r>
            <w:r>
              <w:rPr>
                <w:rFonts w:hint="eastAsia" w:ascii="宋体" w:hAnsi="宋体"/>
                <w:bCs/>
                <w:iCs/>
                <w:sz w:val="24"/>
                <w:szCs w:val="24"/>
              </w:rPr>
              <w:t>年</w:t>
            </w:r>
            <w:r>
              <w:rPr>
                <w:rFonts w:ascii="宋体" w:hAnsi="宋体"/>
                <w:bCs/>
                <w:iCs/>
                <w:sz w:val="24"/>
                <w:szCs w:val="24"/>
              </w:rPr>
              <w:t>12</w:t>
            </w:r>
            <w:r>
              <w:rPr>
                <w:rFonts w:hint="eastAsia" w:ascii="宋体" w:hAnsi="宋体"/>
                <w:bCs/>
                <w:iCs/>
                <w:sz w:val="24"/>
                <w:szCs w:val="24"/>
              </w:rPr>
              <w:t>月</w:t>
            </w:r>
            <w:r>
              <w:rPr>
                <w:rFonts w:hint="eastAsia" w:ascii="宋体" w:hAnsi="宋体"/>
                <w:bCs/>
                <w:iCs/>
                <w:sz w:val="24"/>
                <w:szCs w:val="24"/>
                <w:lang w:val="en-US" w:eastAsia="zh-CN"/>
              </w:rPr>
              <w:t>18</w:t>
            </w:r>
            <w:r>
              <w:rPr>
                <w:rFonts w:hint="eastAsia" w:ascii="宋体" w:hAnsi="宋体"/>
                <w:bCs/>
                <w:iCs/>
                <w:sz w:val="24"/>
                <w:szCs w:val="24"/>
              </w:rPr>
              <w:t>日</w:t>
            </w:r>
          </w:p>
        </w:tc>
      </w:tr>
      <w:tr w14:paraId="7A9B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718" w:type="dxa"/>
            <w:vAlign w:val="center"/>
          </w:tcPr>
          <w:p w14:paraId="6B750933">
            <w:pPr>
              <w:spacing w:line="460" w:lineRule="atLeast"/>
              <w:rPr>
                <w:rFonts w:ascii="宋体" w:hAnsi="宋体"/>
                <w:b/>
                <w:sz w:val="24"/>
                <w:szCs w:val="24"/>
              </w:rPr>
            </w:pPr>
            <w:r>
              <w:rPr>
                <w:rFonts w:hint="eastAsia" w:ascii="宋体" w:hAnsi="宋体"/>
                <w:b/>
                <w:sz w:val="24"/>
                <w:szCs w:val="24"/>
              </w:rPr>
              <w:t>地点</w:t>
            </w:r>
          </w:p>
        </w:tc>
        <w:tc>
          <w:tcPr>
            <w:tcW w:w="7491" w:type="dxa"/>
            <w:gridSpan w:val="2"/>
            <w:vAlign w:val="center"/>
          </w:tcPr>
          <w:p w14:paraId="03EEC8D7">
            <w:pPr>
              <w:pStyle w:val="12"/>
              <w:spacing w:line="360" w:lineRule="auto"/>
              <w:rPr>
                <w:rFonts w:hAnsi="宋体" w:cs="Times New Roman"/>
                <w:bCs/>
                <w:iCs/>
                <w:color w:val="auto"/>
                <w:kern w:val="2"/>
              </w:rPr>
            </w:pPr>
            <w:r>
              <w:rPr>
                <w:rFonts w:hint="eastAsia" w:hAnsi="宋体" w:cs="Times New Roman"/>
                <w:bCs/>
                <w:iCs/>
                <w:color w:val="auto"/>
                <w:kern w:val="2"/>
              </w:rPr>
              <w:t>沃格光电深圳分公司</w:t>
            </w:r>
          </w:p>
        </w:tc>
      </w:tr>
      <w:tr w14:paraId="7D88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718" w:type="dxa"/>
            <w:vAlign w:val="center"/>
          </w:tcPr>
          <w:p w14:paraId="3DBE89B3">
            <w:pPr>
              <w:spacing w:line="460" w:lineRule="exact"/>
              <w:rPr>
                <w:rFonts w:ascii="宋体" w:hAnsi="宋体"/>
                <w:b/>
                <w:bCs/>
                <w:iCs/>
                <w:sz w:val="24"/>
                <w:szCs w:val="24"/>
              </w:rPr>
            </w:pPr>
            <w:r>
              <w:rPr>
                <w:rFonts w:hint="eastAsia" w:ascii="宋体" w:hAnsi="宋体"/>
                <w:b/>
                <w:bCs/>
                <w:iCs/>
                <w:sz w:val="24"/>
                <w:szCs w:val="24"/>
              </w:rPr>
              <w:t>交流内容及具体问答记录</w:t>
            </w:r>
          </w:p>
        </w:tc>
        <w:tc>
          <w:tcPr>
            <w:tcW w:w="7491" w:type="dxa"/>
            <w:gridSpan w:val="2"/>
            <w:vAlign w:val="center"/>
          </w:tcPr>
          <w:p w14:paraId="2A534A9D">
            <w:pPr>
              <w:spacing w:line="360" w:lineRule="auto"/>
              <w:ind w:firstLine="482" w:firstLineChars="200"/>
              <w:rPr>
                <w:rFonts w:ascii="宋体" w:hAnsi="宋体"/>
                <w:b/>
                <w:sz w:val="24"/>
                <w:szCs w:val="24"/>
              </w:rPr>
            </w:pPr>
            <w:r>
              <w:rPr>
                <w:rFonts w:hint="eastAsia" w:ascii="宋体" w:hAnsi="宋体"/>
                <w:b/>
                <w:sz w:val="24"/>
                <w:szCs w:val="24"/>
              </w:rPr>
              <w:t>一、公司业务介绍</w:t>
            </w:r>
          </w:p>
          <w:p w14:paraId="761EA04E">
            <w:pPr>
              <w:spacing w:before="78" w:beforeLines="25" w:line="360" w:lineRule="auto"/>
              <w:ind w:firstLine="480" w:firstLineChars="200"/>
              <w:rPr>
                <w:rFonts w:hint="eastAsia" w:ascii="宋体" w:hAnsi="宋体"/>
                <w:bCs/>
                <w:sz w:val="24"/>
                <w:szCs w:val="24"/>
                <w:lang w:eastAsia="zh-CN"/>
              </w:rPr>
            </w:pPr>
            <w:r>
              <w:rPr>
                <w:rFonts w:ascii="宋体" w:hAnsi="宋体"/>
                <w:bCs/>
                <w:sz w:val="24"/>
                <w:szCs w:val="24"/>
              </w:rPr>
              <w:t>江西沃格光电</w:t>
            </w:r>
            <w:r>
              <w:rPr>
                <w:rFonts w:hint="eastAsia" w:ascii="宋体" w:hAnsi="宋体"/>
                <w:bCs/>
                <w:sz w:val="24"/>
                <w:szCs w:val="24"/>
                <w:lang w:val="en-US" w:eastAsia="zh-CN"/>
              </w:rPr>
              <w:t>集团</w:t>
            </w:r>
            <w:r>
              <w:rPr>
                <w:rFonts w:ascii="宋体" w:hAnsi="宋体"/>
                <w:bCs/>
                <w:sz w:val="24"/>
                <w:szCs w:val="24"/>
              </w:rPr>
              <w:t>股份有限公司是国家高新技术企业，正从传统显示玻璃精加工向“玻璃基+”高端制造全面升级，聚焦显示、通信与半导体三大领域</w:t>
            </w:r>
            <w:r>
              <w:rPr>
                <w:rFonts w:hint="eastAsia" w:ascii="宋体" w:hAnsi="宋体"/>
                <w:bCs/>
                <w:sz w:val="24"/>
                <w:szCs w:val="24"/>
                <w:lang w:eastAsia="zh-CN"/>
              </w:rPr>
              <w:t>，</w:t>
            </w:r>
            <w:r>
              <w:rPr>
                <w:rFonts w:hint="eastAsia" w:ascii="宋体" w:hAnsi="宋体"/>
                <w:sz w:val="24"/>
                <w:szCs w:val="24"/>
              </w:rPr>
              <w:t>公司是全球最早实现</w:t>
            </w:r>
            <w:r>
              <w:rPr>
                <w:rFonts w:hint="eastAsia" w:ascii="宋体" w:hAnsi="宋体"/>
                <w:sz w:val="24"/>
                <w:szCs w:val="24"/>
                <w:lang w:val="en-US" w:eastAsia="zh-CN"/>
              </w:rPr>
              <w:t>玻璃电路板（GCP）</w:t>
            </w:r>
            <w:r>
              <w:rPr>
                <w:rFonts w:hint="eastAsia" w:ascii="宋体" w:hAnsi="宋体"/>
                <w:sz w:val="24"/>
                <w:szCs w:val="24"/>
              </w:rPr>
              <w:t>产业化的企业</w:t>
            </w:r>
            <w:r>
              <w:rPr>
                <w:rFonts w:hint="eastAsia" w:ascii="宋体" w:hAnsi="宋体"/>
                <w:bCs/>
                <w:sz w:val="24"/>
                <w:szCs w:val="24"/>
                <w:lang w:eastAsia="zh-CN"/>
              </w:rPr>
              <w:t>。</w:t>
            </w:r>
          </w:p>
          <w:p w14:paraId="3EEF16B6">
            <w:pPr>
              <w:spacing w:before="78" w:beforeLines="25" w:line="360" w:lineRule="auto"/>
              <w:ind w:firstLine="480" w:firstLineChars="200"/>
              <w:rPr>
                <w:rFonts w:ascii="宋体" w:hAnsi="宋体"/>
                <w:bCs/>
                <w:sz w:val="24"/>
                <w:szCs w:val="24"/>
              </w:rPr>
            </w:pPr>
            <w:r>
              <w:rPr>
                <w:rFonts w:ascii="宋体" w:hAnsi="宋体"/>
                <w:sz w:val="24"/>
                <w:szCs w:val="24"/>
              </w:rPr>
              <w:t>公司主营业务主要包括三大块。第一是沃格光电公司及子公司为经营主体的传统业务，包括显示面板相关玻璃精加工和显示器件产品业务；第二是以江西德虹显示为经营主体的新型显示业务，包括玻璃基Mini LED背光新型显示模组、Micro LED直显玻璃基板两大类。第三是以湖北通格微为经营主体的玻璃基线路板和玻璃器件产品在泛半导体行业的应用，包括5G-A\6G、卫星通信玻璃基RF射频器件、光通讯领域光模块/CPO、半导体先进封装领域玻璃基Chiplet先进封装载板及其封装技术开发和应用。目前，公司主营业务以第一块业务贡献为主，第二块和第三块业务取得较好进展和应用突破。</w:t>
            </w:r>
          </w:p>
          <w:p w14:paraId="78F78642">
            <w:pPr>
              <w:spacing w:before="93" w:beforeLines="30" w:line="360" w:lineRule="auto"/>
              <w:ind w:firstLine="480" w:firstLineChars="200"/>
              <w:jc w:val="both"/>
              <w:rPr>
                <w:rFonts w:hint="eastAsia" w:ascii="宋体" w:hAnsi="宋体"/>
                <w:bCs/>
                <w:sz w:val="24"/>
                <w:szCs w:val="24"/>
              </w:rPr>
            </w:pPr>
            <w:r>
              <w:rPr>
                <w:rFonts w:hint="eastAsia" w:ascii="宋体" w:hAnsi="宋体"/>
                <w:bCs/>
                <w:sz w:val="24"/>
                <w:szCs w:val="24"/>
              </w:rPr>
              <w:t>此外，</w:t>
            </w:r>
            <w:r>
              <w:rPr>
                <w:rFonts w:hint="eastAsia" w:ascii="宋体" w:hAnsi="宋体"/>
                <w:bCs/>
                <w:sz w:val="24"/>
                <w:szCs w:val="24"/>
                <w:lang w:val="en-US" w:eastAsia="zh-CN"/>
              </w:rPr>
              <w:t>公司</w:t>
            </w:r>
            <w:r>
              <w:rPr>
                <w:rFonts w:hint="eastAsia" w:ascii="宋体" w:hAnsi="宋体"/>
                <w:bCs/>
                <w:sz w:val="24"/>
                <w:szCs w:val="24"/>
              </w:rPr>
              <w:t>积极参与玻璃基微流控生物芯片的开发，航天卫星太阳翼材料的开发及加工、半导体刻蚀设备和光刻机用玻璃器件及加工工艺开发等领域。</w:t>
            </w:r>
          </w:p>
          <w:p w14:paraId="24E748EA">
            <w:pPr>
              <w:spacing w:before="78" w:beforeLines="25" w:line="360" w:lineRule="auto"/>
              <w:ind w:firstLine="480" w:firstLineChars="200"/>
              <w:rPr>
                <w:rFonts w:ascii="宋体" w:hAnsi="宋体"/>
                <w:bCs/>
                <w:sz w:val="24"/>
                <w:szCs w:val="24"/>
              </w:rPr>
            </w:pPr>
            <w:r>
              <w:rPr>
                <w:rFonts w:ascii="宋体" w:hAnsi="宋体"/>
                <w:bCs/>
                <w:sz w:val="24"/>
                <w:szCs w:val="24"/>
              </w:rPr>
              <w:t>2025年1–9月</w:t>
            </w:r>
            <w:r>
              <w:rPr>
                <w:rFonts w:hint="eastAsia" w:ascii="宋体" w:hAnsi="宋体"/>
                <w:bCs/>
                <w:sz w:val="24"/>
                <w:szCs w:val="24"/>
                <w:lang w:eastAsia="zh-CN"/>
              </w:rPr>
              <w:t>，</w:t>
            </w:r>
            <w:r>
              <w:rPr>
                <w:rFonts w:hint="eastAsia" w:ascii="宋体" w:hAnsi="宋体"/>
                <w:bCs/>
                <w:sz w:val="24"/>
                <w:szCs w:val="24"/>
                <w:lang w:val="en-US" w:eastAsia="zh-CN"/>
              </w:rPr>
              <w:t>公司实现</w:t>
            </w:r>
            <w:r>
              <w:rPr>
                <w:rFonts w:ascii="宋体" w:hAnsi="宋体"/>
                <w:bCs/>
                <w:sz w:val="24"/>
                <w:szCs w:val="24"/>
              </w:rPr>
              <w:t>营收19亿元，同比增长15.66%；研发费用1.26亿元，同比</w:t>
            </w:r>
            <w:r>
              <w:rPr>
                <w:rFonts w:hint="eastAsia" w:ascii="宋体" w:hAnsi="宋体"/>
                <w:bCs/>
                <w:sz w:val="24"/>
                <w:szCs w:val="24"/>
                <w:lang w:val="en-US" w:eastAsia="zh-CN"/>
              </w:rPr>
              <w:t>增长</w:t>
            </w:r>
            <w:r>
              <w:rPr>
                <w:rFonts w:ascii="宋体" w:hAnsi="宋体"/>
                <w:bCs/>
                <w:sz w:val="24"/>
                <w:szCs w:val="24"/>
              </w:rPr>
              <w:t>50.90%；</w:t>
            </w:r>
            <w:r>
              <w:rPr>
                <w:rFonts w:hint="eastAsia" w:ascii="宋体" w:hAnsi="宋体"/>
                <w:bCs/>
                <w:sz w:val="24"/>
                <w:szCs w:val="24"/>
                <w:lang w:val="en-US" w:eastAsia="zh-CN"/>
              </w:rPr>
              <w:t>公司传统业务业绩保持盈利并稳健增长，由于持续加大在玻璃电路板等新产品新技术的研发投入，以及新产线投产带来折旧等固定成本的上升，导致归母</w:t>
            </w:r>
            <w:r>
              <w:rPr>
                <w:rFonts w:ascii="宋体" w:hAnsi="宋体"/>
                <w:bCs/>
                <w:sz w:val="24"/>
                <w:szCs w:val="24"/>
              </w:rPr>
              <w:t>净利润为-6,694万元，但经营性现金流仍达1.26亿元，主业造血能力稳健。公司拥有</w:t>
            </w:r>
            <w:r>
              <w:rPr>
                <w:rFonts w:hint="eastAsia" w:ascii="宋体" w:hAnsi="宋体"/>
                <w:bCs/>
                <w:sz w:val="24"/>
                <w:szCs w:val="24"/>
                <w:lang w:val="en-US" w:eastAsia="zh-CN"/>
              </w:rPr>
              <w:t>授权</w:t>
            </w:r>
            <w:r>
              <w:rPr>
                <w:rFonts w:ascii="宋体" w:hAnsi="宋体"/>
                <w:bCs/>
                <w:sz w:val="24"/>
                <w:szCs w:val="24"/>
              </w:rPr>
              <w:t>专利</w:t>
            </w:r>
            <w:r>
              <w:rPr>
                <w:rFonts w:hint="eastAsia" w:ascii="宋体" w:hAnsi="宋体"/>
                <w:bCs/>
                <w:sz w:val="24"/>
                <w:szCs w:val="24"/>
                <w:lang w:val="en-US" w:eastAsia="zh-CN"/>
              </w:rPr>
              <w:t>超500</w:t>
            </w:r>
            <w:r>
              <w:rPr>
                <w:rFonts w:ascii="宋体" w:hAnsi="宋体"/>
                <w:bCs/>
                <w:sz w:val="24"/>
                <w:szCs w:val="24"/>
              </w:rPr>
              <w:t>项（</w:t>
            </w:r>
            <w:r>
              <w:rPr>
                <w:rFonts w:hint="eastAsia" w:ascii="宋体" w:hAnsi="宋体"/>
                <w:bCs/>
                <w:sz w:val="24"/>
                <w:szCs w:val="24"/>
                <w:lang w:val="en-US" w:eastAsia="zh-CN"/>
              </w:rPr>
              <w:t>其中</w:t>
            </w:r>
            <w:r>
              <w:rPr>
                <w:rFonts w:ascii="宋体" w:hAnsi="宋体"/>
                <w:bCs/>
                <w:sz w:val="24"/>
                <w:szCs w:val="24"/>
              </w:rPr>
              <w:t>发明专利</w:t>
            </w:r>
            <w:r>
              <w:rPr>
                <w:rFonts w:hint="eastAsia" w:ascii="宋体" w:hAnsi="宋体"/>
                <w:bCs/>
                <w:sz w:val="24"/>
                <w:szCs w:val="24"/>
                <w:lang w:val="en-US" w:eastAsia="zh-CN"/>
              </w:rPr>
              <w:t>135</w:t>
            </w:r>
            <w:r>
              <w:rPr>
                <w:rFonts w:ascii="宋体" w:hAnsi="宋体"/>
                <w:bCs/>
                <w:sz w:val="24"/>
                <w:szCs w:val="24"/>
              </w:rPr>
              <w:t>项），技术壁垒持续强化。</w:t>
            </w:r>
          </w:p>
          <w:p w14:paraId="72B807C0">
            <w:pPr>
              <w:tabs>
                <w:tab w:val="left" w:pos="1872"/>
              </w:tabs>
              <w:spacing w:before="312" w:beforeLines="100" w:line="360" w:lineRule="auto"/>
              <w:ind w:firstLine="482" w:firstLineChars="200"/>
              <w:rPr>
                <w:rFonts w:hint="eastAsia" w:ascii="宋体" w:hAnsi="宋体"/>
                <w:b/>
                <w:sz w:val="24"/>
                <w:szCs w:val="24"/>
              </w:rPr>
            </w:pPr>
            <w:r>
              <w:rPr>
                <w:rFonts w:hint="eastAsia" w:ascii="宋体" w:hAnsi="宋体"/>
                <w:b/>
                <w:sz w:val="24"/>
                <w:szCs w:val="24"/>
              </w:rPr>
              <w:t>二、问答环节</w:t>
            </w:r>
          </w:p>
          <w:p w14:paraId="5D962153">
            <w:pPr>
              <w:pStyle w:val="16"/>
              <w:numPr>
                <w:ilvl w:val="0"/>
                <w:numId w:val="1"/>
              </w:numPr>
              <w:spacing w:before="156" w:beforeLines="50" w:line="360" w:lineRule="auto"/>
              <w:ind w:left="0" w:firstLine="482"/>
              <w:rPr>
                <w:rFonts w:ascii="宋体" w:hAnsi="宋体" w:cs="宋体"/>
                <w:b/>
                <w:bCs/>
                <w:sz w:val="24"/>
                <w:szCs w:val="24"/>
              </w:rPr>
            </w:pPr>
            <w:r>
              <w:rPr>
                <w:rFonts w:hint="eastAsia" w:ascii="宋体" w:hAnsi="宋体" w:cs="宋体"/>
                <w:b/>
                <w:bCs/>
                <w:sz w:val="24"/>
                <w:szCs w:val="24"/>
                <w:lang w:val="en-US" w:eastAsia="zh-CN"/>
              </w:rPr>
              <w:t>公司</w:t>
            </w:r>
            <w:r>
              <w:rPr>
                <w:rFonts w:ascii="宋体" w:hAnsi="宋体" w:cs="宋体"/>
                <w:b/>
                <w:bCs/>
                <w:sz w:val="24"/>
                <w:szCs w:val="24"/>
              </w:rPr>
              <w:t>8代AMOLED玻璃基精加工产线</w:t>
            </w:r>
            <w:r>
              <w:rPr>
                <w:rFonts w:hint="eastAsia" w:ascii="宋体" w:hAnsi="宋体" w:cs="宋体"/>
                <w:b/>
                <w:bCs/>
                <w:sz w:val="24"/>
                <w:szCs w:val="24"/>
                <w:lang w:val="en-US" w:eastAsia="zh-CN"/>
              </w:rPr>
              <w:t>建设进度？设计产能？在行业内的地位？预计对公司的经营影响？</w:t>
            </w:r>
          </w:p>
          <w:p w14:paraId="32413435">
            <w:pPr>
              <w:spacing w:line="360" w:lineRule="auto"/>
              <w:ind w:firstLine="482" w:firstLineChars="200"/>
              <w:rPr>
                <w:rFonts w:hint="eastAsia" w:ascii="宋体" w:hAnsi="宋体" w:cs="宋体"/>
                <w:sz w:val="24"/>
                <w:szCs w:val="24"/>
                <w:lang w:val="en-US" w:eastAsia="zh-CN"/>
              </w:rPr>
            </w:pPr>
            <w:r>
              <w:rPr>
                <w:rFonts w:hint="eastAsia" w:ascii="宋体" w:hAnsi="宋体"/>
                <w:b/>
                <w:sz w:val="24"/>
                <w:szCs w:val="24"/>
                <w:shd w:val="clear" w:color="auto" w:fill="FFFFFF"/>
              </w:rPr>
              <w:t>回复：</w:t>
            </w:r>
            <w:r>
              <w:rPr>
                <w:rFonts w:hint="eastAsia" w:ascii="宋体" w:hAnsi="宋体"/>
                <w:bCs/>
                <w:sz w:val="24"/>
                <w:szCs w:val="24"/>
                <w:shd w:val="clear" w:color="auto" w:fill="FFFFFF"/>
              </w:rPr>
              <w:t>公司全资子公司成都沃格显示技术有限公司采用独家开发的ECI玻璃薄化、丝印、切割一体化技术</w:t>
            </w:r>
            <w:r>
              <w:rPr>
                <w:rFonts w:hint="eastAsia" w:ascii="宋体" w:hAnsi="宋体"/>
                <w:bCs/>
                <w:sz w:val="24"/>
                <w:szCs w:val="24"/>
                <w:shd w:val="clear" w:color="auto" w:fill="FFFFFF"/>
                <w:lang w:eastAsia="zh-CN"/>
              </w:rPr>
              <w:t>，</w:t>
            </w:r>
            <w:r>
              <w:rPr>
                <w:rFonts w:hint="eastAsia" w:ascii="宋体" w:hAnsi="宋体"/>
                <w:bCs/>
                <w:sz w:val="24"/>
                <w:szCs w:val="24"/>
                <w:shd w:val="clear" w:color="auto" w:fill="FFFFFF"/>
              </w:rPr>
              <w:t>为国内首条8代AMOLED产线提供玻璃基精加工配套服务，该项技术公司协同客户联合开发逾4年，是目前国内唯一具备ECI技术能力的公司。</w:t>
            </w:r>
            <w:r>
              <w:rPr>
                <w:rFonts w:hint="eastAsia" w:ascii="宋体" w:hAnsi="宋体" w:cs="宋体"/>
                <w:sz w:val="24"/>
                <w:szCs w:val="24"/>
                <w:lang w:val="en-US" w:eastAsia="zh-CN"/>
              </w:rPr>
              <w:t>现在</w:t>
            </w:r>
            <w:r>
              <w:rPr>
                <w:rFonts w:ascii="宋体" w:hAnsi="宋体" w:cs="宋体"/>
                <w:sz w:val="24"/>
                <w:szCs w:val="24"/>
              </w:rPr>
              <w:t>正处于设备搬入阶段，</w:t>
            </w:r>
            <w:r>
              <w:rPr>
                <w:rFonts w:hint="eastAsia" w:ascii="宋体" w:hAnsi="宋体"/>
                <w:bCs/>
                <w:sz w:val="24"/>
                <w:szCs w:val="24"/>
                <w:shd w:val="clear" w:color="auto" w:fill="FFFFFF"/>
              </w:rPr>
              <w:t>预计2026年进入量产</w:t>
            </w:r>
            <w:r>
              <w:rPr>
                <w:rFonts w:hint="eastAsia" w:ascii="宋体" w:hAnsi="宋体"/>
                <w:bCs/>
                <w:sz w:val="24"/>
                <w:szCs w:val="24"/>
                <w:shd w:val="clear" w:color="auto" w:fill="FFFFFF"/>
                <w:lang w:eastAsia="zh-CN"/>
              </w:rPr>
              <w:t>，</w:t>
            </w:r>
            <w:r>
              <w:rPr>
                <w:rFonts w:ascii="宋体" w:hAnsi="宋体" w:cs="宋体"/>
                <w:sz w:val="24"/>
                <w:szCs w:val="24"/>
              </w:rPr>
              <w:t>达产年预计实现月产能2.4万片</w:t>
            </w:r>
            <w:r>
              <w:rPr>
                <w:rFonts w:hint="eastAsia" w:ascii="宋体" w:hAnsi="宋体" w:cs="宋体"/>
                <w:sz w:val="24"/>
                <w:szCs w:val="24"/>
                <w:lang w:eastAsia="zh-CN"/>
              </w:rPr>
              <w:t>，</w:t>
            </w:r>
            <w:r>
              <w:rPr>
                <w:rFonts w:hint="eastAsia" w:ascii="宋体" w:hAnsi="宋体" w:cs="宋体"/>
                <w:sz w:val="24"/>
                <w:szCs w:val="24"/>
                <w:lang w:val="en-US" w:eastAsia="zh-CN"/>
              </w:rPr>
              <w:t>达产后预计能为公司玻璃精加工业务带来收入大幅增长。</w:t>
            </w:r>
          </w:p>
          <w:p w14:paraId="4C661E34">
            <w:pPr>
              <w:spacing w:line="360" w:lineRule="auto"/>
              <w:ind w:firstLine="480" w:firstLineChars="200"/>
              <w:rPr>
                <w:rFonts w:ascii="宋体" w:hAnsi="宋体"/>
                <w:bCs/>
                <w:sz w:val="24"/>
                <w:shd w:val="clear" w:color="auto" w:fill="FFFFFF"/>
              </w:rPr>
            </w:pPr>
            <w:r>
              <w:rPr>
                <w:rFonts w:hint="eastAsia" w:ascii="宋体" w:hAnsi="宋体"/>
                <w:bCs/>
                <w:sz w:val="24"/>
                <w:szCs w:val="24"/>
                <w:shd w:val="clear" w:color="auto" w:fill="FFFFFF"/>
              </w:rPr>
              <w:t>成都沃格项目的启动，推动了公司独家自主开发的玻璃基ECI技术在中大尺寸AMOLED显示屏的首次产业化应用，该技术为公司后续持续深度参与国内外先进面板厂8代AMOLED相关产品的市场化应用打下坚实基础，进一步夯实公司玻璃精加工技术在业内的领先地位，同时有助于提升公司的</w:t>
            </w:r>
            <w:r>
              <w:rPr>
                <w:rFonts w:hint="eastAsia" w:ascii="宋体" w:hAnsi="宋体"/>
                <w:bCs/>
                <w:sz w:val="24"/>
                <w:szCs w:val="24"/>
                <w:shd w:val="clear" w:color="auto" w:fill="FFFFFF"/>
                <w:lang w:val="en-US" w:eastAsia="zh-CN"/>
              </w:rPr>
              <w:t>长期</w:t>
            </w:r>
            <w:r>
              <w:rPr>
                <w:rFonts w:hint="eastAsia" w:ascii="宋体" w:hAnsi="宋体"/>
                <w:bCs/>
                <w:sz w:val="24"/>
                <w:szCs w:val="24"/>
                <w:shd w:val="clear" w:color="auto" w:fill="FFFFFF"/>
              </w:rPr>
              <w:t>盈利水平，为公司创造新的利润增长点。</w:t>
            </w:r>
          </w:p>
          <w:p w14:paraId="092E7282">
            <w:pPr>
              <w:spacing w:line="360" w:lineRule="auto"/>
              <w:rPr>
                <w:rFonts w:ascii="宋体" w:hAnsi="宋体" w:cs="宋体"/>
                <w:sz w:val="24"/>
                <w:szCs w:val="24"/>
              </w:rPr>
            </w:pPr>
          </w:p>
          <w:p w14:paraId="5ADCFB7B">
            <w:pPr>
              <w:pStyle w:val="16"/>
              <w:numPr>
                <w:ilvl w:val="0"/>
                <w:numId w:val="1"/>
              </w:numPr>
              <w:spacing w:before="156" w:beforeLines="50" w:line="360" w:lineRule="auto"/>
              <w:ind w:left="0" w:firstLine="482"/>
              <w:rPr>
                <w:rFonts w:ascii="宋体" w:hAnsi="宋体" w:cs="宋体"/>
                <w:b/>
                <w:bCs/>
                <w:sz w:val="24"/>
                <w:szCs w:val="24"/>
              </w:rPr>
            </w:pPr>
            <w:r>
              <w:rPr>
                <w:rFonts w:hint="eastAsia" w:ascii="宋体" w:hAnsi="宋体" w:cs="宋体"/>
                <w:b/>
                <w:bCs/>
                <w:sz w:val="24"/>
                <w:szCs w:val="24"/>
                <w:lang w:val="en-US" w:eastAsia="zh-CN"/>
              </w:rPr>
              <w:t>公司传统业务的经营情况及发展趋势？过去业绩亏损的主要原因？</w:t>
            </w:r>
          </w:p>
          <w:p w14:paraId="06A9B42E">
            <w:pPr>
              <w:spacing w:line="360" w:lineRule="auto"/>
              <w:ind w:firstLine="482" w:firstLineChars="200"/>
              <w:rPr>
                <w:rFonts w:hint="default" w:ascii="宋体" w:hAnsi="宋体"/>
                <w:sz w:val="24"/>
                <w:szCs w:val="24"/>
                <w:lang w:val="en-US" w:eastAsia="zh-CN"/>
              </w:rPr>
            </w:pPr>
            <w:r>
              <w:rPr>
                <w:rFonts w:hint="eastAsia" w:ascii="宋体" w:hAnsi="宋体"/>
                <w:b/>
                <w:sz w:val="24"/>
                <w:szCs w:val="24"/>
                <w:shd w:val="clear" w:color="auto" w:fill="FFFFFF"/>
              </w:rPr>
              <w:t>回复：</w:t>
            </w:r>
            <w:r>
              <w:rPr>
                <w:rFonts w:hint="eastAsia" w:ascii="宋体" w:hAnsi="宋体"/>
                <w:sz w:val="24"/>
                <w:szCs w:val="24"/>
                <w:lang w:val="en-US" w:eastAsia="zh-CN"/>
              </w:rPr>
              <w:t>公司传统业务主要包括显示面</w:t>
            </w:r>
            <w:r>
              <w:rPr>
                <w:rFonts w:ascii="宋体" w:hAnsi="宋体"/>
                <w:sz w:val="24"/>
                <w:szCs w:val="24"/>
              </w:rPr>
              <w:t>板相关玻璃精加工和显示器件产品业务</w:t>
            </w:r>
            <w:r>
              <w:rPr>
                <w:rFonts w:hint="eastAsia" w:ascii="宋体" w:hAnsi="宋体"/>
                <w:sz w:val="24"/>
                <w:szCs w:val="24"/>
                <w:lang w:eastAsia="zh-CN"/>
              </w:rPr>
              <w:t>，</w:t>
            </w:r>
            <w:r>
              <w:rPr>
                <w:rFonts w:hint="eastAsia" w:ascii="宋体" w:hAnsi="宋体"/>
                <w:sz w:val="24"/>
                <w:szCs w:val="24"/>
                <w:lang w:val="en-US" w:eastAsia="zh-CN"/>
              </w:rPr>
              <w:t>公司目前收入和利润贡献主要都来自于传统业务，公司自2018年上市以来，传统业务保持稳健增长，2019年至2024年营收年复合增速超过30%，传统业务利润保持盈利稳健。2025年受益于国内8代IT产线产能释放对于玻璃精加工业务的需求，公司玻璃精加工业务产能满产，并通过产品结构的改善实现盈利能力的提升。</w:t>
            </w:r>
          </w:p>
          <w:p w14:paraId="673B06CF">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公司业绩亏损的主要原因是持续对玻璃电路板（GCP）新产品、新技术的投入，包括引进核心技术人员的费用增加和新产品研发投入持续增长，以及建设了江西德虹玻璃基MiniLED/MicroLED、湖北通格微TGV先进封装这两条玻璃基产线，新产线折旧成本增加，公司在今年陆续实现产品技术突破以及客户导入，随着新客户拓展和订单陆续落地，预计明年开始经营业绩将逐步改善。</w:t>
            </w:r>
          </w:p>
          <w:p w14:paraId="45458772">
            <w:pPr>
              <w:pStyle w:val="16"/>
              <w:numPr>
                <w:ilvl w:val="0"/>
                <w:numId w:val="1"/>
              </w:numPr>
              <w:spacing w:before="156" w:beforeLines="50" w:line="360" w:lineRule="auto"/>
              <w:ind w:left="0" w:firstLine="482"/>
              <w:rPr>
                <w:rFonts w:ascii="宋体" w:hAnsi="宋体" w:cs="宋体"/>
                <w:b/>
                <w:bCs/>
                <w:sz w:val="24"/>
                <w:szCs w:val="24"/>
              </w:rPr>
            </w:pPr>
            <w:r>
              <w:rPr>
                <w:rFonts w:hint="eastAsia" w:ascii="宋体" w:hAnsi="宋体" w:cs="宋体"/>
                <w:b/>
                <w:bCs/>
                <w:sz w:val="24"/>
                <w:szCs w:val="24"/>
              </w:rPr>
              <w:t>江西</w:t>
            </w:r>
            <w:r>
              <w:rPr>
                <w:rFonts w:hint="eastAsia" w:ascii="宋体" w:hAnsi="宋体" w:cs="宋体"/>
                <w:b/>
                <w:bCs/>
                <w:sz w:val="24"/>
                <w:szCs w:val="24"/>
                <w:lang w:val="en-US" w:eastAsia="zh-CN"/>
              </w:rPr>
              <w:t>德虹主要是做玻璃基MiniLED背光产品，行业趋势如何？</w:t>
            </w:r>
            <w:r>
              <w:rPr>
                <w:rFonts w:hint="eastAsia" w:ascii="宋体" w:hAnsi="宋体" w:cs="宋体"/>
                <w:b/>
                <w:bCs/>
                <w:sz w:val="24"/>
                <w:szCs w:val="24"/>
              </w:rPr>
              <w:t>产能</w:t>
            </w:r>
            <w:r>
              <w:rPr>
                <w:rFonts w:hint="eastAsia" w:ascii="宋体" w:hAnsi="宋体" w:cs="宋体"/>
                <w:b/>
                <w:bCs/>
                <w:sz w:val="24"/>
                <w:szCs w:val="24"/>
                <w:lang w:val="en-US" w:eastAsia="zh-CN"/>
              </w:rPr>
              <w:t>和客户拓展情况</w:t>
            </w:r>
            <w:r>
              <w:rPr>
                <w:rFonts w:hint="eastAsia" w:ascii="宋体" w:hAnsi="宋体" w:cs="宋体"/>
                <w:b/>
                <w:bCs/>
                <w:sz w:val="24"/>
                <w:szCs w:val="24"/>
              </w:rPr>
              <w:t>？</w:t>
            </w:r>
          </w:p>
          <w:p w14:paraId="0DB3FA62">
            <w:pPr>
              <w:spacing w:line="360" w:lineRule="auto"/>
              <w:ind w:firstLine="482" w:firstLineChars="200"/>
              <w:rPr>
                <w:rFonts w:hint="default" w:ascii="宋体" w:hAnsi="宋体" w:eastAsia="宋体"/>
                <w:b/>
                <w:sz w:val="24"/>
                <w:szCs w:val="24"/>
                <w:shd w:val="clear" w:color="auto" w:fill="FFFFFF"/>
                <w:lang w:val="en-US" w:eastAsia="zh-CN"/>
              </w:rPr>
            </w:pPr>
            <w:r>
              <w:rPr>
                <w:rFonts w:hint="eastAsia" w:ascii="宋体" w:hAnsi="宋体"/>
                <w:b/>
                <w:sz w:val="24"/>
                <w:szCs w:val="24"/>
                <w:shd w:val="clear" w:color="auto" w:fill="FFFFFF"/>
              </w:rPr>
              <w:t>回复：</w:t>
            </w:r>
            <w:r>
              <w:rPr>
                <w:rFonts w:hint="eastAsia" w:ascii="宋体" w:hAnsi="宋体"/>
                <w:b w:val="0"/>
                <w:bCs/>
                <w:sz w:val="24"/>
                <w:szCs w:val="24"/>
                <w:shd w:val="clear" w:color="auto" w:fill="FFFFFF"/>
                <w:lang w:val="en-US" w:eastAsia="zh-CN"/>
              </w:rPr>
              <w:t>MiniLED背光显示行业在过去几年快速发展，根据Omdia数据显示，2025年MiniLED电视销量预计突破1300万台，同比翻倍以上增长。MiniLED背光成为各大电视品牌客户中高端机型的主要配置，并呈现MiniLED分区数量提高、显示性能要求提升的趋势。随着MiniLED背光分区数量的提升，玻璃平整度高、热膨胀系数低，在高密度LED芯片发热情况下不易翘曲，同时满足高密度线路下兼具成本优势，玻璃基MiniLED的性能和成本竞争优势逐步开始体现。</w:t>
            </w:r>
          </w:p>
          <w:p w14:paraId="59A02601">
            <w:pPr>
              <w:spacing w:line="360" w:lineRule="auto"/>
              <w:ind w:firstLine="480" w:firstLineChars="200"/>
              <w:rPr>
                <w:rFonts w:hint="default" w:ascii="宋体" w:hAnsi="宋体" w:eastAsia="宋体"/>
                <w:bCs/>
                <w:sz w:val="24"/>
                <w:shd w:val="clear" w:color="auto" w:fill="FFFFFF"/>
                <w:lang w:val="en-US" w:eastAsia="zh-CN"/>
              </w:rPr>
            </w:pPr>
            <w:r>
              <w:rPr>
                <w:rFonts w:hint="eastAsia" w:ascii="宋体" w:hAnsi="宋体"/>
                <w:bCs/>
                <w:sz w:val="24"/>
                <w:szCs w:val="24"/>
                <w:shd w:val="clear" w:color="auto" w:fill="FFFFFF"/>
                <w:lang w:val="en-US" w:eastAsia="zh-CN"/>
              </w:rPr>
              <w:t>江西</w:t>
            </w:r>
            <w:r>
              <w:rPr>
                <w:rFonts w:hint="eastAsia" w:ascii="宋体" w:hAnsi="宋体"/>
                <w:bCs/>
                <w:sz w:val="24"/>
                <w:szCs w:val="24"/>
                <w:shd w:val="clear" w:color="auto" w:fill="FFFFFF"/>
              </w:rPr>
              <w:t>德虹显示已具备一期年产 100 万平米玻璃基 Mini LED 基板产能，</w:t>
            </w:r>
            <w:r>
              <w:rPr>
                <w:rFonts w:hint="eastAsia" w:ascii="宋体" w:hAnsi="宋体"/>
                <w:bCs/>
                <w:sz w:val="24"/>
                <w:szCs w:val="24"/>
                <w:shd w:val="clear" w:color="auto" w:fill="FFFFFF"/>
                <w:lang w:val="en-US" w:eastAsia="zh-CN"/>
              </w:rPr>
              <w:t>经历过去两年投入和工艺改善，</w:t>
            </w:r>
            <w:r>
              <w:rPr>
                <w:rFonts w:hint="eastAsia" w:ascii="宋体" w:hAnsi="宋体"/>
                <w:bCs/>
                <w:sz w:val="24"/>
                <w:szCs w:val="24"/>
                <w:shd w:val="clear" w:color="auto" w:fill="FFFFFF"/>
              </w:rPr>
              <w:t>公司生产的玻璃基 Mini LED 背光产品</w:t>
            </w:r>
            <w:r>
              <w:rPr>
                <w:rFonts w:hint="eastAsia" w:ascii="宋体" w:hAnsi="宋体"/>
                <w:bCs/>
                <w:sz w:val="24"/>
                <w:szCs w:val="24"/>
                <w:shd w:val="clear" w:color="auto" w:fill="FFFFFF"/>
                <w:lang w:val="en-US" w:eastAsia="zh-CN"/>
              </w:rPr>
              <w:t>已满足量产工艺需求，并达到较高的良率水平。今年开始</w:t>
            </w:r>
            <w:r>
              <w:rPr>
                <w:rFonts w:hint="eastAsia" w:ascii="宋体" w:hAnsi="宋体"/>
                <w:bCs/>
                <w:sz w:val="24"/>
                <w:szCs w:val="24"/>
                <w:shd w:val="clear" w:color="auto" w:fill="FFFFFF"/>
              </w:rPr>
              <w:t>在海信发布的大圣 G9 电竞显示器应用，并已进入正式批量量产阶段，同时，公司正在和</w:t>
            </w:r>
            <w:r>
              <w:rPr>
                <w:rFonts w:hint="eastAsia" w:ascii="宋体" w:hAnsi="宋体"/>
                <w:bCs/>
                <w:sz w:val="24"/>
                <w:szCs w:val="24"/>
                <w:shd w:val="clear" w:color="auto" w:fill="FFFFFF"/>
                <w:lang w:val="en-US" w:eastAsia="zh-CN"/>
              </w:rPr>
              <w:t>十余</w:t>
            </w:r>
            <w:r>
              <w:rPr>
                <w:rFonts w:hint="eastAsia" w:ascii="宋体" w:hAnsi="宋体"/>
                <w:bCs/>
                <w:sz w:val="24"/>
                <w:szCs w:val="24"/>
                <w:shd w:val="clear" w:color="auto" w:fill="FFFFFF"/>
              </w:rPr>
              <w:t>家国内外知名品牌客户合作开发玻璃基 Mini LED 新产品，</w:t>
            </w:r>
            <w:r>
              <w:rPr>
                <w:rFonts w:hint="eastAsia" w:ascii="宋体" w:hAnsi="宋体"/>
                <w:bCs/>
                <w:sz w:val="24"/>
                <w:szCs w:val="24"/>
                <w:shd w:val="clear" w:color="auto" w:fill="FFFFFF"/>
                <w:lang w:val="en-US" w:eastAsia="zh-CN"/>
              </w:rPr>
              <w:t>包括</w:t>
            </w:r>
            <w:r>
              <w:rPr>
                <w:rFonts w:hint="eastAsia" w:ascii="宋体" w:hAnsi="宋体"/>
                <w:bCs/>
                <w:sz w:val="24"/>
                <w:szCs w:val="24"/>
                <w:shd w:val="clear" w:color="auto" w:fill="FFFFFF"/>
              </w:rPr>
              <w:t>在TV、显示器、娱乐机、车载等</w:t>
            </w:r>
            <w:r>
              <w:rPr>
                <w:rFonts w:hint="eastAsia" w:ascii="宋体" w:hAnsi="宋体"/>
                <w:bCs/>
                <w:sz w:val="24"/>
                <w:szCs w:val="24"/>
                <w:shd w:val="clear" w:color="auto" w:fill="FFFFFF"/>
                <w:lang w:val="en-US" w:eastAsia="zh-CN"/>
              </w:rPr>
              <w:t>产品</w:t>
            </w:r>
            <w:r>
              <w:rPr>
                <w:rFonts w:hint="eastAsia" w:ascii="宋体" w:hAnsi="宋体"/>
                <w:bCs/>
                <w:sz w:val="24"/>
                <w:szCs w:val="24"/>
                <w:shd w:val="clear" w:color="auto" w:fill="FFFFFF"/>
              </w:rPr>
              <w:t>。</w:t>
            </w:r>
            <w:r>
              <w:rPr>
                <w:rFonts w:hint="eastAsia" w:ascii="宋体" w:hAnsi="宋体"/>
                <w:bCs/>
                <w:sz w:val="24"/>
                <w:szCs w:val="24"/>
                <w:shd w:val="clear" w:color="auto" w:fill="FFFFFF"/>
                <w:lang w:val="en-US" w:eastAsia="zh-CN"/>
              </w:rPr>
              <w:t>预计明年订单陆续落地将带动江西德虹经营改善。</w:t>
            </w:r>
          </w:p>
          <w:p w14:paraId="63E4E563">
            <w:pPr>
              <w:pStyle w:val="16"/>
              <w:numPr>
                <w:ilvl w:val="0"/>
                <w:numId w:val="1"/>
              </w:numPr>
              <w:spacing w:before="156" w:beforeLines="50" w:line="360" w:lineRule="auto"/>
              <w:ind w:left="0" w:firstLine="482"/>
              <w:rPr>
                <w:rFonts w:ascii="宋体" w:hAnsi="宋体" w:cs="宋体"/>
                <w:b/>
                <w:bCs/>
                <w:sz w:val="24"/>
                <w:szCs w:val="24"/>
              </w:rPr>
            </w:pPr>
            <w:r>
              <w:rPr>
                <w:rFonts w:hint="eastAsia" w:ascii="宋体" w:hAnsi="宋体" w:cs="宋体"/>
                <w:b/>
                <w:bCs/>
                <w:sz w:val="24"/>
                <w:szCs w:val="24"/>
              </w:rPr>
              <w:t>请问公司在玻璃基封装领域进展如何，</w:t>
            </w:r>
            <w:r>
              <w:rPr>
                <w:rFonts w:hint="eastAsia" w:ascii="宋体" w:hAnsi="宋体" w:cs="宋体"/>
                <w:b/>
                <w:bCs/>
                <w:sz w:val="24"/>
                <w:szCs w:val="24"/>
                <w:lang w:val="en-US" w:eastAsia="zh-CN"/>
              </w:rPr>
              <w:t>公司在行业内的市场地位和竞争优势</w:t>
            </w:r>
            <w:r>
              <w:rPr>
                <w:rFonts w:hint="eastAsia" w:ascii="宋体" w:hAnsi="宋体" w:cs="宋体"/>
                <w:b/>
                <w:bCs/>
                <w:sz w:val="24"/>
                <w:szCs w:val="24"/>
              </w:rPr>
              <w:t>？</w:t>
            </w:r>
          </w:p>
          <w:p w14:paraId="3FE055E9">
            <w:pPr>
              <w:spacing w:line="360" w:lineRule="auto"/>
              <w:ind w:firstLine="482" w:firstLineChars="200"/>
              <w:rPr>
                <w:rFonts w:hint="eastAsia" w:ascii="宋体" w:hAnsi="宋体"/>
                <w:bCs/>
                <w:sz w:val="24"/>
                <w:szCs w:val="24"/>
                <w:shd w:val="clear" w:color="auto" w:fill="FFFFFF"/>
              </w:rPr>
            </w:pPr>
            <w:r>
              <w:rPr>
                <w:rFonts w:hint="eastAsia" w:ascii="宋体" w:hAnsi="宋体"/>
                <w:b/>
                <w:sz w:val="24"/>
                <w:szCs w:val="24"/>
                <w:shd w:val="clear" w:color="auto" w:fill="FFFFFF"/>
              </w:rPr>
              <w:t>回复：</w:t>
            </w:r>
            <w:r>
              <w:rPr>
                <w:rFonts w:hint="eastAsia" w:ascii="宋体" w:hAnsi="宋体"/>
                <w:bCs/>
                <w:sz w:val="24"/>
                <w:szCs w:val="24"/>
                <w:shd w:val="clear" w:color="auto" w:fill="FFFFFF"/>
              </w:rPr>
              <w:t>公司在玻璃基</w:t>
            </w:r>
            <w:r>
              <w:rPr>
                <w:rFonts w:hint="eastAsia" w:ascii="宋体" w:hAnsi="宋体"/>
                <w:bCs/>
                <w:sz w:val="24"/>
                <w:szCs w:val="24"/>
                <w:shd w:val="clear" w:color="auto" w:fill="FFFFFF"/>
                <w:lang w:val="en-US" w:eastAsia="zh-CN"/>
              </w:rPr>
              <w:t>封装</w:t>
            </w:r>
            <w:r>
              <w:rPr>
                <w:rFonts w:hint="eastAsia" w:ascii="宋体" w:hAnsi="宋体"/>
                <w:bCs/>
                <w:sz w:val="24"/>
                <w:szCs w:val="24"/>
                <w:shd w:val="clear" w:color="auto" w:fill="FFFFFF"/>
              </w:rPr>
              <w:t>领域具备显著的先发优势和技术壁垒，是全球少数掌握"薄化、镀膜、黄光、TGV、精密镀铜、多层线路制作"等全制程核心工艺并实现产业化的企业之一。核心技术指标方面，公司TGV工艺可实现最大深宽比100:1、最小孔径5μm、加工厚度0.05-1.1mm，达到行业领先水平。公司已建成首条年产10万平米TVG产线，产品在Micro LED、5G-A/6G射频、光模块/CPO、大算力芯片先进封装</w:t>
            </w:r>
            <w:r>
              <w:rPr>
                <w:rFonts w:hint="eastAsia" w:ascii="宋体" w:hAnsi="宋体"/>
                <w:bCs/>
                <w:sz w:val="24"/>
                <w:szCs w:val="24"/>
                <w:shd w:val="clear" w:color="auto" w:fill="FFFFFF"/>
                <w:lang w:eastAsia="zh-CN"/>
              </w:rPr>
              <w:t>、</w:t>
            </w:r>
            <w:r>
              <w:rPr>
                <w:rFonts w:hint="eastAsia" w:ascii="宋体" w:hAnsi="宋体"/>
                <w:bCs/>
                <w:sz w:val="24"/>
                <w:szCs w:val="24"/>
                <w:shd w:val="clear" w:color="auto" w:fill="FFFFFF"/>
                <w:lang w:val="en-US" w:eastAsia="zh-CN"/>
              </w:rPr>
              <w:t>微流控生物芯片</w:t>
            </w:r>
            <w:r>
              <w:rPr>
                <w:rFonts w:hint="eastAsia" w:ascii="宋体" w:hAnsi="宋体"/>
                <w:bCs/>
                <w:sz w:val="24"/>
                <w:szCs w:val="24"/>
                <w:shd w:val="clear" w:color="auto" w:fill="FFFFFF"/>
              </w:rPr>
              <w:t>等多领域同步推进，与国内外多家头部企业开展合作，公司在技术完整性、产业化经验及客户协同方面具备全球竞争力。</w:t>
            </w:r>
          </w:p>
          <w:p w14:paraId="1E9538CF">
            <w:pPr>
              <w:spacing w:line="360" w:lineRule="auto"/>
              <w:ind w:firstLine="480" w:firstLineChars="200"/>
              <w:rPr>
                <w:rFonts w:hint="default" w:ascii="宋体" w:hAnsi="宋体" w:eastAsia="宋体"/>
                <w:bCs/>
                <w:sz w:val="24"/>
                <w:szCs w:val="24"/>
                <w:shd w:val="clear" w:color="auto" w:fill="FFFFFF"/>
                <w:lang w:val="en-US" w:eastAsia="zh-CN"/>
              </w:rPr>
            </w:pPr>
            <w:r>
              <w:rPr>
                <w:rFonts w:hint="eastAsia" w:ascii="宋体" w:hAnsi="宋体"/>
                <w:bCs/>
                <w:sz w:val="24"/>
                <w:szCs w:val="24"/>
                <w:shd w:val="clear" w:color="auto" w:fill="FFFFFF"/>
                <w:lang w:val="en-US" w:eastAsia="zh-CN"/>
              </w:rPr>
              <w:t>公司近期牵头发起中国玻璃线路板产业联盟，旨在推动GCP技术的持续创新和产业链协同，实现更高性能、更低成本、更优良率的规模化应用。在MicroLED领域，公司联合多家海外和国内客户开展产品研发，</w:t>
            </w:r>
            <w:r>
              <w:rPr>
                <w:rFonts w:ascii="宋体" w:hAnsi="宋体" w:cs="宋体"/>
                <w:sz w:val="24"/>
                <w:szCs w:val="24"/>
              </w:rPr>
              <w:t>光模块CPO玻璃基产品在今年下半年完成批量送样</w:t>
            </w:r>
            <w:r>
              <w:rPr>
                <w:rFonts w:hint="eastAsia" w:ascii="宋体" w:hAnsi="宋体" w:cs="宋体"/>
                <w:sz w:val="24"/>
                <w:szCs w:val="24"/>
                <w:lang w:eastAsia="zh-CN"/>
              </w:rPr>
              <w:t>，</w:t>
            </w:r>
            <w:r>
              <w:rPr>
                <w:rFonts w:hint="eastAsia" w:ascii="宋体" w:hAnsi="宋体" w:cs="宋体"/>
                <w:sz w:val="24"/>
                <w:szCs w:val="24"/>
                <w:lang w:val="en-US" w:eastAsia="zh-CN"/>
              </w:rPr>
              <w:t>算力芯片先进封装领域和客户开展战略合作，</w:t>
            </w:r>
            <w:r>
              <w:rPr>
                <w:rFonts w:ascii="宋体" w:hAnsi="宋体" w:cs="宋体"/>
                <w:sz w:val="24"/>
                <w:szCs w:val="24"/>
              </w:rPr>
              <w:t>持续推进玻璃叠构技术迭代升级</w:t>
            </w:r>
            <w:r>
              <w:rPr>
                <w:rFonts w:hint="eastAsia" w:ascii="宋体" w:hAnsi="宋体" w:cs="宋体"/>
                <w:sz w:val="24"/>
                <w:szCs w:val="24"/>
                <w:lang w:eastAsia="zh-CN"/>
              </w:rPr>
              <w:t>，</w:t>
            </w:r>
            <w:r>
              <w:rPr>
                <w:rFonts w:hint="eastAsia" w:ascii="宋体" w:hAnsi="宋体" w:cs="宋体"/>
                <w:sz w:val="24"/>
                <w:szCs w:val="24"/>
                <w:lang w:val="en-US" w:eastAsia="zh-CN"/>
              </w:rPr>
              <w:t>微流控生物芯片产品即将进入量产出货阶段。</w:t>
            </w:r>
          </w:p>
          <w:p w14:paraId="5D10C681">
            <w:pPr>
              <w:pStyle w:val="16"/>
              <w:numPr>
                <w:ilvl w:val="0"/>
                <w:numId w:val="1"/>
              </w:numPr>
              <w:spacing w:before="156" w:beforeLines="50" w:line="360" w:lineRule="auto"/>
              <w:ind w:left="0" w:firstLine="482"/>
              <w:rPr>
                <w:rFonts w:ascii="宋体" w:hAnsi="宋体" w:cs="宋体"/>
                <w:b/>
                <w:bCs/>
                <w:sz w:val="24"/>
                <w:szCs w:val="24"/>
              </w:rPr>
            </w:pPr>
            <w:r>
              <w:rPr>
                <w:rFonts w:hint="eastAsia" w:ascii="宋体" w:hAnsi="宋体" w:cs="宋体"/>
                <w:b/>
                <w:bCs/>
                <w:sz w:val="24"/>
                <w:szCs w:val="24"/>
                <w:lang w:val="en-US" w:eastAsia="zh-CN"/>
              </w:rPr>
              <w:t>在显示、通信、半导体等多个领域均出现了玻璃基的应用趋势，包括海外的芯片巨头也都在投入玻璃基先进封装，玻璃基有什么优势</w:t>
            </w:r>
            <w:r>
              <w:rPr>
                <w:rFonts w:hint="eastAsia" w:ascii="宋体" w:hAnsi="宋体" w:cs="宋体"/>
                <w:b/>
                <w:bCs/>
                <w:sz w:val="24"/>
                <w:szCs w:val="24"/>
              </w:rPr>
              <w:t>？</w:t>
            </w:r>
          </w:p>
          <w:p w14:paraId="5591B2F8">
            <w:pPr>
              <w:spacing w:line="360" w:lineRule="auto"/>
              <w:ind w:firstLine="482" w:firstLineChars="200"/>
              <w:rPr>
                <w:rFonts w:hint="eastAsia" w:ascii="宋体" w:hAnsi="宋体"/>
                <w:bCs/>
                <w:sz w:val="24"/>
                <w:szCs w:val="24"/>
                <w:shd w:val="clear" w:color="auto" w:fill="FFFFFF"/>
                <w:lang w:val="en-US" w:eastAsia="zh-CN"/>
              </w:rPr>
            </w:pPr>
            <w:r>
              <w:rPr>
                <w:rFonts w:hint="eastAsia" w:ascii="宋体" w:hAnsi="宋体"/>
                <w:b/>
                <w:sz w:val="24"/>
                <w:szCs w:val="24"/>
                <w:shd w:val="clear" w:color="auto" w:fill="FFFFFF"/>
              </w:rPr>
              <w:t>回复：</w:t>
            </w:r>
            <w:r>
              <w:rPr>
                <w:rFonts w:hint="eastAsia" w:ascii="宋体" w:hAnsi="宋体"/>
                <w:bCs/>
                <w:sz w:val="24"/>
                <w:szCs w:val="24"/>
                <w:shd w:val="clear" w:color="auto" w:fill="FFFFFF"/>
                <w:lang w:val="en-US" w:eastAsia="zh-CN"/>
              </w:rPr>
              <w:t>玻璃基板之所以成为显示、通信、半导体等多个领域的技术热点，是因为其相比传统有机基板和硅基板，在以下方面具备显著优势，能够很好地满足未来科技产业对高性能、高可靠性及成本效益的综合需求：</w:t>
            </w:r>
          </w:p>
          <w:p w14:paraId="197017B1">
            <w:pPr>
              <w:spacing w:line="360" w:lineRule="auto"/>
              <w:ind w:firstLine="480" w:firstLineChars="200"/>
              <w:rPr>
                <w:rFonts w:hint="eastAsia" w:ascii="宋体" w:hAnsi="宋体"/>
                <w:bCs/>
                <w:sz w:val="24"/>
                <w:szCs w:val="24"/>
                <w:shd w:val="clear" w:color="auto" w:fill="FFFFFF"/>
                <w:lang w:val="en-US" w:eastAsia="zh-CN"/>
              </w:rPr>
            </w:pPr>
            <w:r>
              <w:rPr>
                <w:rFonts w:hint="eastAsia" w:ascii="宋体" w:hAnsi="宋体"/>
                <w:bCs/>
                <w:sz w:val="24"/>
                <w:szCs w:val="24"/>
                <w:shd w:val="clear" w:color="auto" w:fill="FFFFFF"/>
                <w:lang w:val="en-US" w:eastAsia="zh-CN"/>
              </w:rPr>
              <w:t>①热稳定性高：玻璃基板的热膨胀系数与硅芯片更为接近，能有效减少高温环境下的翘曲风险，大幅提升封装可靠性。</w:t>
            </w:r>
          </w:p>
          <w:p w14:paraId="08A99CCC">
            <w:pPr>
              <w:spacing w:line="360" w:lineRule="auto"/>
              <w:ind w:firstLine="480" w:firstLineChars="200"/>
              <w:rPr>
                <w:rFonts w:hint="eastAsia" w:ascii="宋体" w:hAnsi="宋体"/>
                <w:bCs/>
                <w:sz w:val="24"/>
                <w:szCs w:val="24"/>
                <w:highlight w:val="yellow"/>
                <w:shd w:val="clear" w:color="auto" w:fill="FFFFFF"/>
                <w:lang w:val="en-US" w:eastAsia="zh-CN"/>
              </w:rPr>
            </w:pPr>
            <w:r>
              <w:rPr>
                <w:rFonts w:hint="eastAsia" w:ascii="宋体" w:hAnsi="宋体"/>
                <w:bCs/>
                <w:sz w:val="24"/>
                <w:szCs w:val="24"/>
                <w:shd w:val="clear" w:color="auto" w:fill="FFFFFF"/>
                <w:lang w:val="en-US" w:eastAsia="zh-CN"/>
              </w:rPr>
              <w:t>②低介电损耗：玻璃材料本身是良好的绝缘体，其介电常数和损耗因子远低于硅材料。在高频高速应用场景下（如5G、AI芯片），玻璃基板能有效降低信号传输的功率损耗和延迟，确保信号完整性，提升能效比。</w:t>
            </w:r>
          </w:p>
          <w:p w14:paraId="57C613C3">
            <w:pPr>
              <w:spacing w:line="360" w:lineRule="auto"/>
              <w:ind w:firstLine="480" w:firstLineChars="200"/>
              <w:rPr>
                <w:rFonts w:hint="eastAsia" w:ascii="宋体" w:hAnsi="宋体"/>
                <w:bCs/>
                <w:sz w:val="24"/>
                <w:szCs w:val="24"/>
                <w:shd w:val="clear" w:color="auto" w:fill="FFFFFF"/>
                <w:lang w:val="en-US" w:eastAsia="zh-CN"/>
              </w:rPr>
            </w:pPr>
            <w:r>
              <w:rPr>
                <w:rFonts w:hint="eastAsia" w:ascii="宋体" w:hAnsi="宋体"/>
                <w:bCs/>
                <w:sz w:val="24"/>
                <w:szCs w:val="24"/>
                <w:shd w:val="clear" w:color="auto" w:fill="FFFFFF"/>
                <w:lang w:val="en-US" w:eastAsia="zh-CN"/>
              </w:rPr>
              <w:t>③表面平整度：玻璃基板表面极为平整，这为高精度光刻和超高密度布线提供了理想基础。</w:t>
            </w:r>
          </w:p>
          <w:p w14:paraId="7A0F902D">
            <w:pPr>
              <w:spacing w:line="360" w:lineRule="auto"/>
              <w:ind w:firstLine="480" w:firstLineChars="200"/>
              <w:rPr>
                <w:rFonts w:hint="eastAsia" w:ascii="宋体" w:hAnsi="宋体"/>
                <w:bCs/>
                <w:sz w:val="21"/>
                <w:szCs w:val="21"/>
                <w:shd w:val="clear" w:color="auto" w:fill="FFFFFF"/>
                <w:lang w:val="en-US" w:eastAsia="zh-CN"/>
              </w:rPr>
            </w:pPr>
            <w:r>
              <w:rPr>
                <w:rFonts w:hint="eastAsia" w:ascii="宋体" w:hAnsi="宋体"/>
                <w:bCs/>
                <w:sz w:val="24"/>
                <w:szCs w:val="24"/>
                <w:shd w:val="clear" w:color="auto" w:fill="FFFFFF"/>
                <w:lang w:val="en-US" w:eastAsia="zh-CN"/>
              </w:rPr>
              <w:t>④高互联密度：玻璃基板可实现高密度通孔互连（通过TGV技术），可容纳的功率和数据连接数量远超传统基板，是延续摩尔定律的有效路径之一。</w:t>
            </w:r>
          </w:p>
          <w:p w14:paraId="4FE09EBA">
            <w:pPr>
              <w:spacing w:line="360" w:lineRule="auto"/>
              <w:ind w:firstLine="480" w:firstLineChars="200"/>
              <w:rPr>
                <w:rFonts w:hint="eastAsia" w:ascii="宋体" w:hAnsi="宋体"/>
                <w:bCs/>
                <w:sz w:val="24"/>
                <w:szCs w:val="24"/>
                <w:shd w:val="clear" w:color="auto" w:fill="FFFFFF"/>
                <w:lang w:val="en-US" w:eastAsia="zh-CN"/>
              </w:rPr>
            </w:pPr>
            <w:r>
              <w:rPr>
                <w:rFonts w:hint="eastAsia" w:ascii="宋体" w:hAnsi="宋体"/>
                <w:bCs/>
                <w:sz w:val="24"/>
                <w:szCs w:val="24"/>
                <w:shd w:val="clear" w:color="auto" w:fill="FFFFFF"/>
                <w:lang w:val="en-US" w:eastAsia="zh-CN"/>
              </w:rPr>
              <w:t>⑤成本优势：得益于大尺寸超薄面板玻璃的易获取性，以及部分工艺流程的简化（例如不需要沉积绝缘层），玻璃基板在大规模生产时具备可观的成本降低潜力。</w:t>
            </w:r>
          </w:p>
          <w:p w14:paraId="5AC3BAD3">
            <w:pPr>
              <w:spacing w:line="360" w:lineRule="auto"/>
              <w:ind w:firstLine="480" w:firstLineChars="200"/>
              <w:rPr>
                <w:rFonts w:hint="default" w:ascii="宋体" w:hAnsi="宋体"/>
                <w:bCs/>
                <w:sz w:val="24"/>
                <w:szCs w:val="24"/>
                <w:shd w:val="clear" w:color="auto" w:fill="FFFFFF"/>
                <w:lang w:val="en-US" w:eastAsia="zh-CN"/>
              </w:rPr>
            </w:pPr>
            <w:r>
              <w:rPr>
                <w:rFonts w:hint="eastAsia" w:ascii="宋体" w:hAnsi="宋体"/>
                <w:bCs/>
                <w:sz w:val="24"/>
                <w:szCs w:val="24"/>
                <w:shd w:val="clear" w:color="auto" w:fill="FFFFFF"/>
                <w:lang w:val="en-US" w:eastAsia="zh-CN"/>
              </w:rPr>
              <w:t>综上，玻璃基板凭借其综合性能优势，正成为推动先进封装和下一代通信、显示技术发展的关键材料之一，为未来科技产业的发展提供了坚实的基础。</w:t>
            </w:r>
          </w:p>
          <w:p w14:paraId="322F411F">
            <w:pPr>
              <w:pStyle w:val="16"/>
              <w:numPr>
                <w:ilvl w:val="0"/>
                <w:numId w:val="1"/>
              </w:numPr>
              <w:spacing w:before="156" w:beforeLines="50" w:line="360" w:lineRule="auto"/>
              <w:ind w:left="0" w:firstLine="482"/>
              <w:rPr>
                <w:rFonts w:ascii="宋体" w:hAnsi="宋体" w:cs="宋体"/>
                <w:b/>
                <w:bCs/>
                <w:sz w:val="24"/>
                <w:szCs w:val="24"/>
              </w:rPr>
            </w:pPr>
            <w:r>
              <w:rPr>
                <w:rFonts w:hint="eastAsia" w:ascii="宋体" w:hAnsi="宋体" w:cs="宋体"/>
                <w:b/>
                <w:bCs/>
                <w:sz w:val="24"/>
                <w:szCs w:val="24"/>
              </w:rPr>
              <w:t>公司在</w:t>
            </w:r>
            <w:r>
              <w:rPr>
                <w:rFonts w:hint="eastAsia" w:ascii="宋体" w:hAnsi="宋体" w:cs="宋体"/>
                <w:b/>
                <w:bCs/>
                <w:sz w:val="24"/>
                <w:szCs w:val="24"/>
                <w:lang w:val="en-US" w:eastAsia="zh-CN"/>
              </w:rPr>
              <w:t>卫星太阳翼领域的产品主要是什么，与公司原有业务有什么关联</w:t>
            </w:r>
            <w:r>
              <w:rPr>
                <w:rFonts w:hint="eastAsia" w:ascii="宋体" w:hAnsi="宋体" w:cs="宋体"/>
                <w:b/>
                <w:bCs/>
                <w:sz w:val="24"/>
                <w:szCs w:val="24"/>
              </w:rPr>
              <w:t>？</w:t>
            </w:r>
            <w:r>
              <w:rPr>
                <w:rFonts w:hint="eastAsia" w:ascii="宋体" w:hAnsi="宋体" w:cs="宋体"/>
                <w:b/>
                <w:bCs/>
                <w:sz w:val="24"/>
                <w:szCs w:val="24"/>
                <w:lang w:val="en-US" w:eastAsia="zh-CN"/>
              </w:rPr>
              <w:t>目前产品应用和客户拓展情况？</w:t>
            </w:r>
          </w:p>
          <w:p w14:paraId="16DA89F5">
            <w:pPr>
              <w:spacing w:line="360" w:lineRule="auto"/>
              <w:ind w:firstLine="482" w:firstLineChars="200"/>
              <w:rPr>
                <w:rFonts w:hint="eastAsia" w:ascii="宋体" w:hAnsi="宋体"/>
                <w:bCs/>
                <w:sz w:val="24"/>
                <w:szCs w:val="24"/>
                <w:shd w:val="clear" w:color="auto" w:fill="FFFFFF"/>
                <w:lang w:val="en-US" w:eastAsia="zh-CN"/>
              </w:rPr>
            </w:pPr>
            <w:r>
              <w:rPr>
                <w:rFonts w:hint="eastAsia" w:ascii="宋体" w:hAnsi="宋体"/>
                <w:b/>
                <w:sz w:val="24"/>
                <w:szCs w:val="24"/>
                <w:shd w:val="clear" w:color="auto" w:fill="FFFFFF"/>
              </w:rPr>
              <w:t>回复：</w:t>
            </w:r>
            <w:r>
              <w:rPr>
                <w:rFonts w:hint="eastAsia" w:ascii="宋体" w:hAnsi="宋体"/>
                <w:bCs/>
                <w:sz w:val="24"/>
                <w:szCs w:val="24"/>
                <w:shd w:val="clear" w:color="auto" w:fill="FFFFFF"/>
                <w:lang w:val="en-US" w:eastAsia="zh-CN"/>
              </w:rPr>
              <w:t>公司成立之初主要围绕面板加工相关业务，在上市后进行产品化转型，开展了多项新产品、新技术的开发，坚定了在玻璃基线路板的产业化方向。在转型过程中，公司自主研发了多项新技术，包括在CPI领域专门成立了研发团队，已经开展了多年的技术研发和储备，今年在卫星柔性太阳翼基材领域实现产品应用，配合头部商业航天客户提供CPI膜材及防护镀膜产品，并已实现在轨应用。同时公司积极对接其他客户需求，配合产品送样验证。</w:t>
            </w:r>
          </w:p>
          <w:p w14:paraId="4C2B39AA">
            <w:pPr>
              <w:spacing w:line="360" w:lineRule="auto"/>
              <w:ind w:firstLine="480" w:firstLineChars="200"/>
              <w:rPr>
                <w:rFonts w:hint="default" w:ascii="宋体" w:hAnsi="宋体"/>
                <w:bCs/>
                <w:sz w:val="24"/>
                <w:szCs w:val="24"/>
                <w:shd w:val="clear" w:color="auto" w:fill="FFFFFF"/>
                <w:lang w:val="en-US" w:eastAsia="zh-CN"/>
              </w:rPr>
            </w:pPr>
            <w:r>
              <w:rPr>
                <w:rFonts w:hint="eastAsia" w:ascii="宋体" w:hAnsi="宋体"/>
                <w:bCs/>
                <w:sz w:val="24"/>
                <w:szCs w:val="24"/>
                <w:shd w:val="clear" w:color="auto" w:fill="FFFFFF"/>
                <w:lang w:val="en-US" w:eastAsia="zh-CN"/>
              </w:rPr>
              <w:t>公司在 CPI 膜材领域拥有深厚的技术储备，相关技术为自主研发，具备自主知识产权，同时，镀膜技术一直为公司的核心优势，公司已形成 CPI 浆料 - 制膜 - 镀膜的全产业链生产能力，技术水平处于行业领先地位。公司看好商业航天柔性太阳翼发展趋势以及太空算力建设对于太阳翼能源供应</w:t>
            </w:r>
            <w:bookmarkStart w:id="0" w:name="_GoBack"/>
            <w:bookmarkEnd w:id="0"/>
            <w:r>
              <w:rPr>
                <w:rFonts w:hint="eastAsia" w:ascii="宋体" w:hAnsi="宋体"/>
                <w:bCs/>
                <w:sz w:val="24"/>
                <w:szCs w:val="24"/>
                <w:shd w:val="clear" w:color="auto" w:fill="FFFFFF"/>
                <w:lang w:val="en-US" w:eastAsia="zh-CN"/>
              </w:rPr>
              <w:t>的需求，随着卫星发射数量的提升以及单颗卫星太阳翼面积的增长，对于太阳翼柔性基材及防护镀膜的需求将高速增长，公司将继续加大柔性太阳翼产品的业务拓展。</w:t>
            </w:r>
          </w:p>
          <w:p w14:paraId="212A879E">
            <w:pPr>
              <w:pStyle w:val="16"/>
              <w:numPr>
                <w:ilvl w:val="0"/>
                <w:numId w:val="1"/>
              </w:numPr>
              <w:spacing w:before="156" w:beforeLines="50" w:line="360" w:lineRule="auto"/>
              <w:ind w:left="0" w:firstLine="482"/>
              <w:rPr>
                <w:rFonts w:ascii="宋体" w:hAnsi="宋体" w:cs="宋体"/>
                <w:b/>
                <w:bCs/>
                <w:sz w:val="24"/>
                <w:szCs w:val="24"/>
              </w:rPr>
            </w:pPr>
            <w:r>
              <w:rPr>
                <w:rFonts w:hint="eastAsia" w:ascii="宋体" w:hAnsi="宋体" w:cs="宋体"/>
                <w:b/>
                <w:bCs/>
                <w:sz w:val="24"/>
                <w:szCs w:val="24"/>
                <w:lang w:val="en-US" w:eastAsia="zh-CN"/>
              </w:rPr>
              <w:t>公司的产业布局比较广，涉及多个行业，是基于什么考虑？</w:t>
            </w:r>
          </w:p>
          <w:p w14:paraId="1274DAF3">
            <w:pPr>
              <w:spacing w:line="360" w:lineRule="auto"/>
              <w:ind w:firstLine="482" w:firstLineChars="200"/>
              <w:rPr>
                <w:rFonts w:hint="default" w:ascii="宋体" w:hAnsi="宋体"/>
                <w:bCs/>
                <w:sz w:val="24"/>
                <w:szCs w:val="24"/>
                <w:shd w:val="clear" w:color="auto" w:fill="FFFFFF"/>
                <w:lang w:val="en-US" w:eastAsia="zh-CN"/>
              </w:rPr>
            </w:pPr>
            <w:r>
              <w:rPr>
                <w:rFonts w:hint="eastAsia" w:ascii="宋体" w:hAnsi="宋体"/>
                <w:b/>
                <w:sz w:val="24"/>
                <w:szCs w:val="24"/>
                <w:shd w:val="clear" w:color="auto" w:fill="FFFFFF"/>
              </w:rPr>
              <w:t>回复：</w:t>
            </w:r>
            <w:r>
              <w:rPr>
                <w:rFonts w:hint="eastAsia" w:ascii="宋体" w:hAnsi="宋体"/>
                <w:bCs/>
                <w:sz w:val="24"/>
                <w:szCs w:val="24"/>
                <w:shd w:val="clear" w:color="auto" w:fill="FFFFFF"/>
              </w:rPr>
              <w:t>沃格光电以传统显示领域玻璃精加工业务起家，目前市占率行业第一</w:t>
            </w:r>
            <w:r>
              <w:rPr>
                <w:rFonts w:hint="eastAsia" w:ascii="宋体" w:hAnsi="宋体"/>
                <w:bCs/>
                <w:sz w:val="24"/>
                <w:szCs w:val="24"/>
                <w:shd w:val="clear" w:color="auto" w:fill="FFFFFF"/>
                <w:lang w:eastAsia="zh-CN"/>
              </w:rPr>
              <w:t>，</w:t>
            </w:r>
            <w:r>
              <w:rPr>
                <w:rFonts w:hint="eastAsia" w:ascii="宋体" w:hAnsi="宋体"/>
                <w:bCs/>
                <w:sz w:val="24"/>
                <w:szCs w:val="24"/>
                <w:shd w:val="clear" w:color="auto" w:fill="FFFFFF"/>
                <w:lang w:val="en-US" w:eastAsia="zh-CN"/>
              </w:rPr>
              <w:t>多年的工艺开发技术积累主要沉淀了两方面的核心能力，一是玻璃精加工，二是镀膜/镀铜。目前公司业务布局也主要基于这两方面的能力，重点发展玻璃线路板（GCP）业务，柔性太阳翼基材及防护镀膜等。</w:t>
            </w:r>
          </w:p>
          <w:p w14:paraId="72492386">
            <w:pPr>
              <w:spacing w:line="360" w:lineRule="auto"/>
              <w:ind w:firstLine="480" w:firstLineChars="200"/>
              <w:rPr>
                <w:rFonts w:hint="eastAsia" w:ascii="宋体" w:hAnsi="宋体"/>
                <w:bCs/>
                <w:sz w:val="24"/>
                <w:szCs w:val="24"/>
                <w:shd w:val="clear" w:color="auto" w:fill="FFFFFF"/>
              </w:rPr>
            </w:pPr>
          </w:p>
        </w:tc>
      </w:tr>
      <w:tr w14:paraId="4154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718" w:type="dxa"/>
            <w:vAlign w:val="center"/>
          </w:tcPr>
          <w:p w14:paraId="69A178D2">
            <w:pPr>
              <w:spacing w:line="460" w:lineRule="exact"/>
              <w:rPr>
                <w:rFonts w:ascii="宋体" w:hAnsi="宋体"/>
                <w:b/>
                <w:bCs/>
                <w:iCs/>
                <w:sz w:val="24"/>
                <w:szCs w:val="24"/>
              </w:rPr>
            </w:pPr>
            <w:r>
              <w:rPr>
                <w:rFonts w:hint="eastAsia" w:ascii="宋体" w:hAnsi="宋体"/>
                <w:b/>
                <w:bCs/>
                <w:iCs/>
                <w:sz w:val="24"/>
                <w:szCs w:val="24"/>
              </w:rPr>
              <w:t>关于本次活动是否涉及应披露重大信息的说明</w:t>
            </w:r>
          </w:p>
        </w:tc>
        <w:tc>
          <w:tcPr>
            <w:tcW w:w="7491" w:type="dxa"/>
            <w:gridSpan w:val="2"/>
            <w:vAlign w:val="center"/>
          </w:tcPr>
          <w:p w14:paraId="72A50F97">
            <w:pPr>
              <w:spacing w:line="360" w:lineRule="auto"/>
              <w:rPr>
                <w:rFonts w:ascii="宋体" w:hAnsi="宋体"/>
                <w:sz w:val="24"/>
                <w:szCs w:val="24"/>
              </w:rPr>
            </w:pPr>
            <w:r>
              <w:rPr>
                <w:rFonts w:hint="eastAsia" w:ascii="宋体" w:hAnsi="宋体"/>
                <w:sz w:val="24"/>
                <w:szCs w:val="24"/>
              </w:rPr>
              <w:t>无</w:t>
            </w:r>
          </w:p>
        </w:tc>
      </w:tr>
      <w:tr w14:paraId="4E7C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18" w:type="dxa"/>
            <w:vAlign w:val="center"/>
          </w:tcPr>
          <w:p w14:paraId="4F508F44">
            <w:pPr>
              <w:spacing w:line="470" w:lineRule="exact"/>
              <w:rPr>
                <w:rFonts w:ascii="宋体" w:hAnsi="宋体"/>
                <w:b/>
                <w:bCs/>
                <w:iCs/>
                <w:sz w:val="24"/>
                <w:szCs w:val="24"/>
              </w:rPr>
            </w:pPr>
            <w:r>
              <w:rPr>
                <w:rFonts w:ascii="宋体" w:hAnsi="宋体"/>
                <w:b/>
                <w:bCs/>
                <w:iCs/>
                <w:sz w:val="24"/>
                <w:szCs w:val="24"/>
              </w:rPr>
              <w:t>活动过程中所使用的演示文稿、文档等附件（如有）</w:t>
            </w:r>
          </w:p>
        </w:tc>
        <w:tc>
          <w:tcPr>
            <w:tcW w:w="7491" w:type="dxa"/>
            <w:gridSpan w:val="2"/>
            <w:vAlign w:val="center"/>
          </w:tcPr>
          <w:p w14:paraId="6094FB5E">
            <w:pPr>
              <w:spacing w:line="470" w:lineRule="exact"/>
              <w:rPr>
                <w:rFonts w:ascii="宋体" w:hAnsi="宋体"/>
                <w:bCs/>
                <w:iCs/>
                <w:sz w:val="24"/>
                <w:szCs w:val="24"/>
              </w:rPr>
            </w:pPr>
            <w:r>
              <w:rPr>
                <w:rFonts w:hint="eastAsia" w:ascii="宋体" w:hAnsi="宋体"/>
                <w:bCs/>
                <w:iCs/>
                <w:sz w:val="24"/>
                <w:szCs w:val="24"/>
              </w:rPr>
              <w:t>无</w:t>
            </w:r>
          </w:p>
        </w:tc>
      </w:tr>
    </w:tbl>
    <w:p w14:paraId="0DBA3F2F"/>
    <w:p w14:paraId="2FEB7C72"/>
    <w:p w14:paraId="5F036529"/>
    <w:p w14:paraId="3A7138B5"/>
    <w:p w14:paraId="780564B2"/>
    <w:p w14:paraId="5684335E"/>
    <w:p w14:paraId="7C80EE8A"/>
    <w:p w14:paraId="5D36BE67"/>
    <w:p w14:paraId="44730785"/>
    <w:p w14:paraId="626A46C6"/>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53316"/>
    </w:sdtPr>
    <w:sdtContent>
      <w:sdt>
        <w:sdtPr>
          <w:id w:val="98381352"/>
        </w:sdtPr>
        <w:sdtContent>
          <w:p w14:paraId="012B2AFF">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14:paraId="701D1B5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B402D"/>
    <w:multiLevelType w:val="multilevel"/>
    <w:tmpl w:val="676B402D"/>
    <w:lvl w:ilvl="0" w:tentative="0">
      <w:start w:val="1"/>
      <w:numFmt w:val="decimal"/>
      <w:lvlText w:val="%1."/>
      <w:lvlJc w:val="left"/>
      <w:pPr>
        <w:ind w:left="902" w:hanging="420"/>
      </w:pPr>
      <w:rPr>
        <w:spacing w:val="-2"/>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03"/>
    <w:rsid w:val="00021748"/>
    <w:rsid w:val="0004054B"/>
    <w:rsid w:val="000670F9"/>
    <w:rsid w:val="00067BB7"/>
    <w:rsid w:val="000807D5"/>
    <w:rsid w:val="00090EAD"/>
    <w:rsid w:val="00094C17"/>
    <w:rsid w:val="000B3AB8"/>
    <w:rsid w:val="000B5BDB"/>
    <w:rsid w:val="000B7001"/>
    <w:rsid w:val="000B74B8"/>
    <w:rsid w:val="000B7E41"/>
    <w:rsid w:val="000C4B06"/>
    <w:rsid w:val="000C6415"/>
    <w:rsid w:val="000C662D"/>
    <w:rsid w:val="000F16F8"/>
    <w:rsid w:val="000F3803"/>
    <w:rsid w:val="000F5E3C"/>
    <w:rsid w:val="000F6388"/>
    <w:rsid w:val="001113BD"/>
    <w:rsid w:val="001277C7"/>
    <w:rsid w:val="00136971"/>
    <w:rsid w:val="00153571"/>
    <w:rsid w:val="001639B5"/>
    <w:rsid w:val="001660B2"/>
    <w:rsid w:val="00172A69"/>
    <w:rsid w:val="001931D3"/>
    <w:rsid w:val="001A2FD6"/>
    <w:rsid w:val="001A411A"/>
    <w:rsid w:val="001B2C9D"/>
    <w:rsid w:val="001D04CE"/>
    <w:rsid w:val="001D34EE"/>
    <w:rsid w:val="001D6E95"/>
    <w:rsid w:val="001F7D3E"/>
    <w:rsid w:val="00203D35"/>
    <w:rsid w:val="002420A2"/>
    <w:rsid w:val="00253A58"/>
    <w:rsid w:val="00255E23"/>
    <w:rsid w:val="002A3A2A"/>
    <w:rsid w:val="002C1352"/>
    <w:rsid w:val="002C2DB3"/>
    <w:rsid w:val="002D04AA"/>
    <w:rsid w:val="002D1962"/>
    <w:rsid w:val="002D5D9F"/>
    <w:rsid w:val="00301156"/>
    <w:rsid w:val="00310D79"/>
    <w:rsid w:val="00321210"/>
    <w:rsid w:val="0033437F"/>
    <w:rsid w:val="003477D2"/>
    <w:rsid w:val="00353C84"/>
    <w:rsid w:val="00357D44"/>
    <w:rsid w:val="0036016F"/>
    <w:rsid w:val="00362391"/>
    <w:rsid w:val="0036252D"/>
    <w:rsid w:val="003B66DE"/>
    <w:rsid w:val="003C4784"/>
    <w:rsid w:val="003C597F"/>
    <w:rsid w:val="003E6A7E"/>
    <w:rsid w:val="003F067F"/>
    <w:rsid w:val="004009D4"/>
    <w:rsid w:val="004029C1"/>
    <w:rsid w:val="004134B8"/>
    <w:rsid w:val="00415486"/>
    <w:rsid w:val="00415502"/>
    <w:rsid w:val="00416277"/>
    <w:rsid w:val="0042577F"/>
    <w:rsid w:val="00430F62"/>
    <w:rsid w:val="004330BF"/>
    <w:rsid w:val="004343D6"/>
    <w:rsid w:val="004479E3"/>
    <w:rsid w:val="00471706"/>
    <w:rsid w:val="00473545"/>
    <w:rsid w:val="004736C1"/>
    <w:rsid w:val="00486AF0"/>
    <w:rsid w:val="004A17BF"/>
    <w:rsid w:val="004C0F3D"/>
    <w:rsid w:val="004C6F96"/>
    <w:rsid w:val="004D3CCE"/>
    <w:rsid w:val="004D59E1"/>
    <w:rsid w:val="004D78A6"/>
    <w:rsid w:val="004F05E9"/>
    <w:rsid w:val="004F75B9"/>
    <w:rsid w:val="00512AB3"/>
    <w:rsid w:val="00515C45"/>
    <w:rsid w:val="00521449"/>
    <w:rsid w:val="00523DA0"/>
    <w:rsid w:val="00525D43"/>
    <w:rsid w:val="00527AF9"/>
    <w:rsid w:val="00534922"/>
    <w:rsid w:val="00545382"/>
    <w:rsid w:val="0055144D"/>
    <w:rsid w:val="00552753"/>
    <w:rsid w:val="005673BE"/>
    <w:rsid w:val="00580524"/>
    <w:rsid w:val="00585DE6"/>
    <w:rsid w:val="005876AD"/>
    <w:rsid w:val="005A044B"/>
    <w:rsid w:val="005A5903"/>
    <w:rsid w:val="005B3FA0"/>
    <w:rsid w:val="005C4577"/>
    <w:rsid w:val="005D0D60"/>
    <w:rsid w:val="005D64C8"/>
    <w:rsid w:val="00623068"/>
    <w:rsid w:val="0062631E"/>
    <w:rsid w:val="00637594"/>
    <w:rsid w:val="00663473"/>
    <w:rsid w:val="00681CEC"/>
    <w:rsid w:val="00684F71"/>
    <w:rsid w:val="00685711"/>
    <w:rsid w:val="00692883"/>
    <w:rsid w:val="006C15C6"/>
    <w:rsid w:val="006C4448"/>
    <w:rsid w:val="006D76CA"/>
    <w:rsid w:val="006F374F"/>
    <w:rsid w:val="00702B95"/>
    <w:rsid w:val="00721786"/>
    <w:rsid w:val="00734AB1"/>
    <w:rsid w:val="00742CFC"/>
    <w:rsid w:val="00744E5B"/>
    <w:rsid w:val="00762A9E"/>
    <w:rsid w:val="00765B6D"/>
    <w:rsid w:val="00771CAF"/>
    <w:rsid w:val="00775920"/>
    <w:rsid w:val="00782728"/>
    <w:rsid w:val="00790964"/>
    <w:rsid w:val="00794707"/>
    <w:rsid w:val="007C18FD"/>
    <w:rsid w:val="007D7346"/>
    <w:rsid w:val="007F3930"/>
    <w:rsid w:val="00823531"/>
    <w:rsid w:val="00834E6C"/>
    <w:rsid w:val="00845316"/>
    <w:rsid w:val="00855243"/>
    <w:rsid w:val="00866388"/>
    <w:rsid w:val="00876E9D"/>
    <w:rsid w:val="008771CD"/>
    <w:rsid w:val="0088395B"/>
    <w:rsid w:val="008844CB"/>
    <w:rsid w:val="008869DF"/>
    <w:rsid w:val="008A080F"/>
    <w:rsid w:val="008A3158"/>
    <w:rsid w:val="008B0969"/>
    <w:rsid w:val="008B61D3"/>
    <w:rsid w:val="008C6C96"/>
    <w:rsid w:val="008D18B9"/>
    <w:rsid w:val="008D22BF"/>
    <w:rsid w:val="008D44C7"/>
    <w:rsid w:val="00905663"/>
    <w:rsid w:val="009416FC"/>
    <w:rsid w:val="009436D6"/>
    <w:rsid w:val="00946E0A"/>
    <w:rsid w:val="009659EC"/>
    <w:rsid w:val="00967876"/>
    <w:rsid w:val="00985150"/>
    <w:rsid w:val="009A0BB3"/>
    <w:rsid w:val="009A4C59"/>
    <w:rsid w:val="009B0EEE"/>
    <w:rsid w:val="009C1B0C"/>
    <w:rsid w:val="009C670F"/>
    <w:rsid w:val="009D0526"/>
    <w:rsid w:val="009D17D5"/>
    <w:rsid w:val="009D4E02"/>
    <w:rsid w:val="009D4FAA"/>
    <w:rsid w:val="00A14C83"/>
    <w:rsid w:val="00A1655C"/>
    <w:rsid w:val="00A16733"/>
    <w:rsid w:val="00A17B46"/>
    <w:rsid w:val="00A23DDD"/>
    <w:rsid w:val="00A54188"/>
    <w:rsid w:val="00A64D42"/>
    <w:rsid w:val="00A67493"/>
    <w:rsid w:val="00A8014A"/>
    <w:rsid w:val="00A9594C"/>
    <w:rsid w:val="00AA66FA"/>
    <w:rsid w:val="00AB06EF"/>
    <w:rsid w:val="00AB4FE8"/>
    <w:rsid w:val="00AC61AF"/>
    <w:rsid w:val="00AE3030"/>
    <w:rsid w:val="00AE57B0"/>
    <w:rsid w:val="00AE6D4D"/>
    <w:rsid w:val="00AF2526"/>
    <w:rsid w:val="00AF7890"/>
    <w:rsid w:val="00B00A01"/>
    <w:rsid w:val="00B02130"/>
    <w:rsid w:val="00B024D9"/>
    <w:rsid w:val="00B10330"/>
    <w:rsid w:val="00B26FFA"/>
    <w:rsid w:val="00B41B03"/>
    <w:rsid w:val="00B42F14"/>
    <w:rsid w:val="00BD0F40"/>
    <w:rsid w:val="00BD3101"/>
    <w:rsid w:val="00BE3890"/>
    <w:rsid w:val="00C07B37"/>
    <w:rsid w:val="00C1374E"/>
    <w:rsid w:val="00C25589"/>
    <w:rsid w:val="00C412DC"/>
    <w:rsid w:val="00C4182C"/>
    <w:rsid w:val="00C66671"/>
    <w:rsid w:val="00C867AE"/>
    <w:rsid w:val="00C94AE0"/>
    <w:rsid w:val="00CA118E"/>
    <w:rsid w:val="00CA28B3"/>
    <w:rsid w:val="00CC3F3B"/>
    <w:rsid w:val="00CC6B54"/>
    <w:rsid w:val="00D07837"/>
    <w:rsid w:val="00D319D3"/>
    <w:rsid w:val="00D55046"/>
    <w:rsid w:val="00D60AC3"/>
    <w:rsid w:val="00D74536"/>
    <w:rsid w:val="00D819A0"/>
    <w:rsid w:val="00D81EB0"/>
    <w:rsid w:val="00D92B49"/>
    <w:rsid w:val="00DA51E4"/>
    <w:rsid w:val="00DA775F"/>
    <w:rsid w:val="00DB3621"/>
    <w:rsid w:val="00DC26A2"/>
    <w:rsid w:val="00DC2836"/>
    <w:rsid w:val="00DE49F7"/>
    <w:rsid w:val="00DF4BD3"/>
    <w:rsid w:val="00DF72F5"/>
    <w:rsid w:val="00E057D2"/>
    <w:rsid w:val="00E11016"/>
    <w:rsid w:val="00E25B61"/>
    <w:rsid w:val="00E32B59"/>
    <w:rsid w:val="00E407D9"/>
    <w:rsid w:val="00E54D1E"/>
    <w:rsid w:val="00E641DD"/>
    <w:rsid w:val="00E70492"/>
    <w:rsid w:val="00E752A3"/>
    <w:rsid w:val="00E7762E"/>
    <w:rsid w:val="00E82CA5"/>
    <w:rsid w:val="00E93C29"/>
    <w:rsid w:val="00EA4A55"/>
    <w:rsid w:val="00EA55F3"/>
    <w:rsid w:val="00EA5FE0"/>
    <w:rsid w:val="00EB1870"/>
    <w:rsid w:val="00EB22A6"/>
    <w:rsid w:val="00EB716B"/>
    <w:rsid w:val="00ED25AB"/>
    <w:rsid w:val="00ED551A"/>
    <w:rsid w:val="00EE5355"/>
    <w:rsid w:val="00EE6622"/>
    <w:rsid w:val="00EE7B2E"/>
    <w:rsid w:val="00F110B9"/>
    <w:rsid w:val="00F266A9"/>
    <w:rsid w:val="00F31501"/>
    <w:rsid w:val="00F3402D"/>
    <w:rsid w:val="00F34E41"/>
    <w:rsid w:val="00F43C85"/>
    <w:rsid w:val="00F621BF"/>
    <w:rsid w:val="00F66BA5"/>
    <w:rsid w:val="00F746B3"/>
    <w:rsid w:val="00F82C22"/>
    <w:rsid w:val="00FC1398"/>
    <w:rsid w:val="00FC3039"/>
    <w:rsid w:val="00FC381D"/>
    <w:rsid w:val="00FC388D"/>
    <w:rsid w:val="02D23086"/>
    <w:rsid w:val="04131BA8"/>
    <w:rsid w:val="04C42EA2"/>
    <w:rsid w:val="061834A6"/>
    <w:rsid w:val="06AE7966"/>
    <w:rsid w:val="076D15CF"/>
    <w:rsid w:val="07FB4E2D"/>
    <w:rsid w:val="08510EF1"/>
    <w:rsid w:val="086C1887"/>
    <w:rsid w:val="0CFD1647"/>
    <w:rsid w:val="0F0C791F"/>
    <w:rsid w:val="0FFB370F"/>
    <w:rsid w:val="10AA38BB"/>
    <w:rsid w:val="10B770A3"/>
    <w:rsid w:val="11AC7198"/>
    <w:rsid w:val="12F62DC0"/>
    <w:rsid w:val="14A10B0A"/>
    <w:rsid w:val="156C2EC6"/>
    <w:rsid w:val="178C3CF3"/>
    <w:rsid w:val="18243F2C"/>
    <w:rsid w:val="1A2641CD"/>
    <w:rsid w:val="1A587EBD"/>
    <w:rsid w:val="1B3E3557"/>
    <w:rsid w:val="1C0D4CD7"/>
    <w:rsid w:val="1D8809C5"/>
    <w:rsid w:val="20053523"/>
    <w:rsid w:val="20275CE4"/>
    <w:rsid w:val="214B077B"/>
    <w:rsid w:val="217E0CD6"/>
    <w:rsid w:val="227710FC"/>
    <w:rsid w:val="231F5A1C"/>
    <w:rsid w:val="25657932"/>
    <w:rsid w:val="28186EDD"/>
    <w:rsid w:val="28AD1D1C"/>
    <w:rsid w:val="2A0E67EA"/>
    <w:rsid w:val="2ACB7241"/>
    <w:rsid w:val="2B0D2567"/>
    <w:rsid w:val="2CFE2B46"/>
    <w:rsid w:val="2D0839C4"/>
    <w:rsid w:val="2D6A1F89"/>
    <w:rsid w:val="2F063F34"/>
    <w:rsid w:val="2F3C1703"/>
    <w:rsid w:val="31AC198D"/>
    <w:rsid w:val="337C084E"/>
    <w:rsid w:val="3388777A"/>
    <w:rsid w:val="33AD497E"/>
    <w:rsid w:val="344965DF"/>
    <w:rsid w:val="36BE50F4"/>
    <w:rsid w:val="390D04A7"/>
    <w:rsid w:val="3D22462E"/>
    <w:rsid w:val="3E9C5D1B"/>
    <w:rsid w:val="3FB27E7B"/>
    <w:rsid w:val="41BD0482"/>
    <w:rsid w:val="434C41B3"/>
    <w:rsid w:val="441A605F"/>
    <w:rsid w:val="44531571"/>
    <w:rsid w:val="445A2900"/>
    <w:rsid w:val="45967968"/>
    <w:rsid w:val="4A111CB3"/>
    <w:rsid w:val="4A3D294C"/>
    <w:rsid w:val="4BA83F51"/>
    <w:rsid w:val="4C7E2F03"/>
    <w:rsid w:val="4DB841F3"/>
    <w:rsid w:val="4DFA5B8D"/>
    <w:rsid w:val="4F8C3B89"/>
    <w:rsid w:val="52DD286F"/>
    <w:rsid w:val="535A6478"/>
    <w:rsid w:val="55E60AEE"/>
    <w:rsid w:val="58533496"/>
    <w:rsid w:val="5A290952"/>
    <w:rsid w:val="5DDC5CDC"/>
    <w:rsid w:val="5EC56770"/>
    <w:rsid w:val="5F702B80"/>
    <w:rsid w:val="61671D60"/>
    <w:rsid w:val="63036205"/>
    <w:rsid w:val="67982FB2"/>
    <w:rsid w:val="6B52582F"/>
    <w:rsid w:val="6C4E5FF7"/>
    <w:rsid w:val="6DAA54AF"/>
    <w:rsid w:val="6DBE0F5A"/>
    <w:rsid w:val="6E5042A8"/>
    <w:rsid w:val="6FB27E57"/>
    <w:rsid w:val="70451C9F"/>
    <w:rsid w:val="717D77DC"/>
    <w:rsid w:val="72D80D10"/>
    <w:rsid w:val="73B250BD"/>
    <w:rsid w:val="743608B6"/>
    <w:rsid w:val="74477EFB"/>
    <w:rsid w:val="746D092B"/>
    <w:rsid w:val="77E15F71"/>
    <w:rsid w:val="78F46178"/>
    <w:rsid w:val="79D3446D"/>
    <w:rsid w:val="7A960FFF"/>
    <w:rsid w:val="7EC5039A"/>
    <w:rsid w:val="7EEE33D2"/>
    <w:rsid w:val="7F3E014D"/>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脚 Char"/>
    <w:basedOn w:val="9"/>
    <w:link w:val="4"/>
    <w:qFormat/>
    <w:uiPriority w:val="0"/>
    <w:rPr>
      <w:rFonts w:ascii="Times New Roman" w:hAnsi="Times New Roman" w:eastAsia="宋体" w:cs="Times New Roman"/>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页眉 Char"/>
    <w:basedOn w:val="9"/>
    <w:link w:val="5"/>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highlight"/>
    <w:basedOn w:val="9"/>
    <w:qFormat/>
    <w:uiPriority w:val="0"/>
  </w:style>
  <w:style w:type="paragraph" w:styleId="16">
    <w:name w:val="List Paragraph"/>
    <w:basedOn w:val="1"/>
    <w:qFormat/>
    <w:uiPriority w:val="34"/>
    <w:pPr>
      <w:ind w:firstLine="420" w:firstLineChars="200"/>
    </w:pPr>
  </w:style>
  <w:style w:type="paragraph" w:customStyle="1" w:styleId="17">
    <w:name w:val="修订1"/>
    <w:hidden/>
    <w:semiHidden/>
    <w:qFormat/>
    <w:uiPriority w:val="99"/>
    <w:rPr>
      <w:rFonts w:ascii="Times New Roman" w:hAnsi="Times New Roman" w:eastAsia="宋体" w:cs="Times New Roman"/>
      <w:kern w:val="2"/>
      <w:sz w:val="21"/>
      <w:szCs w:val="22"/>
      <w:lang w:val="en-US" w:eastAsia="zh-CN" w:bidi="ar-SA"/>
    </w:rPr>
  </w:style>
  <w:style w:type="character" w:customStyle="1" w:styleId="18">
    <w:name w:val="批注文字 Char"/>
    <w:basedOn w:val="9"/>
    <w:link w:val="2"/>
    <w:semiHidden/>
    <w:qFormat/>
    <w:uiPriority w:val="99"/>
    <w:rPr>
      <w:rFonts w:ascii="Times New Roman" w:hAnsi="Times New Roman" w:eastAsia="宋体" w:cs="Times New Roman"/>
    </w:rPr>
  </w:style>
  <w:style w:type="character" w:customStyle="1" w:styleId="19">
    <w:name w:val="批注主题 Char"/>
    <w:basedOn w:val="18"/>
    <w:link w:val="6"/>
    <w:semiHidden/>
    <w:qFormat/>
    <w:uiPriority w:val="99"/>
    <w:rPr>
      <w:rFonts w:ascii="Times New Roman" w:hAnsi="Times New Roman" w:eastAsia="宋体" w:cs="Times New Roman"/>
      <w:b/>
      <w:bCs/>
    </w:rPr>
  </w:style>
  <w:style w:type="character" w:customStyle="1" w:styleId="20">
    <w:name w:val="cosd-markdown-search-mor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3485</Words>
  <Characters>3754</Characters>
  <Lines>28</Lines>
  <Paragraphs>8</Paragraphs>
  <TotalTime>244</TotalTime>
  <ScaleCrop>false</ScaleCrop>
  <LinksUpToDate>false</LinksUpToDate>
  <CharactersWithSpaces>3814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2020-12-15T01:18:00Z</dcterms:created>
  <dc:creator>万兵</dc:creator>
  <cp:lastModifiedBy>11020690</cp:lastModifiedBy>
  <cp:lastPrinted>2020-08-19T08:50:00Z</cp:lastPrinted>
  <dcterms:modified xsi:type="dcterms:W3CDTF">2025-12-19T08:34:33Z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eyJoZGlkIjoiYWE4YmQ0ZmMyZDlkYzhhZDMwMjE0NjZlZDcxYWIyNjkifQ==</vt:lpwstr>
  </property>
  <property fmtid="{D5CDD505-2E9C-101B-9397-08002B2CF9AE}" pid="3" name="KSOProductBuildVer">
    <vt:lpwstr>2052-12.1.0.22529</vt:lpwstr>
  </property>
  <property fmtid="{D5CDD505-2E9C-101B-9397-08002B2CF9AE}" pid="4" name="ICV">
    <vt:lpwstr>9AAA03F34EEB4E8181CA68A79AF0C44C_13</vt:lpwstr>
  </property>
</Properties>
</file>