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0442" w14:textId="77777777" w:rsidR="000B65A5" w:rsidRDefault="00632090">
      <w:pPr>
        <w:rPr>
          <w:rFonts w:ascii="宋体" w:hAnsi="宋体"/>
          <w:b/>
          <w:sz w:val="24"/>
        </w:rPr>
      </w:pPr>
      <w:r>
        <w:rPr>
          <w:rFonts w:ascii="宋体" w:hAnsi="宋体" w:hint="eastAsia"/>
          <w:b/>
          <w:sz w:val="24"/>
        </w:rPr>
        <w:t>证券代码：600222                                   证券简称：太龙药业</w:t>
      </w:r>
    </w:p>
    <w:p w14:paraId="57E127ED" w14:textId="77777777" w:rsidR="000B65A5" w:rsidRDefault="000B65A5"/>
    <w:p w14:paraId="115CB948" w14:textId="77777777" w:rsidR="000B65A5" w:rsidRDefault="00632090">
      <w:pPr>
        <w:jc w:val="center"/>
        <w:rPr>
          <w:rFonts w:ascii="黑体" w:eastAsia="黑体" w:hAnsi="黑体"/>
          <w:sz w:val="32"/>
        </w:rPr>
      </w:pPr>
      <w:r>
        <w:rPr>
          <w:rFonts w:ascii="黑体" w:eastAsia="黑体" w:hAnsi="黑体"/>
          <w:sz w:val="32"/>
        </w:rPr>
        <w:t>河南太龙药业股份有限公司</w:t>
      </w:r>
    </w:p>
    <w:p w14:paraId="51FE787C" w14:textId="77777777" w:rsidR="000B65A5" w:rsidRDefault="00632090">
      <w:pPr>
        <w:jc w:val="center"/>
        <w:rPr>
          <w:rFonts w:ascii="黑体" w:eastAsia="黑体" w:hAnsi="黑体"/>
          <w:sz w:val="32"/>
        </w:rPr>
      </w:pPr>
      <w:r>
        <w:rPr>
          <w:rFonts w:ascii="黑体" w:eastAsia="黑体" w:hAnsi="黑体"/>
          <w:sz w:val="32"/>
        </w:rPr>
        <w:t>投资者关系活动记录表</w:t>
      </w:r>
    </w:p>
    <w:p w14:paraId="2EDAE1C9" w14:textId="77777777" w:rsidR="000B65A5" w:rsidRDefault="00632090">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w:t>
      </w:r>
      <w:r>
        <w:rPr>
          <w:rFonts w:ascii="黑体" w:eastAsia="黑体" w:hAnsi="黑体" w:hint="eastAsia"/>
          <w:sz w:val="32"/>
        </w:rPr>
        <w:t>5</w:t>
      </w:r>
      <w:r>
        <w:rPr>
          <w:rFonts w:ascii="黑体" w:eastAsia="黑体" w:hAnsi="黑体"/>
          <w:sz w:val="32"/>
        </w:rPr>
        <w:t>年1</w:t>
      </w:r>
      <w:r>
        <w:rPr>
          <w:rFonts w:ascii="黑体" w:eastAsia="黑体" w:hAnsi="黑体" w:hint="eastAsia"/>
          <w:sz w:val="32"/>
        </w:rPr>
        <w:t>2月</w:t>
      </w:r>
      <w:r>
        <w:rPr>
          <w:rFonts w:ascii="黑体" w:eastAsia="黑体" w:hAnsi="黑体"/>
          <w:sz w:val="32"/>
        </w:rPr>
        <w:t>）</w:t>
      </w:r>
    </w:p>
    <w:p w14:paraId="61971809" w14:textId="77777777" w:rsidR="000B65A5" w:rsidRDefault="000B65A5"/>
    <w:tbl>
      <w:tblPr>
        <w:tblStyle w:val="aa"/>
        <w:tblW w:w="10349" w:type="dxa"/>
        <w:tblInd w:w="-998" w:type="dxa"/>
        <w:tblLook w:val="04A0" w:firstRow="1" w:lastRow="0" w:firstColumn="1" w:lastColumn="0" w:noHBand="0" w:noVBand="1"/>
      </w:tblPr>
      <w:tblGrid>
        <w:gridCol w:w="1986"/>
        <w:gridCol w:w="8363"/>
      </w:tblGrid>
      <w:tr w:rsidR="000B65A5" w14:paraId="746EE85E" w14:textId="77777777">
        <w:trPr>
          <w:trHeight w:val="3276"/>
        </w:trPr>
        <w:tc>
          <w:tcPr>
            <w:tcW w:w="1986" w:type="dxa"/>
            <w:vAlign w:val="center"/>
          </w:tcPr>
          <w:p w14:paraId="09A53B3B" w14:textId="77777777" w:rsidR="000B65A5" w:rsidRDefault="00632090">
            <w:pPr>
              <w:jc w:val="center"/>
              <w:rPr>
                <w:sz w:val="28"/>
              </w:rPr>
            </w:pPr>
            <w:r>
              <w:rPr>
                <w:sz w:val="28"/>
              </w:rPr>
              <w:t>投资者关系</w:t>
            </w:r>
          </w:p>
          <w:p w14:paraId="7E3633DA" w14:textId="77777777" w:rsidR="000B65A5" w:rsidRDefault="00632090">
            <w:pPr>
              <w:jc w:val="center"/>
              <w:rPr>
                <w:sz w:val="28"/>
              </w:rPr>
            </w:pPr>
            <w:r>
              <w:rPr>
                <w:sz w:val="28"/>
              </w:rPr>
              <w:t>活动类别</w:t>
            </w:r>
          </w:p>
        </w:tc>
        <w:tc>
          <w:tcPr>
            <w:tcW w:w="8363" w:type="dxa"/>
          </w:tcPr>
          <w:p w14:paraId="237BB954" w14:textId="77777777" w:rsidR="000B65A5" w:rsidRDefault="00632090">
            <w:pPr>
              <w:pStyle w:val="Default"/>
              <w:jc w:val="both"/>
              <w:rPr>
                <w:rFonts w:hAnsi="Times New Roman"/>
                <w:sz w:val="28"/>
              </w:rPr>
            </w:pPr>
            <w:r>
              <w:rPr>
                <w:rFonts w:hAnsi="Times New Roman" w:hint="eastAsia"/>
                <w:sz w:val="28"/>
              </w:rPr>
              <w:t xml:space="preserve">☑特定对象调研     </w:t>
            </w:r>
            <w:r>
              <w:rPr>
                <w:rFonts w:hAnsi="Times New Roman" w:hint="eastAsia"/>
                <w:color w:val="auto"/>
                <w:sz w:val="28"/>
              </w:rPr>
              <w:t xml:space="preserve"> </w:t>
            </w:r>
            <w:r>
              <w:rPr>
                <w:rFonts w:hAnsi="Times New Roman" w:hint="eastAsia"/>
                <w:sz w:val="28"/>
              </w:rPr>
              <w:t>☑分析师会议</w:t>
            </w:r>
          </w:p>
          <w:p w14:paraId="390FE71A" w14:textId="77777777" w:rsidR="000B65A5" w:rsidRDefault="00632090">
            <w:pPr>
              <w:pStyle w:val="Default"/>
              <w:jc w:val="both"/>
              <w:rPr>
                <w:rFonts w:hAnsi="Times New Roman"/>
                <w:sz w:val="28"/>
              </w:rPr>
            </w:pPr>
            <w:r>
              <w:rPr>
                <w:rFonts w:hAnsi="Times New Roman" w:hint="eastAsia"/>
                <w:sz w:val="28"/>
              </w:rPr>
              <w:t>□媒体采访          □业绩说明会</w:t>
            </w:r>
          </w:p>
          <w:p w14:paraId="0F578CFC" w14:textId="77777777" w:rsidR="000B65A5" w:rsidRDefault="00632090">
            <w:pPr>
              <w:pStyle w:val="Default"/>
              <w:jc w:val="both"/>
              <w:rPr>
                <w:rFonts w:hAnsi="Times New Roman"/>
                <w:sz w:val="28"/>
              </w:rPr>
            </w:pPr>
            <w:r>
              <w:rPr>
                <w:rFonts w:hAnsi="Times New Roman" w:hint="eastAsia"/>
                <w:sz w:val="28"/>
              </w:rPr>
              <w:t>□新闻发布会        □路演活动</w:t>
            </w:r>
          </w:p>
          <w:p w14:paraId="3EC78576" w14:textId="77777777" w:rsidR="000B65A5" w:rsidRDefault="00632090">
            <w:pPr>
              <w:pStyle w:val="Default"/>
              <w:jc w:val="both"/>
              <w:rPr>
                <w:rFonts w:hAnsi="Times New Roman"/>
                <w:sz w:val="28"/>
              </w:rPr>
            </w:pPr>
            <w:r>
              <w:rPr>
                <w:rFonts w:hAnsi="Times New Roman" w:hint="eastAsia"/>
                <w:sz w:val="28"/>
              </w:rPr>
              <w:t>□现场参观          ☑</w:t>
            </w:r>
            <w:r>
              <w:rPr>
                <w:rFonts w:hAnsi="宋体" w:hint="eastAsia"/>
                <w:sz w:val="28"/>
              </w:rPr>
              <w:t>电话会议</w:t>
            </w:r>
          </w:p>
          <w:p w14:paraId="74717964" w14:textId="77777777" w:rsidR="000B65A5" w:rsidRDefault="00632090">
            <w:pPr>
              <w:pStyle w:val="Default"/>
              <w:jc w:val="both"/>
              <w:rPr>
                <w:rFonts w:hAnsi="Times New Roman"/>
                <w:sz w:val="28"/>
                <w:u w:val="single"/>
              </w:rPr>
            </w:pPr>
            <w:r>
              <w:rPr>
                <w:rFonts w:ascii="Segoe UI Symbol" w:hAnsi="Segoe UI Symbol" w:cs="Segoe UI Symbol"/>
                <w:sz w:val="28"/>
              </w:rPr>
              <w:t>☑</w:t>
            </w:r>
            <w:r>
              <w:rPr>
                <w:rFonts w:hAnsi="Times New Roman" w:hint="eastAsia"/>
                <w:sz w:val="28"/>
              </w:rPr>
              <w:t>其他</w:t>
            </w:r>
          </w:p>
        </w:tc>
      </w:tr>
      <w:tr w:rsidR="000B65A5" w14:paraId="6346257E" w14:textId="77777777">
        <w:tc>
          <w:tcPr>
            <w:tcW w:w="1986" w:type="dxa"/>
            <w:vAlign w:val="center"/>
          </w:tcPr>
          <w:p w14:paraId="4AD84AD1" w14:textId="77777777" w:rsidR="000B65A5" w:rsidRDefault="00632090">
            <w:pPr>
              <w:jc w:val="center"/>
              <w:rPr>
                <w:sz w:val="28"/>
              </w:rPr>
            </w:pPr>
            <w:r>
              <w:rPr>
                <w:sz w:val="28"/>
              </w:rPr>
              <w:t>会议时间</w:t>
            </w:r>
          </w:p>
        </w:tc>
        <w:tc>
          <w:tcPr>
            <w:tcW w:w="8363" w:type="dxa"/>
          </w:tcPr>
          <w:p w14:paraId="73A82FD4" w14:textId="77777777" w:rsidR="000B65A5" w:rsidRDefault="00632090">
            <w:r>
              <w:rPr>
                <w:rFonts w:ascii="宋体" w:hAnsi="宋体" w:hint="eastAsia"/>
                <w:sz w:val="28"/>
              </w:rPr>
              <w:t>2025年</w:t>
            </w:r>
            <w:r>
              <w:rPr>
                <w:rFonts w:ascii="宋体" w:hAnsi="宋体"/>
                <w:sz w:val="28"/>
              </w:rPr>
              <w:t>1</w:t>
            </w:r>
            <w:r>
              <w:rPr>
                <w:rFonts w:ascii="宋体" w:hAnsi="宋体" w:hint="eastAsia"/>
                <w:sz w:val="28"/>
              </w:rPr>
              <w:t>2月11日-2025年12月1</w:t>
            </w:r>
            <w:r>
              <w:rPr>
                <w:rFonts w:ascii="宋体" w:hAnsi="宋体"/>
                <w:sz w:val="28"/>
              </w:rPr>
              <w:t>8</w:t>
            </w:r>
            <w:r>
              <w:rPr>
                <w:rFonts w:ascii="宋体" w:hAnsi="宋体" w:hint="eastAsia"/>
                <w:sz w:val="28"/>
              </w:rPr>
              <w:t>日</w:t>
            </w:r>
            <w:r>
              <w:rPr>
                <w:rFonts w:ascii="宋体" w:hAnsi="宋体"/>
                <w:sz w:val="28"/>
              </w:rPr>
              <w:t xml:space="preserve">  </w:t>
            </w:r>
            <w:r>
              <w:rPr>
                <w:rFonts w:ascii="宋体" w:hAnsi="宋体" w:hint="eastAsia"/>
                <w:sz w:val="28"/>
              </w:rPr>
              <w:t>公司调研会</w:t>
            </w:r>
          </w:p>
        </w:tc>
      </w:tr>
      <w:tr w:rsidR="000B65A5" w14:paraId="157D7E67" w14:textId="77777777">
        <w:trPr>
          <w:trHeight w:val="1034"/>
        </w:trPr>
        <w:tc>
          <w:tcPr>
            <w:tcW w:w="1986" w:type="dxa"/>
            <w:vAlign w:val="center"/>
          </w:tcPr>
          <w:p w14:paraId="4762D3C2" w14:textId="77777777" w:rsidR="000B65A5" w:rsidRDefault="00632090">
            <w:pPr>
              <w:jc w:val="center"/>
              <w:rPr>
                <w:sz w:val="28"/>
              </w:rPr>
            </w:pPr>
            <w:r>
              <w:rPr>
                <w:sz w:val="28"/>
              </w:rPr>
              <w:t>会议地点</w:t>
            </w:r>
          </w:p>
        </w:tc>
        <w:tc>
          <w:tcPr>
            <w:tcW w:w="8363" w:type="dxa"/>
            <w:vAlign w:val="center"/>
          </w:tcPr>
          <w:p w14:paraId="698146DF" w14:textId="77777777" w:rsidR="000B65A5" w:rsidRDefault="00632090">
            <w:pPr>
              <w:widowControl/>
              <w:rPr>
                <w:rFonts w:ascii="宋体" w:hAnsi="宋体"/>
                <w:sz w:val="28"/>
              </w:rPr>
            </w:pPr>
            <w:r>
              <w:rPr>
                <w:rFonts w:ascii="宋体" w:hAnsi="宋体"/>
                <w:sz w:val="28"/>
              </w:rPr>
              <w:t>河南省郑州市高新技术产业开发区金梭路8号</w:t>
            </w:r>
          </w:p>
        </w:tc>
      </w:tr>
      <w:tr w:rsidR="000B65A5" w14:paraId="68215E35" w14:textId="77777777">
        <w:tc>
          <w:tcPr>
            <w:tcW w:w="1986" w:type="dxa"/>
            <w:vAlign w:val="center"/>
          </w:tcPr>
          <w:p w14:paraId="51B43578" w14:textId="77777777" w:rsidR="000B65A5" w:rsidRDefault="00632090">
            <w:pPr>
              <w:jc w:val="center"/>
              <w:rPr>
                <w:sz w:val="28"/>
              </w:rPr>
            </w:pPr>
            <w:r>
              <w:rPr>
                <w:sz w:val="28"/>
              </w:rPr>
              <w:t>参与单位名称或人员姓名</w:t>
            </w:r>
          </w:p>
        </w:tc>
        <w:tc>
          <w:tcPr>
            <w:tcW w:w="8363" w:type="dxa"/>
            <w:vAlign w:val="center"/>
          </w:tcPr>
          <w:p w14:paraId="20596446" w14:textId="77777777" w:rsidR="000B65A5" w:rsidRDefault="00632090">
            <w:pPr>
              <w:rPr>
                <w:rFonts w:ascii="宋体" w:hAnsi="宋体" w:cs="Times New Roman"/>
                <w:sz w:val="28"/>
                <w:szCs w:val="28"/>
              </w:rPr>
            </w:pPr>
            <w:r>
              <w:rPr>
                <w:rFonts w:ascii="宋体" w:hAnsi="宋体" w:hint="eastAsia"/>
                <w:sz w:val="28"/>
                <w:szCs w:val="28"/>
              </w:rPr>
              <w:t xml:space="preserve">东吴医药     平安证券     中信证券     方正医药     </w:t>
            </w:r>
          </w:p>
          <w:p w14:paraId="20688728" w14:textId="77777777" w:rsidR="000B65A5" w:rsidRDefault="00632090">
            <w:pPr>
              <w:rPr>
                <w:rFonts w:ascii="宋体" w:hAnsi="宋体"/>
                <w:sz w:val="28"/>
                <w:szCs w:val="28"/>
              </w:rPr>
            </w:pPr>
            <w:r>
              <w:rPr>
                <w:rFonts w:ascii="宋体" w:hAnsi="宋体" w:hint="eastAsia"/>
                <w:sz w:val="28"/>
                <w:szCs w:val="28"/>
              </w:rPr>
              <w:t>长江证券     申万医药     天风证券     德邦证券</w:t>
            </w:r>
          </w:p>
          <w:p w14:paraId="6515C612" w14:textId="77777777" w:rsidR="000B65A5" w:rsidRDefault="00632090">
            <w:pPr>
              <w:rPr>
                <w:rFonts w:ascii="宋体" w:hAnsi="宋体"/>
                <w:sz w:val="28"/>
                <w:szCs w:val="28"/>
              </w:rPr>
            </w:pPr>
            <w:r>
              <w:rPr>
                <w:rFonts w:ascii="宋体" w:hAnsi="宋体" w:hint="eastAsia"/>
                <w:sz w:val="28"/>
                <w:szCs w:val="28"/>
              </w:rPr>
              <w:t>国都证券     申万资管     华宝证券     银华基金</w:t>
            </w:r>
          </w:p>
          <w:p w14:paraId="0F5C97C1" w14:textId="77777777" w:rsidR="000B65A5" w:rsidRDefault="00632090">
            <w:pPr>
              <w:rPr>
                <w:rFonts w:ascii="宋体" w:hAnsi="宋体"/>
                <w:sz w:val="28"/>
                <w:szCs w:val="28"/>
              </w:rPr>
            </w:pPr>
            <w:r>
              <w:rPr>
                <w:rFonts w:ascii="宋体" w:hAnsi="宋体" w:hint="eastAsia"/>
                <w:sz w:val="28"/>
                <w:szCs w:val="28"/>
              </w:rPr>
              <w:t>农银汇理     信泰人寿     合众资产     益恒投资</w:t>
            </w:r>
          </w:p>
          <w:p w14:paraId="6E367A36" w14:textId="77777777" w:rsidR="000B65A5" w:rsidRDefault="00632090">
            <w:pPr>
              <w:rPr>
                <w:rFonts w:ascii="宋体" w:hAnsi="宋体"/>
                <w:sz w:val="28"/>
                <w:szCs w:val="28"/>
              </w:rPr>
            </w:pPr>
            <w:r>
              <w:rPr>
                <w:rFonts w:ascii="宋体" w:hAnsi="宋体" w:hint="eastAsia"/>
                <w:sz w:val="28"/>
                <w:szCs w:val="28"/>
              </w:rPr>
              <w:t>正圆投资     国新投资     宏利基金     东方睿石</w:t>
            </w:r>
          </w:p>
          <w:p w14:paraId="3AFB652D" w14:textId="77777777" w:rsidR="000B65A5" w:rsidRDefault="00632090">
            <w:pPr>
              <w:rPr>
                <w:rFonts w:ascii="宋体" w:hAnsi="宋体"/>
                <w:sz w:val="28"/>
                <w:szCs w:val="28"/>
              </w:rPr>
            </w:pPr>
            <w:r>
              <w:rPr>
                <w:rFonts w:ascii="宋体" w:hAnsi="宋体" w:hint="eastAsia"/>
                <w:sz w:val="28"/>
                <w:szCs w:val="28"/>
              </w:rPr>
              <w:t>鑫翰资本     华诺投资     玄卜投资     观富资产</w:t>
            </w:r>
          </w:p>
          <w:p w14:paraId="09BC77C5" w14:textId="77777777" w:rsidR="000B65A5" w:rsidRDefault="00632090">
            <w:pPr>
              <w:rPr>
                <w:rFonts w:ascii="宋体" w:hAnsi="宋体"/>
                <w:sz w:val="28"/>
                <w:szCs w:val="28"/>
              </w:rPr>
            </w:pPr>
            <w:r>
              <w:rPr>
                <w:rFonts w:ascii="宋体" w:hAnsi="宋体" w:hint="eastAsia"/>
                <w:sz w:val="28"/>
                <w:szCs w:val="28"/>
              </w:rPr>
              <w:t>同泰基金     红筹投资     摩根基金     循远资产</w:t>
            </w:r>
          </w:p>
          <w:p w14:paraId="0C46E5BD" w14:textId="77777777" w:rsidR="000B65A5" w:rsidRDefault="00632090">
            <w:pPr>
              <w:rPr>
                <w:rFonts w:ascii="宋体" w:hAnsi="宋体"/>
                <w:sz w:val="28"/>
                <w:szCs w:val="28"/>
              </w:rPr>
            </w:pPr>
            <w:r>
              <w:rPr>
                <w:rFonts w:ascii="宋体" w:hAnsi="宋体" w:hint="eastAsia"/>
                <w:sz w:val="28"/>
                <w:szCs w:val="28"/>
              </w:rPr>
              <w:t xml:space="preserve">汇添富基金 </w:t>
            </w:r>
            <w:r>
              <w:rPr>
                <w:rFonts w:ascii="宋体" w:hAnsi="宋体"/>
                <w:sz w:val="28"/>
                <w:szCs w:val="28"/>
              </w:rPr>
              <w:t xml:space="preserve">  </w:t>
            </w:r>
            <w:r>
              <w:rPr>
                <w:rFonts w:ascii="宋体" w:hAnsi="宋体" w:hint="eastAsia"/>
                <w:sz w:val="28"/>
                <w:szCs w:val="28"/>
              </w:rPr>
              <w:t>陆家嘴国际信托  光大保德信基金   金百镕投资</w:t>
            </w:r>
          </w:p>
        </w:tc>
      </w:tr>
      <w:tr w:rsidR="000B65A5" w14:paraId="4867E272" w14:textId="77777777">
        <w:trPr>
          <w:trHeight w:val="2127"/>
        </w:trPr>
        <w:tc>
          <w:tcPr>
            <w:tcW w:w="1986" w:type="dxa"/>
            <w:vAlign w:val="center"/>
          </w:tcPr>
          <w:p w14:paraId="2C9DD5D5" w14:textId="77777777" w:rsidR="000B65A5" w:rsidRDefault="00632090">
            <w:pPr>
              <w:jc w:val="center"/>
              <w:rPr>
                <w:sz w:val="28"/>
              </w:rPr>
            </w:pPr>
            <w:r>
              <w:rPr>
                <w:sz w:val="28"/>
              </w:rPr>
              <w:lastRenderedPageBreak/>
              <w:t>上市公司</w:t>
            </w:r>
          </w:p>
          <w:p w14:paraId="6EDBC833" w14:textId="77777777" w:rsidR="000B65A5" w:rsidRDefault="00632090">
            <w:pPr>
              <w:jc w:val="center"/>
              <w:rPr>
                <w:sz w:val="28"/>
              </w:rPr>
            </w:pPr>
            <w:r>
              <w:rPr>
                <w:sz w:val="28"/>
              </w:rPr>
              <w:t>接待人员</w:t>
            </w:r>
          </w:p>
        </w:tc>
        <w:tc>
          <w:tcPr>
            <w:tcW w:w="8363" w:type="dxa"/>
            <w:vAlign w:val="center"/>
          </w:tcPr>
          <w:p w14:paraId="1771AFBE" w14:textId="77777777" w:rsidR="000B65A5" w:rsidRDefault="00632090">
            <w:pPr>
              <w:pStyle w:val="Default"/>
              <w:tabs>
                <w:tab w:val="left" w:pos="675"/>
              </w:tabs>
              <w:spacing w:line="312" w:lineRule="auto"/>
              <w:jc w:val="both"/>
              <w:rPr>
                <w:rFonts w:hAnsi="宋体"/>
                <w:sz w:val="28"/>
                <w:szCs w:val="28"/>
              </w:rPr>
            </w:pPr>
            <w:r>
              <w:rPr>
                <w:rFonts w:hAnsi="宋体" w:hint="eastAsia"/>
                <w:sz w:val="28"/>
                <w:szCs w:val="28"/>
              </w:rPr>
              <w:t>公司</w:t>
            </w:r>
            <w:r>
              <w:rPr>
                <w:rFonts w:hAnsi="宋体"/>
                <w:sz w:val="28"/>
                <w:szCs w:val="28"/>
              </w:rPr>
              <w:t>董事：</w:t>
            </w:r>
            <w:r>
              <w:rPr>
                <w:rFonts w:hAnsi="宋体" w:hint="eastAsia"/>
                <w:sz w:val="28"/>
                <w:szCs w:val="28"/>
              </w:rPr>
              <w:t>罗剑超</w:t>
            </w:r>
          </w:p>
          <w:p w14:paraId="45E9B442" w14:textId="77777777" w:rsidR="000B65A5" w:rsidRDefault="00632090">
            <w:pPr>
              <w:pStyle w:val="Default"/>
              <w:tabs>
                <w:tab w:val="left" w:pos="675"/>
              </w:tabs>
              <w:spacing w:line="312" w:lineRule="auto"/>
              <w:jc w:val="both"/>
              <w:rPr>
                <w:rFonts w:hAnsi="宋体"/>
                <w:sz w:val="28"/>
                <w:szCs w:val="28"/>
              </w:rPr>
            </w:pPr>
            <w:r>
              <w:rPr>
                <w:rFonts w:hAnsi="宋体" w:hint="eastAsia"/>
                <w:sz w:val="28"/>
                <w:szCs w:val="28"/>
              </w:rPr>
              <w:t>公司董事会秘书：李念云</w:t>
            </w:r>
          </w:p>
        </w:tc>
      </w:tr>
      <w:tr w:rsidR="000B65A5" w14:paraId="5D3A6EA0" w14:textId="77777777">
        <w:tc>
          <w:tcPr>
            <w:tcW w:w="1986" w:type="dxa"/>
            <w:vAlign w:val="center"/>
          </w:tcPr>
          <w:p w14:paraId="567A8B3A" w14:textId="77777777" w:rsidR="000B65A5" w:rsidRDefault="00632090">
            <w:pPr>
              <w:jc w:val="center"/>
              <w:rPr>
                <w:sz w:val="28"/>
              </w:rPr>
            </w:pPr>
            <w:r>
              <w:rPr>
                <w:sz w:val="28"/>
              </w:rPr>
              <w:t>投资者关系</w:t>
            </w:r>
          </w:p>
          <w:p w14:paraId="0F2E2645" w14:textId="77777777" w:rsidR="000B65A5" w:rsidRDefault="00632090">
            <w:pPr>
              <w:jc w:val="center"/>
              <w:rPr>
                <w:sz w:val="28"/>
              </w:rPr>
            </w:pPr>
            <w:r>
              <w:rPr>
                <w:sz w:val="28"/>
              </w:rPr>
              <w:t>活动主要内容</w:t>
            </w:r>
          </w:p>
        </w:tc>
        <w:tc>
          <w:tcPr>
            <w:tcW w:w="8363" w:type="dxa"/>
          </w:tcPr>
          <w:p w14:paraId="2789B022" w14:textId="77777777" w:rsidR="000B65A5" w:rsidRDefault="00632090">
            <w:pPr>
              <w:tabs>
                <w:tab w:val="left" w:pos="5985"/>
              </w:tabs>
              <w:ind w:firstLineChars="200" w:firstLine="562"/>
              <w:rPr>
                <w:rFonts w:ascii="宋体" w:hAnsi="宋体"/>
                <w:b/>
                <w:sz w:val="28"/>
                <w:szCs w:val="24"/>
              </w:rPr>
            </w:pPr>
            <w:r>
              <w:rPr>
                <w:rFonts w:ascii="宋体" w:hAnsi="宋体"/>
                <w:b/>
                <w:sz w:val="28"/>
                <w:szCs w:val="24"/>
              </w:rPr>
              <w:t>1.</w:t>
            </w:r>
            <w:r>
              <w:rPr>
                <w:rFonts w:ascii="宋体" w:hAnsi="宋体" w:hint="eastAsia"/>
                <w:b/>
                <w:sz w:val="28"/>
                <w:szCs w:val="24"/>
              </w:rPr>
              <w:t>请简单介绍公司基本情况和战略规划</w:t>
            </w:r>
            <w:r>
              <w:rPr>
                <w:rFonts w:ascii="宋体" w:hAnsi="宋体"/>
                <w:b/>
                <w:sz w:val="28"/>
                <w:szCs w:val="24"/>
              </w:rPr>
              <w:t>。</w:t>
            </w:r>
          </w:p>
          <w:p w14:paraId="3CEFA43D" w14:textId="77777777" w:rsidR="000B65A5" w:rsidRDefault="00632090">
            <w:pPr>
              <w:autoSpaceDE w:val="0"/>
              <w:spacing w:line="560" w:lineRule="exact"/>
              <w:ind w:firstLineChars="200" w:firstLine="560"/>
              <w:rPr>
                <w:rFonts w:ascii="宋体" w:hAnsi="宋体"/>
                <w:sz w:val="28"/>
                <w:szCs w:val="28"/>
              </w:rPr>
            </w:pPr>
            <w:r>
              <w:rPr>
                <w:rFonts w:ascii="宋体" w:hAnsi="宋体" w:hint="eastAsia"/>
                <w:sz w:val="28"/>
                <w:szCs w:val="28"/>
              </w:rPr>
              <w:t>公司于1993年建厂，1999年在上海证券交易所上市，是河南省医药行业首家上市公司。目前公司包含药品制剂、中药饮片、药品研发服务三大核心业务板块。</w:t>
            </w:r>
          </w:p>
          <w:p w14:paraId="507C844A" w14:textId="77777777" w:rsidR="000B65A5" w:rsidRDefault="00632090">
            <w:pPr>
              <w:autoSpaceDE w:val="0"/>
              <w:spacing w:line="560" w:lineRule="exact"/>
              <w:ind w:firstLineChars="200" w:firstLine="560"/>
              <w:rPr>
                <w:rFonts w:ascii="宋体" w:hAnsi="宋体"/>
                <w:sz w:val="28"/>
                <w:szCs w:val="28"/>
              </w:rPr>
            </w:pPr>
            <w:r>
              <w:rPr>
                <w:rFonts w:ascii="宋体" w:hAnsi="宋体" w:hint="eastAsia"/>
                <w:sz w:val="28"/>
                <w:szCs w:val="28"/>
              </w:rPr>
              <w:t>公司药品制剂业务以中药口服制剂为主，治疗领域覆盖呼吸系统、心脑血管、消化系统、神经系统、生殖系统及妇科疾病，主要产品包括双黄连口服液系列、双金连合剂、小儿清热止咳口服液、小儿退热口服液、藿香正气合剂、金银花露、丹参口服液、生脉饮、小儿复方鸡内金咀嚼片、石杉碱甲片、五子衍宗口服液、复方益母口服液等。公司核心产品双黄连口服液多次被国家卫健委、中医药管理局列入重大疫情诊疗方案的推荐用药，是应对呼吸道传染性公共卫生事件的代表性用药之一，多次被评为“药店店员推荐率最高品牌（感冒药类）”。</w:t>
            </w:r>
          </w:p>
          <w:p w14:paraId="53EBEA57" w14:textId="77777777" w:rsidR="000B65A5" w:rsidRDefault="00632090">
            <w:pPr>
              <w:autoSpaceDE w:val="0"/>
              <w:spacing w:line="560" w:lineRule="exact"/>
              <w:ind w:firstLineChars="200" w:firstLine="560"/>
              <w:rPr>
                <w:rFonts w:ascii="宋体" w:hAnsi="宋体"/>
                <w:sz w:val="28"/>
                <w:szCs w:val="28"/>
              </w:rPr>
            </w:pPr>
            <w:r>
              <w:rPr>
                <w:rFonts w:ascii="宋体" w:hAnsi="宋体" w:hint="eastAsia"/>
                <w:sz w:val="28"/>
                <w:szCs w:val="28"/>
              </w:rPr>
              <w:t>全资子公司浙江桐君堂药业负责中药饮片业务的开展，主要产品为各种中药饮片，目前经营有700多个品种、1100多个品规，既包括白芨、麸炒白术、炙虎掌南星、太子参、麸炒薏苡仁、炒栀子等普通饮片，也包含特级灵芝、野山参、石斛、白首乌等精品饮片以及百药煎、六神曲等特色发酵饮片。桐君堂为国家级非物质文化遗产传承保护单位，“桐君堂”品牌为第三批中华老字号，生产的“药祖桐君”牌中药饮片在江浙地区具有较高的品牌美誉度和市场</w:t>
            </w:r>
            <w:r>
              <w:rPr>
                <w:rFonts w:ascii="宋体" w:hAnsi="宋体" w:hint="eastAsia"/>
                <w:sz w:val="28"/>
                <w:szCs w:val="28"/>
              </w:rPr>
              <w:lastRenderedPageBreak/>
              <w:t>占有率。桐君堂持续激活品牌势能，加大大健康产品的渠道布局，拓展下游“中药+”、“药食同源”市场，积极响应国家推动中医药传承创新的政策号召，紧抓全民健康意识提升带来的中医药养生市场新机遇。</w:t>
            </w:r>
          </w:p>
          <w:p w14:paraId="1C89F52F" w14:textId="77777777" w:rsidR="000B65A5" w:rsidRDefault="00632090">
            <w:pPr>
              <w:autoSpaceDE w:val="0"/>
              <w:spacing w:line="560" w:lineRule="exact"/>
              <w:ind w:firstLineChars="200" w:firstLine="560"/>
              <w:rPr>
                <w:rFonts w:ascii="宋体" w:hAnsi="宋体"/>
                <w:sz w:val="28"/>
                <w:szCs w:val="28"/>
              </w:rPr>
            </w:pPr>
            <w:r>
              <w:rPr>
                <w:rFonts w:ascii="宋体" w:hAnsi="宋体" w:hint="eastAsia"/>
                <w:sz w:val="28"/>
                <w:szCs w:val="28"/>
              </w:rPr>
              <w:t>子公司北京新领先负责药品研发服务业务的开展，连续多年获评“中国医药研发公司五十强企业”，致力于为制药企业和新药研发机构提供临床前药学研究、临床CRO研究、申报注册等药品研发全过程专业技术服务，转让研发成果，协助客户降低研发风险、缩短研发周期；服务领域涵盖仿制药开发、一致性评价及创新药临床研究、医疗器械临床研究、特医食品临床研究等方面的研发服务。</w:t>
            </w:r>
          </w:p>
          <w:p w14:paraId="6A0DD263" w14:textId="77777777" w:rsidR="000B65A5" w:rsidRDefault="00632090">
            <w:pPr>
              <w:autoSpaceDE w:val="0"/>
              <w:spacing w:line="560" w:lineRule="exact"/>
              <w:ind w:firstLineChars="200" w:firstLine="560"/>
              <w:rPr>
                <w:rFonts w:ascii="宋体" w:hAnsi="宋体"/>
                <w:sz w:val="28"/>
                <w:szCs w:val="28"/>
              </w:rPr>
            </w:pPr>
            <w:r>
              <w:rPr>
                <w:rFonts w:ascii="宋体" w:hAnsi="宋体" w:hint="eastAsia"/>
                <w:sz w:val="28"/>
                <w:szCs w:val="28"/>
              </w:rPr>
              <w:t>未来，公司将围绕医药大健康产业链，聚焦核心业务，贯彻“做强制剂、做优饮片、做精研发、拓展中药+”的经营思路，通过强化品牌建设和潜力品种培育、优化资源配置和提升研发效率、拓展下游大健康产品等举措提升公司内在质量，加强核心技术资源和战略性资源投入，创新商业模式，整合内外资源，保持发展战略的持续性和稳定性，推进公司长期高质成长。</w:t>
            </w:r>
          </w:p>
          <w:p w14:paraId="0A9845E1" w14:textId="77777777" w:rsidR="000B65A5" w:rsidRDefault="00632090">
            <w:pPr>
              <w:ind w:firstLineChars="200" w:firstLine="562"/>
              <w:rPr>
                <w:rFonts w:ascii="宋体" w:hAnsi="宋体"/>
                <w:b/>
                <w:bCs/>
                <w:sz w:val="28"/>
                <w:szCs w:val="24"/>
              </w:rPr>
            </w:pPr>
            <w:r>
              <w:rPr>
                <w:rFonts w:ascii="宋体" w:hAnsi="宋体" w:hint="eastAsia"/>
                <w:b/>
                <w:bCs/>
                <w:sz w:val="28"/>
                <w:szCs w:val="24"/>
              </w:rPr>
              <w:t>2.请介绍一下本次控制权拟变更及向特定对象发行的方案内容。</w:t>
            </w:r>
          </w:p>
          <w:p w14:paraId="509C2429" w14:textId="77777777" w:rsidR="000B65A5" w:rsidRDefault="00632090">
            <w:pPr>
              <w:ind w:firstLineChars="200" w:firstLine="560"/>
              <w:rPr>
                <w:rFonts w:ascii="宋体" w:hAnsi="宋体"/>
                <w:sz w:val="28"/>
                <w:szCs w:val="24"/>
              </w:rPr>
            </w:pPr>
            <w:r>
              <w:rPr>
                <w:rFonts w:ascii="宋体" w:hAnsi="宋体" w:hint="eastAsia"/>
                <w:sz w:val="28"/>
                <w:szCs w:val="24"/>
              </w:rPr>
              <w:t>答：关于本次公司控制权的变更，公司控股股东泰容产投与江药控股签署了《股份转让协议》，泰容产投将持有的上市公司5010万股股份（占公司当前总股本的8.73%）以11.043元/股的价格分两次交割转让给江药控股，总价款为5.53亿元。同时泰容产投与江药控股签署了《一致行动协议》，在第一次股份交割实施完成及《一</w:t>
            </w:r>
            <w:r>
              <w:rPr>
                <w:rFonts w:ascii="宋体" w:hAnsi="宋体" w:hint="eastAsia"/>
                <w:sz w:val="28"/>
                <w:szCs w:val="24"/>
              </w:rPr>
              <w:lastRenderedPageBreak/>
              <w:t>致行动协议》生效后，江药控股将持有公司4230万股股份（占公司当前总股本的7.37%），并通过一致行动安排合计控制公司14.37%的股份。公司的控股股东将由泰容产投变更为江药控股，实际控制人将由郑州高新技术产业开发区管理委员会变更为江西省国有资产监督管理委员会。</w:t>
            </w:r>
          </w:p>
          <w:p w14:paraId="32B4FAF6" w14:textId="77777777" w:rsidR="000B65A5" w:rsidRDefault="00632090">
            <w:pPr>
              <w:ind w:firstLineChars="200" w:firstLine="560"/>
              <w:rPr>
                <w:rFonts w:ascii="宋体" w:hAnsi="宋体"/>
                <w:sz w:val="28"/>
                <w:szCs w:val="24"/>
              </w:rPr>
            </w:pPr>
            <w:r>
              <w:rPr>
                <w:rFonts w:ascii="宋体" w:hAnsi="宋体" w:hint="eastAsia"/>
                <w:sz w:val="28"/>
                <w:szCs w:val="24"/>
              </w:rPr>
              <w:t>为进一步</w:t>
            </w:r>
            <w:r>
              <w:rPr>
                <w:rFonts w:ascii="sans-serif" w:eastAsia="sans-serif" w:hAnsi="sans-serif" w:cs="sans-serif"/>
                <w:sz w:val="30"/>
                <w:szCs w:val="30"/>
                <w:shd w:val="clear" w:color="auto" w:fill="FFFFFF"/>
              </w:rPr>
              <w:t>巩固</w:t>
            </w:r>
            <w:r>
              <w:rPr>
                <w:rFonts w:ascii="sans-serif" w:hAnsi="sans-serif" w:cs="sans-serif" w:hint="eastAsia"/>
                <w:sz w:val="30"/>
                <w:szCs w:val="30"/>
                <w:shd w:val="clear" w:color="auto" w:fill="FFFFFF"/>
              </w:rPr>
              <w:t>江药控股对上市公司的</w:t>
            </w:r>
            <w:r>
              <w:rPr>
                <w:rFonts w:ascii="sans-serif" w:eastAsia="sans-serif" w:hAnsi="sans-serif" w:cs="sans-serif"/>
                <w:sz w:val="30"/>
                <w:szCs w:val="30"/>
                <w:shd w:val="clear" w:color="auto" w:fill="FFFFFF"/>
              </w:rPr>
              <w:t>控制权，夯实产业协同</w:t>
            </w:r>
            <w:r>
              <w:rPr>
                <w:rFonts w:ascii="sans-serif" w:hAnsi="sans-serif" w:cs="sans-serif" w:hint="eastAsia"/>
                <w:sz w:val="30"/>
                <w:szCs w:val="30"/>
                <w:shd w:val="clear" w:color="auto" w:fill="FFFFFF"/>
              </w:rPr>
              <w:t>，公司</w:t>
            </w:r>
            <w:r>
              <w:rPr>
                <w:rFonts w:ascii="宋体" w:hAnsi="宋体" w:hint="eastAsia"/>
                <w:sz w:val="28"/>
                <w:szCs w:val="24"/>
              </w:rPr>
              <w:t>与江药控股签署了《附条件生效的股份认购协议》，即公司计划向江药控股发行部分A股股份。江药控股拟以现金方式全额认购公司向其发行的不超过7460.52万股股票（最终发行数量以中国证监会同意注册的为准）。本次发行的募集资金公司将用于补充流动资金及偿还有息负债。</w:t>
            </w:r>
          </w:p>
          <w:p w14:paraId="2479A2BE" w14:textId="6962931B" w:rsidR="000B65A5" w:rsidRDefault="00632090">
            <w:pPr>
              <w:ind w:firstLineChars="200" w:firstLine="560"/>
              <w:rPr>
                <w:rFonts w:ascii="宋体" w:hAnsi="宋体"/>
                <w:sz w:val="28"/>
                <w:szCs w:val="24"/>
              </w:rPr>
            </w:pPr>
            <w:r>
              <w:rPr>
                <w:rFonts w:ascii="宋体" w:hAnsi="宋体" w:hint="eastAsia"/>
                <w:sz w:val="28"/>
                <w:szCs w:val="24"/>
              </w:rPr>
              <w:t>在不考虑其他因素导致股本数量变动的情况下，本次协议转让及本次向特定对象发行股票完成后，按发行上限计算，江药控股将持有太龙药业1.25亿股股份，占公司发行后总股本的19.23%。</w:t>
            </w:r>
            <w:r w:rsidR="0066506A" w:rsidRPr="0066506A">
              <w:rPr>
                <w:rFonts w:ascii="宋体" w:hAnsi="宋体" w:hint="eastAsia"/>
                <w:sz w:val="28"/>
                <w:szCs w:val="24"/>
              </w:rPr>
              <w:t>本次交易尚需取得有权国资主管部门的审核批准</w:t>
            </w:r>
            <w:r w:rsidR="0066506A">
              <w:rPr>
                <w:rFonts w:ascii="宋体" w:hAnsi="宋体" w:hint="eastAsia"/>
                <w:sz w:val="28"/>
                <w:szCs w:val="24"/>
              </w:rPr>
              <w:t>；</w:t>
            </w:r>
            <w:r w:rsidR="0066506A" w:rsidRPr="0066506A">
              <w:rPr>
                <w:rFonts w:ascii="宋体" w:hAnsi="宋体" w:hint="eastAsia"/>
                <w:sz w:val="28"/>
                <w:szCs w:val="24"/>
              </w:rPr>
              <w:t>尚需取得国家市场监督管理总局对本次交易涉及经营者集中审查通过</w:t>
            </w:r>
            <w:r w:rsidR="0066506A">
              <w:rPr>
                <w:rFonts w:ascii="宋体" w:hAnsi="宋体" w:hint="eastAsia"/>
                <w:sz w:val="28"/>
                <w:szCs w:val="24"/>
              </w:rPr>
              <w:t>；</w:t>
            </w:r>
            <w:r w:rsidR="0066506A" w:rsidRPr="0066506A">
              <w:rPr>
                <w:rFonts w:ascii="宋体" w:hAnsi="宋体" w:hint="eastAsia"/>
                <w:sz w:val="28"/>
                <w:szCs w:val="24"/>
              </w:rPr>
              <w:t>本次协议转</w:t>
            </w:r>
            <w:r w:rsidR="0066506A">
              <w:rPr>
                <w:rFonts w:ascii="宋体" w:hAnsi="宋体" w:hint="eastAsia"/>
                <w:sz w:val="28"/>
                <w:szCs w:val="24"/>
              </w:rPr>
              <w:t>让</w:t>
            </w:r>
            <w:r w:rsidR="0066506A" w:rsidRPr="0066506A">
              <w:rPr>
                <w:rFonts w:ascii="宋体" w:hAnsi="宋体" w:hint="eastAsia"/>
                <w:sz w:val="28"/>
                <w:szCs w:val="24"/>
              </w:rPr>
              <w:t>事宜尚需通过上海证券交易所的合规性确认并在中国证券登记结算有限责任公司办理股份过户登记等手续。</w:t>
            </w:r>
            <w:r>
              <w:rPr>
                <w:rFonts w:ascii="宋体" w:hAnsi="宋体" w:hint="eastAsia"/>
                <w:sz w:val="28"/>
                <w:szCs w:val="24"/>
              </w:rPr>
              <w:t>本次向特定对象发行股份事项尚需取得有权国资主管部门批准、经营者集中审查通过、公司股东会审议通过、上海证券交易所审核通过及中国证券监督管理委员会同意注册后方可实施。</w:t>
            </w:r>
            <w:r w:rsidR="0066506A">
              <w:rPr>
                <w:rFonts w:ascii="宋体" w:hAnsi="宋体" w:hint="eastAsia"/>
                <w:sz w:val="28"/>
                <w:szCs w:val="24"/>
              </w:rPr>
              <w:t>上述</w:t>
            </w:r>
            <w:r>
              <w:rPr>
                <w:rFonts w:ascii="宋体" w:hAnsi="宋体" w:hint="eastAsia"/>
                <w:sz w:val="28"/>
                <w:szCs w:val="24"/>
              </w:rPr>
              <w:t>事项能否获得相关的批准或核准，以及获得相关批准或核准的时间存在不确定性。请广大投资者注意</w:t>
            </w:r>
            <w:r>
              <w:rPr>
                <w:rFonts w:ascii="宋体" w:hAnsi="宋体" w:hint="eastAsia"/>
                <w:sz w:val="28"/>
                <w:szCs w:val="24"/>
              </w:rPr>
              <w:lastRenderedPageBreak/>
              <w:t>投资风险。</w:t>
            </w:r>
          </w:p>
          <w:p w14:paraId="10B58280" w14:textId="77777777" w:rsidR="000B65A5" w:rsidRDefault="00632090">
            <w:pPr>
              <w:ind w:firstLineChars="200" w:firstLine="562"/>
              <w:rPr>
                <w:rFonts w:ascii="宋体" w:hAnsi="宋体"/>
                <w:b/>
                <w:bCs/>
                <w:sz w:val="28"/>
                <w:szCs w:val="24"/>
              </w:rPr>
            </w:pPr>
            <w:bookmarkStart w:id="0" w:name="_Hlk217049744"/>
            <w:r>
              <w:rPr>
                <w:rFonts w:ascii="宋体" w:hAnsi="宋体"/>
                <w:b/>
                <w:bCs/>
                <w:sz w:val="28"/>
                <w:szCs w:val="24"/>
              </w:rPr>
              <w:t>3</w:t>
            </w:r>
            <w:r>
              <w:rPr>
                <w:rFonts w:ascii="宋体" w:hAnsi="宋体" w:hint="eastAsia"/>
                <w:b/>
                <w:bCs/>
                <w:sz w:val="28"/>
                <w:szCs w:val="24"/>
              </w:rPr>
              <w:t>.若控制权变更顺利实施，请介绍一下关于未来新控股股东江药控股及江药集团的基本情况以及本次控制权拟变更的背景。</w:t>
            </w:r>
          </w:p>
          <w:p w14:paraId="1E5C2D10" w14:textId="66335061" w:rsidR="000B65A5" w:rsidRDefault="00632090">
            <w:pPr>
              <w:ind w:firstLineChars="200" w:firstLine="560"/>
              <w:rPr>
                <w:rFonts w:ascii="宋体" w:hAnsi="宋体"/>
                <w:sz w:val="28"/>
                <w:szCs w:val="24"/>
              </w:rPr>
            </w:pPr>
            <w:r>
              <w:rPr>
                <w:rFonts w:ascii="宋体" w:hAnsi="宋体" w:hint="eastAsia"/>
                <w:sz w:val="28"/>
                <w:szCs w:val="24"/>
              </w:rPr>
              <w:t>答：江药控股成立于2025年，主营业务为药品批发、企业总部管理。江药控股的控股股东为江药集团有限公司，实际控制人为江西省国有资产监督管理委员会。江药集团成立于2018年12月24日，是江西省属国有企业，注册资本7.5亿元，为国内院外医药商业领域的代表性企业。江药集团</w:t>
            </w:r>
            <w:r w:rsidR="00EE2A2B" w:rsidRPr="00297DEE">
              <w:rPr>
                <w:rFonts w:asciiTheme="minorEastAsia" w:hAnsiTheme="minorEastAsia" w:hint="eastAsia"/>
                <w:sz w:val="28"/>
                <w:szCs w:val="24"/>
              </w:rPr>
              <w:t>坚持以院外市场纯销型医药商业为切入点，全面拓展医药商业、医药零售、医药电商以及医药工业，致力于打造全品类、全渠道、全产业链以及全国市场布局的现代医药健康产业生态。</w:t>
            </w:r>
          </w:p>
          <w:p w14:paraId="51397A01" w14:textId="63B0979C" w:rsidR="000B65A5" w:rsidRDefault="00EE2A2B">
            <w:pPr>
              <w:ind w:firstLineChars="200" w:firstLine="560"/>
              <w:rPr>
                <w:rFonts w:ascii="宋体" w:hAnsi="宋体"/>
                <w:sz w:val="28"/>
                <w:szCs w:val="24"/>
              </w:rPr>
            </w:pPr>
            <w:r>
              <w:rPr>
                <w:rFonts w:ascii="宋体" w:hAnsi="宋体" w:hint="eastAsia"/>
                <w:sz w:val="28"/>
                <w:szCs w:val="24"/>
              </w:rPr>
              <w:t>医药</w:t>
            </w:r>
            <w:r w:rsidR="00632090">
              <w:rPr>
                <w:rFonts w:ascii="宋体" w:hAnsi="宋体" w:hint="eastAsia"/>
                <w:sz w:val="28"/>
                <w:szCs w:val="24"/>
              </w:rPr>
              <w:t>商业板块方面，根据江药集团提供的信息及工商信息显示，当前其在江西、山东、河南、四川、江苏、河北、广东、山西等省份设立了13家医药商业成员企业，</w:t>
            </w:r>
            <w:bookmarkStart w:id="1" w:name="OLE_LINK2"/>
            <w:r w:rsidR="00632090">
              <w:rPr>
                <w:rFonts w:ascii="宋体" w:hAnsi="宋体" w:hint="eastAsia"/>
                <w:sz w:val="28"/>
                <w:szCs w:val="24"/>
              </w:rPr>
              <w:t>合作供应商1.5万余家，拥有近3000人专职销售团队，深度覆盖1200余个区县，服务院外终端客户超30万家。</w:t>
            </w:r>
            <w:bookmarkEnd w:id="1"/>
            <w:r>
              <w:rPr>
                <w:rFonts w:ascii="宋体" w:hAnsi="宋体" w:hint="eastAsia"/>
                <w:sz w:val="28"/>
                <w:szCs w:val="24"/>
              </w:rPr>
              <w:t>医药</w:t>
            </w:r>
            <w:r w:rsidR="00632090">
              <w:rPr>
                <w:rFonts w:ascii="宋体" w:hAnsi="宋体" w:hint="eastAsia"/>
                <w:sz w:val="28"/>
                <w:szCs w:val="24"/>
              </w:rPr>
              <w:t>零售方面，江药集团旗下的江药堂大药房，依托全国院外纯销平台优势，整合库存、配送、渠道及供应链资源，采用“控股+参股+直营+加盟”多元合作模式布局全国连锁网络。在</w:t>
            </w:r>
            <w:r>
              <w:rPr>
                <w:rFonts w:ascii="宋体" w:hAnsi="宋体" w:hint="eastAsia"/>
                <w:sz w:val="28"/>
                <w:szCs w:val="24"/>
              </w:rPr>
              <w:t>医药</w:t>
            </w:r>
            <w:r w:rsidR="00632090">
              <w:rPr>
                <w:rFonts w:ascii="宋体" w:hAnsi="宋体" w:hint="eastAsia"/>
                <w:sz w:val="28"/>
                <w:szCs w:val="24"/>
              </w:rPr>
              <w:t>电商板块，江药集团旗下共享型医药电商运营载体“江药多多”，以自有企业互联技术底座和全国多仓协同体系为支撑，实现商户库存共享、品种共销，提供“买全国，卖全国”一站式交易服务。未来将持续迭代平台功能，助力传统商业数字化升级。</w:t>
            </w:r>
          </w:p>
          <w:p w14:paraId="6B8CB981" w14:textId="77777777" w:rsidR="000B65A5" w:rsidRDefault="00632090">
            <w:pPr>
              <w:ind w:firstLineChars="200" w:firstLine="560"/>
              <w:rPr>
                <w:rFonts w:ascii="宋体" w:hAnsi="宋体"/>
                <w:sz w:val="28"/>
                <w:szCs w:val="24"/>
              </w:rPr>
            </w:pPr>
            <w:r>
              <w:rPr>
                <w:rFonts w:ascii="宋体" w:hAnsi="宋体" w:hint="eastAsia"/>
                <w:sz w:val="28"/>
                <w:szCs w:val="24"/>
              </w:rPr>
              <w:lastRenderedPageBreak/>
              <w:t>医药产业是江西省重点发展的战略性新兴产业之一，江药集团的诞生、发展及组织架构都承载着推动江西省及国家医药产业发展的多重责任与使命，结合江药集团打造全品类、全渠道、全产业链以及全国市场布局的现代医药健康产业生态的企业目标及愿景，同时基于以上在医药商业方面的布局，近年来江药集团筹划向医药工业方面进行重点延展。太龙药业在中医药、CXO、大健康等领域的战略发展以及在医药产业链上布局与江药集团的发展规划不谋而合，产业可高度协同，因此基于对上市公司价值的认可及其未来发展的信心，经与泰容产投等积极沟通，为更好的推进太龙药业在上述战略规划的实施与产业资源的赋能增量，江药集团决定通过协议转让及一致行动安排取得上市公司的控制权。</w:t>
            </w:r>
          </w:p>
          <w:p w14:paraId="12257074" w14:textId="77777777" w:rsidR="000B65A5" w:rsidRDefault="00632090">
            <w:pPr>
              <w:ind w:firstLineChars="200" w:firstLine="562"/>
              <w:rPr>
                <w:rFonts w:ascii="宋体" w:hAnsi="宋体"/>
                <w:b/>
                <w:bCs/>
                <w:sz w:val="28"/>
                <w:szCs w:val="24"/>
              </w:rPr>
            </w:pPr>
            <w:r>
              <w:rPr>
                <w:rFonts w:ascii="宋体" w:hAnsi="宋体"/>
                <w:b/>
                <w:bCs/>
                <w:sz w:val="28"/>
                <w:szCs w:val="24"/>
              </w:rPr>
              <w:t>4</w:t>
            </w:r>
            <w:r>
              <w:rPr>
                <w:rFonts w:ascii="宋体" w:hAnsi="宋体" w:hint="eastAsia"/>
                <w:b/>
                <w:bCs/>
                <w:sz w:val="28"/>
                <w:szCs w:val="24"/>
              </w:rPr>
              <w:t>.目前太龙的主要产品在销售渠道方面是如何布局的？后续若江药入主之后预计会有哪些变化或协同？</w:t>
            </w:r>
          </w:p>
          <w:p w14:paraId="038FA8BF" w14:textId="77777777" w:rsidR="000B65A5" w:rsidRDefault="00632090">
            <w:pPr>
              <w:ind w:firstLineChars="200" w:firstLine="560"/>
              <w:rPr>
                <w:rFonts w:ascii="宋体" w:hAnsi="宋体"/>
                <w:sz w:val="28"/>
                <w:szCs w:val="24"/>
              </w:rPr>
            </w:pPr>
            <w:r>
              <w:rPr>
                <w:rFonts w:ascii="宋体" w:hAnsi="宋体" w:hint="eastAsia"/>
                <w:sz w:val="28"/>
                <w:szCs w:val="24"/>
              </w:rPr>
              <w:t>答：当前在院内市场，公司主要以双黄连口服液系列、丹参口服液两个中标全国中成药采购联盟集中采购的产品，以及小儿复方鸡内金咀嚼片、小儿清热止咳口服液及小儿退热口服液等儿童药系列产品为主；OTC方面则以藿香正气合剂、五子衍宗口服液等产品为重点，与百强连锁携手，加大品牌在终端的宣传力度；在第三终端，公司以双金连合剂和乌金口服液作为重点，以此三线并举，来实现产品组合在等级医院、基层医疗、零售终端的立体化覆盖。</w:t>
            </w:r>
          </w:p>
          <w:p w14:paraId="61ACF5FB" w14:textId="77777777" w:rsidR="000B65A5" w:rsidRDefault="00632090">
            <w:pPr>
              <w:ind w:firstLineChars="200" w:firstLine="560"/>
              <w:rPr>
                <w:rFonts w:ascii="宋体" w:hAnsi="宋体"/>
                <w:sz w:val="28"/>
                <w:szCs w:val="24"/>
              </w:rPr>
            </w:pPr>
            <w:r>
              <w:rPr>
                <w:rFonts w:ascii="宋体" w:hAnsi="宋体" w:hint="eastAsia"/>
                <w:sz w:val="28"/>
                <w:szCs w:val="24"/>
              </w:rPr>
              <w:t>若相关协议顺利推进实施并交割，江药控股入主后，一是公司将持续聚焦中医药、</w:t>
            </w:r>
            <w:r>
              <w:rPr>
                <w:rFonts w:ascii="宋体" w:hAnsi="宋体"/>
                <w:sz w:val="28"/>
                <w:szCs w:val="24"/>
              </w:rPr>
              <w:t>CXO</w:t>
            </w:r>
            <w:r>
              <w:rPr>
                <w:rFonts w:ascii="宋体" w:hAnsi="宋体" w:hint="eastAsia"/>
                <w:sz w:val="28"/>
                <w:szCs w:val="24"/>
              </w:rPr>
              <w:t>及大健康领域，保持战略发展的持续性和</w:t>
            </w:r>
            <w:r>
              <w:rPr>
                <w:rFonts w:ascii="宋体" w:hAnsi="宋体" w:hint="eastAsia"/>
                <w:sz w:val="28"/>
                <w:szCs w:val="24"/>
              </w:rPr>
              <w:lastRenderedPageBreak/>
              <w:t>稳定性，并与江药控股推进实现战略、文化、组织层面融合协同；二是业务赋能，从产品维度来看，公司大多品种都具备双跨的属性，随着分级诊疗等相关政策的逐步实施，结合处方药院外市场加速趋势，以及患者和消费者对健康保健的需求提升，公司可借助江药集团的布局网络进一步提升现有优势产品的渠道渗透率与市场占有率，并激活其他非优势产品的产能及销售。从渠道维度来看，公司销售市场以国内中大型城市为主，在华东及华中地区覆盖率较高，而江药集团拥有成熟的院外纯销及基层医疗营销体系，在华南、西南等区域以及整体的基层医疗方面能与上市公司形成有效互补，进一步提升公司的下沉渠道覆盖及终端掌控能力。从工业效能维度，医药工业中的“以销定产”是一种核心的生产管理模式，制造企业往往根据实际销售数据、市场需求预测以及库存状况来制定和调整生产计划。江药集团在医药产业链下游及商业数据方面有先天的优势，能更好地推动上市公司各业务板块实现供需精准匹配，提升并释放上市公司产能。三是管理赋能和品牌打造，江药集团作为省级国有控股的产业平台，兼具国有企业的治理优势和市场化运营的灵活机制，可在风险管理、业务拓展、运营组织、员工激励层面为公司提供经验，提升公司治理水平；同时，也可借助江药集团的产业链资源充分挖掘公司及子公司在下沉市场的品牌内涵，提高认知度及大健康领域的品牌声量。</w:t>
            </w:r>
          </w:p>
          <w:p w14:paraId="5BDEBF67" w14:textId="77777777" w:rsidR="000B65A5" w:rsidRDefault="00632090">
            <w:pPr>
              <w:ind w:firstLineChars="200" w:firstLine="562"/>
              <w:rPr>
                <w:rFonts w:ascii="宋体" w:hAnsi="宋体"/>
                <w:b/>
                <w:bCs/>
                <w:sz w:val="28"/>
                <w:szCs w:val="24"/>
              </w:rPr>
            </w:pPr>
            <w:r>
              <w:rPr>
                <w:rFonts w:ascii="宋体" w:hAnsi="宋体"/>
                <w:b/>
                <w:bCs/>
                <w:sz w:val="28"/>
                <w:szCs w:val="24"/>
              </w:rPr>
              <w:t>5</w:t>
            </w:r>
            <w:r>
              <w:rPr>
                <w:rFonts w:ascii="宋体" w:hAnsi="宋体" w:hint="eastAsia"/>
                <w:b/>
                <w:bCs/>
                <w:sz w:val="28"/>
                <w:szCs w:val="24"/>
              </w:rPr>
              <w:t>.若实控权变更完成，</w:t>
            </w:r>
            <w:r>
              <w:rPr>
                <w:rFonts w:hint="eastAsia"/>
                <w:b/>
                <w:sz w:val="28"/>
              </w:rPr>
              <w:t>太龙药业后续各业务发展有什么规划或调整？</w:t>
            </w:r>
          </w:p>
          <w:p w14:paraId="52F3FFE4" w14:textId="77777777" w:rsidR="000B65A5" w:rsidRDefault="00632090">
            <w:pPr>
              <w:ind w:firstLineChars="200" w:firstLine="560"/>
              <w:rPr>
                <w:rFonts w:ascii="宋体" w:hAnsi="宋体"/>
                <w:sz w:val="28"/>
                <w:szCs w:val="24"/>
              </w:rPr>
            </w:pPr>
            <w:r>
              <w:rPr>
                <w:rFonts w:ascii="宋体" w:hAnsi="宋体" w:hint="eastAsia"/>
                <w:sz w:val="28"/>
                <w:szCs w:val="24"/>
              </w:rPr>
              <w:lastRenderedPageBreak/>
              <w:t>答：鉴于目前各方尚在积极推进相关事项的审批程序中，关于公司后续的业务发展规划，若控制权变更顺利实施，双方会紧密结合行业发展动态、市场环境变化及公司经营情况进行探讨和筹划，审慎、稳步推进公司中长期发展。例如：多措并举搭建品牌普药研产销体系，完善延展公司存量产品院外销售渠道，实现院内院外双轮驱动</w:t>
            </w:r>
            <w:bookmarkStart w:id="2" w:name="OLE_LINK11"/>
            <w:r>
              <w:rPr>
                <w:rFonts w:ascii="宋体" w:hAnsi="宋体" w:hint="eastAsia"/>
                <w:sz w:val="28"/>
                <w:szCs w:val="24"/>
              </w:rPr>
              <w:t>；</w:t>
            </w:r>
            <w:bookmarkEnd w:id="2"/>
            <w:r>
              <w:rPr>
                <w:rFonts w:ascii="宋体" w:hAnsi="宋体" w:hint="eastAsia"/>
                <w:sz w:val="28"/>
                <w:szCs w:val="24"/>
              </w:rPr>
              <w:t>在充分论证的基础上，对满足生产可行、成本可控以及销售可能的沉睡批文逐步激活，丰富公司产品组合；通过资本运作或批文引入，补充丰富中药细分领域或大健康领域产品管线；依托控股子公司北京新领先研发平台，加大精品普药研发，二次开发经典名方，打造品类标杆；加大桐君堂品牌宣传，通过“中药</w:t>
            </w:r>
            <w:r>
              <w:rPr>
                <w:rFonts w:ascii="宋体" w:hAnsi="宋体"/>
                <w:sz w:val="28"/>
                <w:szCs w:val="24"/>
              </w:rPr>
              <w:t>+</w:t>
            </w:r>
            <w:r>
              <w:rPr>
                <w:rFonts w:ascii="宋体" w:hAnsi="宋体" w:hint="eastAsia"/>
                <w:sz w:val="28"/>
                <w:szCs w:val="24"/>
              </w:rPr>
              <w:t>”、“药食同源”提升大健康产品、定装饮片业务的拓展，渗透健康消费市场；支持新领先药品研发服务与自主立项，通过业务协同、产业基金等渠道加大新领先在创新药、生物药及前沿制剂的临床业务商业机会，同时根据一线数据提前储备商业化效益较好，附加值较高的自主立项产品，构建“研发突破-成果转化-营收增长”的创新闭环等。</w:t>
            </w:r>
          </w:p>
          <w:p w14:paraId="736539ED" w14:textId="0A915EC9" w:rsidR="000B65A5" w:rsidRDefault="00632090">
            <w:pPr>
              <w:ind w:firstLineChars="200" w:firstLine="600"/>
              <w:rPr>
                <w:rFonts w:ascii="宋体" w:hAnsi="宋体"/>
                <w:sz w:val="28"/>
                <w:szCs w:val="24"/>
              </w:rPr>
            </w:pPr>
            <w:r>
              <w:rPr>
                <w:rFonts w:ascii="Arial" w:hAnsi="Arial" w:cs="Arial"/>
                <w:sz w:val="30"/>
                <w:szCs w:val="30"/>
                <w:shd w:val="clear" w:color="auto" w:fill="FFFFFF"/>
              </w:rPr>
              <w:t>具体的</w:t>
            </w:r>
            <w:r>
              <w:rPr>
                <w:rFonts w:ascii="Arial" w:hAnsi="Arial" w:cs="Arial" w:hint="eastAsia"/>
                <w:sz w:val="30"/>
                <w:szCs w:val="30"/>
                <w:shd w:val="clear" w:color="auto" w:fill="FFFFFF"/>
              </w:rPr>
              <w:t>业务协同方向及模式</w:t>
            </w:r>
            <w:r>
              <w:rPr>
                <w:rFonts w:ascii="Arial" w:hAnsi="Arial" w:cs="Arial"/>
                <w:sz w:val="30"/>
                <w:szCs w:val="30"/>
                <w:shd w:val="clear" w:color="auto" w:fill="FFFFFF"/>
              </w:rPr>
              <w:t>均需</w:t>
            </w:r>
            <w:r w:rsidRPr="00632090">
              <w:rPr>
                <w:rFonts w:ascii="Arial" w:hAnsi="Arial" w:cs="Arial" w:hint="eastAsia"/>
                <w:sz w:val="30"/>
                <w:szCs w:val="30"/>
                <w:shd w:val="clear" w:color="auto" w:fill="FFFFFF"/>
              </w:rPr>
              <w:t>待相关事项取得批准或核准后，</w:t>
            </w:r>
            <w:r>
              <w:rPr>
                <w:rFonts w:ascii="Arial" w:hAnsi="Arial" w:cs="Arial"/>
                <w:sz w:val="30"/>
                <w:szCs w:val="30"/>
                <w:shd w:val="clear" w:color="auto" w:fill="FFFFFF"/>
              </w:rPr>
              <w:t>双方在后续深入沟通中协商确定。后续公司将通过定期报告</w:t>
            </w:r>
            <w:r>
              <w:rPr>
                <w:rFonts w:ascii="Arial" w:hAnsi="Arial" w:cs="Arial" w:hint="eastAsia"/>
                <w:sz w:val="30"/>
                <w:szCs w:val="30"/>
                <w:shd w:val="clear" w:color="auto" w:fill="FFFFFF"/>
              </w:rPr>
              <w:t>或</w:t>
            </w:r>
            <w:r>
              <w:rPr>
                <w:rFonts w:ascii="Arial" w:hAnsi="Arial" w:cs="Arial"/>
                <w:sz w:val="30"/>
                <w:szCs w:val="30"/>
                <w:shd w:val="clear" w:color="auto" w:fill="FFFFFF"/>
              </w:rPr>
              <w:t>有关临时公告</w:t>
            </w:r>
            <w:r>
              <w:rPr>
                <w:rFonts w:ascii="Arial" w:hAnsi="Arial" w:cs="Arial" w:hint="eastAsia"/>
                <w:sz w:val="30"/>
                <w:szCs w:val="30"/>
                <w:shd w:val="clear" w:color="auto" w:fill="FFFFFF"/>
              </w:rPr>
              <w:t>的</w:t>
            </w:r>
            <w:r>
              <w:rPr>
                <w:rFonts w:ascii="Arial" w:hAnsi="Arial" w:cs="Arial"/>
                <w:sz w:val="30"/>
                <w:szCs w:val="30"/>
                <w:shd w:val="clear" w:color="auto" w:fill="FFFFFF"/>
              </w:rPr>
              <w:t>形式及时履行信披义务，烦请持续关注。</w:t>
            </w:r>
            <w:bookmarkEnd w:id="0"/>
          </w:p>
          <w:p w14:paraId="53A65654" w14:textId="77777777" w:rsidR="000B65A5" w:rsidRDefault="00632090">
            <w:pPr>
              <w:ind w:firstLineChars="200" w:firstLine="562"/>
              <w:rPr>
                <w:rFonts w:ascii="宋体" w:hAnsi="宋体"/>
                <w:b/>
                <w:bCs/>
                <w:sz w:val="28"/>
                <w:szCs w:val="24"/>
              </w:rPr>
            </w:pPr>
            <w:r>
              <w:rPr>
                <w:rFonts w:ascii="宋体" w:hAnsi="宋体"/>
                <w:b/>
                <w:bCs/>
                <w:sz w:val="28"/>
                <w:szCs w:val="24"/>
              </w:rPr>
              <w:t>6</w:t>
            </w:r>
            <w:r>
              <w:rPr>
                <w:rFonts w:ascii="宋体" w:hAnsi="宋体" w:hint="eastAsia"/>
                <w:b/>
                <w:bCs/>
                <w:sz w:val="28"/>
                <w:szCs w:val="24"/>
              </w:rPr>
              <w:t>.公司后续在员工持股或股权激励方面有什么安排？</w:t>
            </w:r>
          </w:p>
          <w:p w14:paraId="54FC2FF1" w14:textId="77777777" w:rsidR="000B65A5" w:rsidRDefault="00632090">
            <w:pPr>
              <w:ind w:firstLineChars="200" w:firstLine="560"/>
              <w:rPr>
                <w:rFonts w:ascii="宋体" w:hAnsi="宋体"/>
                <w:sz w:val="28"/>
                <w:szCs w:val="24"/>
              </w:rPr>
            </w:pPr>
            <w:r>
              <w:rPr>
                <w:rFonts w:ascii="宋体" w:hAnsi="宋体" w:hint="eastAsia"/>
                <w:sz w:val="28"/>
                <w:szCs w:val="24"/>
              </w:rPr>
              <w:t>答：公司一贯重视人才建设培养及中长期激励机制的建设与完善，实施员工持股计划能有效提高员工对公司未来发展的信心和对</w:t>
            </w:r>
            <w:r>
              <w:rPr>
                <w:rFonts w:ascii="宋体" w:hAnsi="宋体" w:hint="eastAsia"/>
                <w:sz w:val="28"/>
                <w:szCs w:val="24"/>
              </w:rPr>
              <w:lastRenderedPageBreak/>
              <w:t>公司价值的认可，充分调动公司员工的积极性，有效地将股东利益、公司利益和员工个人利益紧密结合，促进公司未来健康可持续发展。公司自上市以来已累计实施三期员工持股计划，目前公司回购专用证券账户中仍有部分公司股份可用于员工持股及股权激励。未来公司将结合实际情况及国资体系和证监体系相关规则的规定，进一步完善公司中长期激励政策，适时启动员工持股或股权激励，并及时履行信息披露义务。</w:t>
            </w:r>
          </w:p>
          <w:p w14:paraId="34554E27" w14:textId="77777777" w:rsidR="000B65A5" w:rsidRDefault="00632090">
            <w:pPr>
              <w:ind w:firstLineChars="200" w:firstLine="562"/>
              <w:rPr>
                <w:rFonts w:ascii="宋体" w:hAnsi="宋体"/>
                <w:b/>
                <w:bCs/>
                <w:sz w:val="28"/>
                <w:szCs w:val="24"/>
              </w:rPr>
            </w:pPr>
            <w:r>
              <w:rPr>
                <w:rFonts w:ascii="宋体" w:hAnsi="宋体"/>
                <w:b/>
                <w:bCs/>
                <w:sz w:val="28"/>
                <w:szCs w:val="24"/>
              </w:rPr>
              <w:t>7</w:t>
            </w:r>
            <w:r>
              <w:rPr>
                <w:rFonts w:ascii="宋体" w:hAnsi="宋体" w:hint="eastAsia"/>
                <w:b/>
                <w:bCs/>
                <w:sz w:val="28"/>
                <w:szCs w:val="24"/>
              </w:rPr>
              <w:t>.现在集采执标进展怎么样了？公司中标产品价格降幅情况如何？</w:t>
            </w:r>
          </w:p>
          <w:p w14:paraId="0E387987" w14:textId="77777777" w:rsidR="000B65A5" w:rsidRDefault="00632090">
            <w:pPr>
              <w:ind w:firstLineChars="200" w:firstLine="560"/>
              <w:rPr>
                <w:rFonts w:ascii="宋体" w:hAnsi="宋体"/>
                <w:sz w:val="28"/>
                <w:szCs w:val="24"/>
              </w:rPr>
            </w:pPr>
            <w:r>
              <w:rPr>
                <w:rFonts w:ascii="宋体" w:hAnsi="宋体" w:hint="eastAsia"/>
                <w:sz w:val="28"/>
                <w:szCs w:val="24"/>
              </w:rPr>
              <w:t>答：公司双黄连口服液系列和丹参口服液参加了全国中成药采购联盟集中采购，并成功中选；目前各省份执标工作正在有序推进中，虽然产品价格下降对公司毛利率产生了一定的影响，但公司中标产品集采有效期为三年，长期来看集采中标有利于提升公司产品在医疗机构的覆盖面，助力公司提高市场占有率及公司品牌影响力，也有利于公司进一步推广系列产品，提高公司二线梯队产品渠道的覆盖。</w:t>
            </w:r>
          </w:p>
          <w:p w14:paraId="791AE8FD" w14:textId="77777777" w:rsidR="000B65A5" w:rsidRDefault="00632090">
            <w:pPr>
              <w:ind w:firstLineChars="200" w:firstLine="562"/>
              <w:rPr>
                <w:rFonts w:ascii="宋体" w:hAnsi="宋体"/>
                <w:b/>
                <w:bCs/>
                <w:sz w:val="28"/>
                <w:szCs w:val="24"/>
              </w:rPr>
            </w:pPr>
            <w:r>
              <w:rPr>
                <w:rFonts w:ascii="宋体" w:hAnsi="宋体"/>
                <w:b/>
                <w:bCs/>
                <w:sz w:val="28"/>
                <w:szCs w:val="24"/>
              </w:rPr>
              <w:t>8</w:t>
            </w:r>
            <w:r>
              <w:rPr>
                <w:rFonts w:ascii="宋体" w:hAnsi="宋体" w:hint="eastAsia"/>
                <w:b/>
                <w:bCs/>
                <w:sz w:val="28"/>
                <w:szCs w:val="24"/>
              </w:rPr>
              <w:t>.公司计划在三季度进行分红，后续的分红安排是怎样的？</w:t>
            </w:r>
          </w:p>
          <w:p w14:paraId="28DB8DF9" w14:textId="77777777" w:rsidR="000B65A5" w:rsidRDefault="00632090">
            <w:pPr>
              <w:ind w:firstLineChars="200" w:firstLine="560"/>
              <w:rPr>
                <w:rFonts w:ascii="宋体" w:hAnsi="宋体"/>
                <w:sz w:val="28"/>
                <w:szCs w:val="24"/>
              </w:rPr>
            </w:pPr>
            <w:r>
              <w:rPr>
                <w:rFonts w:ascii="宋体" w:hAnsi="宋体" w:hint="eastAsia"/>
                <w:sz w:val="28"/>
                <w:szCs w:val="24"/>
              </w:rPr>
              <w:t>答：为推动全体股东共享公司经营发展成果，经公司董事会及股东会审议通过，公司拟实施2025年前三季度利润分配，拟向全体股东每10股派发现金红利0.14元，以此计算合计拟派发现金红利7,740,942.76元(含税)。</w:t>
            </w:r>
          </w:p>
          <w:p w14:paraId="04A1E345" w14:textId="77777777" w:rsidR="000B65A5" w:rsidRDefault="00632090">
            <w:pPr>
              <w:ind w:firstLineChars="200" w:firstLine="560"/>
              <w:rPr>
                <w:rFonts w:ascii="宋体" w:hAnsi="宋体"/>
                <w:sz w:val="28"/>
                <w:szCs w:val="24"/>
              </w:rPr>
            </w:pPr>
            <w:r>
              <w:rPr>
                <w:rFonts w:ascii="宋体" w:hAnsi="宋体" w:hint="eastAsia"/>
                <w:sz w:val="28"/>
                <w:szCs w:val="24"/>
              </w:rPr>
              <w:t>公司将在中国证监会、上海证券交易所相关规定及《公司章程》</w:t>
            </w:r>
            <w:r>
              <w:rPr>
                <w:rFonts w:ascii="宋体" w:hAnsi="宋体" w:hint="eastAsia"/>
                <w:sz w:val="28"/>
                <w:szCs w:val="24"/>
              </w:rPr>
              <w:lastRenderedPageBreak/>
              <w:t>的指导下，结合业务发展规划及未来资金需求，在符合利润分配原则、保障正常经营和长远发展的前提下，持续落实“长期、稳定、可持续”的股东价值回报机制，通过稳健经营和持续分红，更好地兼顾股东的即期利益和长远利益，增强广大投资者的获得感。</w:t>
            </w:r>
          </w:p>
          <w:p w14:paraId="5E6A827A" w14:textId="77777777" w:rsidR="000B65A5" w:rsidRDefault="00632090">
            <w:pPr>
              <w:ind w:firstLineChars="200" w:firstLine="562"/>
              <w:rPr>
                <w:rFonts w:ascii="宋体" w:hAnsi="宋体"/>
                <w:b/>
                <w:bCs/>
                <w:sz w:val="28"/>
                <w:szCs w:val="24"/>
              </w:rPr>
            </w:pPr>
            <w:r>
              <w:rPr>
                <w:rFonts w:ascii="宋体" w:hAnsi="宋体"/>
                <w:b/>
                <w:bCs/>
                <w:sz w:val="28"/>
                <w:szCs w:val="24"/>
              </w:rPr>
              <w:t>9</w:t>
            </w:r>
            <w:r>
              <w:rPr>
                <w:rFonts w:ascii="宋体" w:hAnsi="宋体" w:hint="eastAsia"/>
                <w:b/>
                <w:bCs/>
                <w:sz w:val="28"/>
                <w:szCs w:val="24"/>
              </w:rPr>
              <w:t>.注意到公司三季度中药饮片业务的营业收入有所下降，这也是受集采影响的么？</w:t>
            </w:r>
          </w:p>
          <w:p w14:paraId="537C4A3B" w14:textId="77777777" w:rsidR="000B65A5" w:rsidRDefault="00632090">
            <w:pPr>
              <w:ind w:firstLineChars="200" w:firstLine="560"/>
              <w:rPr>
                <w:rFonts w:ascii="宋体" w:hAnsi="宋体"/>
                <w:sz w:val="28"/>
                <w:szCs w:val="24"/>
              </w:rPr>
            </w:pPr>
            <w:r>
              <w:rPr>
                <w:rFonts w:ascii="宋体" w:hAnsi="宋体" w:hint="eastAsia"/>
                <w:sz w:val="28"/>
                <w:szCs w:val="24"/>
              </w:rPr>
              <w:t>答：公司中药饮片业务营业收入下降是因为公司主动调整客户结构，减少低毛利客户销售，因此营业收入有所下降。但公司聚焦有效资源，通过强化内部管理、深化降本增效等措施，中药饮片业务的毛利率实现增长，净利润较上年同期有所提升。</w:t>
            </w:r>
          </w:p>
          <w:p w14:paraId="56A88231" w14:textId="77777777" w:rsidR="000B65A5" w:rsidRDefault="00632090">
            <w:pPr>
              <w:ind w:firstLineChars="200" w:firstLine="562"/>
              <w:rPr>
                <w:rFonts w:ascii="宋体" w:hAnsi="宋体"/>
                <w:b/>
                <w:bCs/>
                <w:sz w:val="28"/>
                <w:szCs w:val="24"/>
              </w:rPr>
            </w:pPr>
            <w:r>
              <w:rPr>
                <w:rFonts w:ascii="宋体" w:hAnsi="宋体"/>
                <w:b/>
                <w:bCs/>
                <w:sz w:val="28"/>
                <w:szCs w:val="24"/>
              </w:rPr>
              <w:t>10</w:t>
            </w:r>
            <w:r>
              <w:rPr>
                <w:rFonts w:ascii="宋体" w:hAnsi="宋体" w:hint="eastAsia"/>
                <w:b/>
                <w:bCs/>
                <w:sz w:val="28"/>
                <w:szCs w:val="24"/>
              </w:rPr>
              <w:t>.公司应收账款偏高是什么原因导致的？</w:t>
            </w:r>
          </w:p>
          <w:p w14:paraId="4AB44A1E" w14:textId="77777777" w:rsidR="000B65A5" w:rsidRDefault="00632090">
            <w:pPr>
              <w:ind w:firstLineChars="200" w:firstLine="560"/>
              <w:rPr>
                <w:rFonts w:ascii="宋体" w:hAnsi="宋体"/>
                <w:sz w:val="28"/>
                <w:szCs w:val="24"/>
              </w:rPr>
            </w:pPr>
            <w:r>
              <w:rPr>
                <w:rFonts w:ascii="宋体" w:hAnsi="宋体" w:hint="eastAsia"/>
                <w:sz w:val="28"/>
                <w:szCs w:val="24"/>
              </w:rPr>
              <w:t>答：应收账款主要受行业特征影响，随着中药饮片业务规模扩大，相应出现了一定幅度的增长。公司一方面持续对医疗客户结构进行调整，采用分级分类管理模式，筛选规模较大、信用等级良好的客户进行深入稳定合作，另一方面公司不断强化应收账款及账龄管控，建立了应收账款长效跟踪机制，跟进重点客户应收账款的对账和清收工作，提升应收账款回收效率。</w:t>
            </w:r>
          </w:p>
          <w:p w14:paraId="7188B6DC" w14:textId="77777777" w:rsidR="000B65A5" w:rsidRDefault="00632090">
            <w:pPr>
              <w:ind w:firstLineChars="200" w:firstLine="562"/>
              <w:rPr>
                <w:rFonts w:ascii="宋体" w:hAnsi="宋体"/>
                <w:b/>
                <w:bCs/>
                <w:sz w:val="28"/>
                <w:szCs w:val="24"/>
              </w:rPr>
            </w:pPr>
            <w:r>
              <w:rPr>
                <w:rFonts w:ascii="宋体" w:hAnsi="宋体" w:hint="eastAsia"/>
                <w:b/>
                <w:bCs/>
                <w:sz w:val="28"/>
                <w:szCs w:val="24"/>
              </w:rPr>
              <w:t>1</w:t>
            </w:r>
            <w:r>
              <w:rPr>
                <w:rFonts w:ascii="宋体" w:hAnsi="宋体"/>
                <w:b/>
                <w:bCs/>
                <w:sz w:val="28"/>
                <w:szCs w:val="24"/>
              </w:rPr>
              <w:t>1</w:t>
            </w:r>
            <w:r>
              <w:rPr>
                <w:rFonts w:ascii="宋体" w:hAnsi="宋体" w:hint="eastAsia"/>
                <w:b/>
                <w:bCs/>
                <w:sz w:val="28"/>
                <w:szCs w:val="24"/>
              </w:rPr>
              <w:t>.本次向特定对象发行募集的资金计划如何使用？对公司有哪些影响？是否会改善公司的负债情况？</w:t>
            </w:r>
          </w:p>
          <w:p w14:paraId="54C8DA56" w14:textId="77777777" w:rsidR="000B65A5" w:rsidRDefault="00632090">
            <w:pPr>
              <w:ind w:firstLineChars="200" w:firstLine="560"/>
              <w:rPr>
                <w:rFonts w:ascii="宋体" w:hAnsi="宋体"/>
                <w:sz w:val="28"/>
                <w:szCs w:val="24"/>
              </w:rPr>
            </w:pPr>
            <w:r>
              <w:rPr>
                <w:rFonts w:ascii="宋体" w:hAnsi="宋体" w:hint="eastAsia"/>
                <w:sz w:val="28"/>
                <w:szCs w:val="24"/>
              </w:rPr>
              <w:t>答：公司与江药控股签署了《附条件生效的股份认购协议》，拟向特定对象发行不超过74,605,216股A股股票（最终发行数量以中国证监会同意注册的为准），募集资金总额不超过</w:t>
            </w:r>
            <w:r>
              <w:rPr>
                <w:rFonts w:ascii="宋体" w:hAnsi="宋体" w:hint="eastAsia"/>
                <w:sz w:val="28"/>
                <w:szCs w:val="24"/>
              </w:rPr>
              <w:lastRenderedPageBreak/>
              <w:t>454,345,765.44元。该事项尚需取得有权国资主管部门批准、经营者集中审查通过、公司股东会审议通过、上海证券交易所审核通过及中国证券监督管理委员会同意注册后方可实施。本次向特定对象发行募集到的资金在扣除发行费用后拟全部用于补充流动资金及偿还有息负债，有助于公司优化资产负债结构，提升财务稳健性，增强公司抗风险能力，同时也为公司后续业务布局及战略优化提供营运资金支持，有助于公司把握行业发展机遇，推动公司业务健康、长远发展。</w:t>
            </w:r>
          </w:p>
          <w:p w14:paraId="29433E66" w14:textId="77777777" w:rsidR="000B65A5" w:rsidRDefault="00632090">
            <w:pPr>
              <w:ind w:firstLineChars="200" w:firstLine="562"/>
              <w:rPr>
                <w:rFonts w:ascii="宋体" w:hAnsi="宋体"/>
                <w:b/>
                <w:bCs/>
                <w:sz w:val="28"/>
                <w:szCs w:val="24"/>
              </w:rPr>
            </w:pPr>
            <w:r>
              <w:rPr>
                <w:rFonts w:ascii="宋体" w:hAnsi="宋体" w:hint="eastAsia"/>
                <w:b/>
                <w:bCs/>
                <w:sz w:val="28"/>
                <w:szCs w:val="24"/>
              </w:rPr>
              <w:t>1</w:t>
            </w:r>
            <w:r>
              <w:rPr>
                <w:rFonts w:ascii="宋体" w:hAnsi="宋体"/>
                <w:b/>
                <w:bCs/>
                <w:sz w:val="28"/>
                <w:szCs w:val="24"/>
              </w:rPr>
              <w:t>2</w:t>
            </w:r>
            <w:r>
              <w:rPr>
                <w:rFonts w:ascii="宋体" w:hAnsi="宋体" w:hint="eastAsia"/>
                <w:b/>
                <w:bCs/>
                <w:sz w:val="28"/>
                <w:szCs w:val="24"/>
              </w:rPr>
              <w:t>.目前控制权变更事项的进展如何？后续是怎么安排的？</w:t>
            </w:r>
          </w:p>
          <w:p w14:paraId="50EF85D2" w14:textId="77777777" w:rsidR="000B65A5" w:rsidRDefault="00632090">
            <w:pPr>
              <w:ind w:firstLineChars="200" w:firstLine="560"/>
              <w:rPr>
                <w:rFonts w:ascii="宋体" w:hAnsi="宋体"/>
                <w:sz w:val="28"/>
                <w:szCs w:val="24"/>
              </w:rPr>
            </w:pPr>
            <w:r>
              <w:rPr>
                <w:rFonts w:ascii="宋体" w:hAnsi="宋体" w:hint="eastAsia"/>
                <w:sz w:val="28"/>
                <w:szCs w:val="24"/>
              </w:rPr>
              <w:t>答：</w:t>
            </w:r>
            <w:bookmarkStart w:id="3" w:name="OLE_LINK1"/>
            <w:bookmarkStart w:id="4" w:name="OLE_LINK3"/>
            <w:r>
              <w:rPr>
                <w:rFonts w:ascii="宋体" w:hAnsi="宋体" w:hint="eastAsia"/>
                <w:sz w:val="28"/>
                <w:szCs w:val="24"/>
              </w:rPr>
              <w:t>目前泰容产投及江药控股正在就本次协议转让及控制权变更事项履行各自的国资审批程序。</w:t>
            </w:r>
            <w:bookmarkEnd w:id="3"/>
            <w:bookmarkEnd w:id="4"/>
            <w:r>
              <w:rPr>
                <w:rFonts w:ascii="宋体" w:hAnsi="宋体" w:hint="eastAsia"/>
                <w:sz w:val="28"/>
                <w:szCs w:val="24"/>
              </w:rPr>
              <w:t>相关变更事项还需国家市场监督管理总局反垄断局对经营者集中反垄断申报的批准、上海证券交易所的合规确认及向中国证券登记结算有限责任公司上海分公司申请办理股份转让过户登记。上述事项能否取得批准或核准以及最终取得批准或核准的时间均存在不确定性。公司及各相关方将积极推动相关事项进展，并及时履行信息披露义务。</w:t>
            </w:r>
          </w:p>
          <w:p w14:paraId="554760B6" w14:textId="77777777" w:rsidR="000B65A5" w:rsidRDefault="000B65A5">
            <w:pPr>
              <w:ind w:firstLineChars="200" w:firstLine="562"/>
              <w:rPr>
                <w:rFonts w:ascii="宋体" w:hAnsi="宋体"/>
                <w:b/>
                <w:sz w:val="28"/>
                <w:szCs w:val="24"/>
                <w:highlight w:val="yellow"/>
              </w:rPr>
            </w:pPr>
          </w:p>
          <w:p w14:paraId="6EE65484" w14:textId="77777777" w:rsidR="000B65A5" w:rsidRDefault="00632090">
            <w:pPr>
              <w:rPr>
                <w:rFonts w:ascii="宋体" w:hAnsi="宋体"/>
                <w:b/>
                <w:sz w:val="28"/>
                <w:szCs w:val="24"/>
              </w:rPr>
            </w:pPr>
            <w:r>
              <w:rPr>
                <w:rFonts w:ascii="宋体" w:hAnsi="宋体" w:hint="eastAsia"/>
                <w:b/>
                <w:sz w:val="28"/>
                <w:szCs w:val="24"/>
              </w:rPr>
              <w:t>风险提示：</w:t>
            </w:r>
          </w:p>
          <w:p w14:paraId="1E97B4B2" w14:textId="6C9AC4E5" w:rsidR="000B65A5" w:rsidRDefault="00632090" w:rsidP="0066506A">
            <w:pPr>
              <w:ind w:firstLineChars="200" w:firstLine="560"/>
              <w:rPr>
                <w:rFonts w:ascii="宋体" w:hAnsi="宋体"/>
                <w:sz w:val="28"/>
                <w:szCs w:val="24"/>
              </w:rPr>
            </w:pPr>
            <w:r>
              <w:rPr>
                <w:rFonts w:ascii="宋体" w:hAnsi="宋体" w:hint="eastAsia"/>
                <w:sz w:val="28"/>
                <w:szCs w:val="24"/>
              </w:rPr>
              <w:t>公司郑重提醒广大投资者，有关公司信息请以公司在上海证券交易所网站和法定信息披露媒体刊登的相关公告为准。本次调研信息中涉及的对外部环境判断、公司发展战略、未来计划、相关事项进展等部分前瞻性陈述，存在不确定性，并非历史事实，不构成公</w:t>
            </w:r>
            <w:r>
              <w:rPr>
                <w:rFonts w:ascii="宋体" w:hAnsi="宋体" w:hint="eastAsia"/>
                <w:sz w:val="28"/>
                <w:szCs w:val="24"/>
              </w:rPr>
              <w:lastRenderedPageBreak/>
              <w:t>司对投资者的实质承诺，</w:t>
            </w:r>
            <w:r w:rsidR="0066506A" w:rsidRPr="0066506A">
              <w:rPr>
                <w:rFonts w:ascii="宋体" w:hAnsi="宋体" w:hint="eastAsia"/>
                <w:sz w:val="28"/>
                <w:szCs w:val="24"/>
              </w:rPr>
              <w:t>涉及控制权变更及</w:t>
            </w:r>
            <w:bookmarkStart w:id="5" w:name="_GoBack"/>
            <w:bookmarkEnd w:id="5"/>
            <w:r w:rsidR="0066506A" w:rsidRPr="0066506A">
              <w:rPr>
                <w:rFonts w:ascii="宋体" w:hAnsi="宋体" w:hint="eastAsia"/>
                <w:sz w:val="28"/>
                <w:szCs w:val="24"/>
              </w:rPr>
              <w:t>向特定对象发行事项尚需履行相关审批程序，能否获得相关的批准或核准，以及获得相关批准或核准的时间存在不确定性，</w:t>
            </w:r>
            <w:r>
              <w:rPr>
                <w:rFonts w:ascii="宋体" w:hAnsi="宋体" w:hint="eastAsia"/>
                <w:sz w:val="28"/>
                <w:szCs w:val="24"/>
              </w:rPr>
              <w:t>敬请广大投资者理性投资，注意投资风险。</w:t>
            </w:r>
          </w:p>
        </w:tc>
      </w:tr>
    </w:tbl>
    <w:p w14:paraId="65E21EBB" w14:textId="77777777" w:rsidR="000B65A5" w:rsidRDefault="00632090">
      <w:pPr>
        <w:rPr>
          <w:b/>
          <w:sz w:val="24"/>
        </w:rPr>
      </w:pPr>
      <w:r>
        <w:rPr>
          <w:b/>
          <w:sz w:val="24"/>
        </w:rPr>
        <w:lastRenderedPageBreak/>
        <w:t>（以上活动不涉及应当披露但未披露的重大信息）</w:t>
      </w:r>
    </w:p>
    <w:sectPr w:rsidR="000B6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altName w:val="Segoe UI Symbol"/>
    <w:panose1 w:val="020B0502040204020203"/>
    <w:charset w:val="00"/>
    <w:family w:val="swiss"/>
    <w:pitch w:val="variable"/>
    <w:sig w:usb0="800001E3" w:usb1="1200FFEF" w:usb2="00040000" w:usb3="00000000" w:csb0="00000001" w:csb1="00000000"/>
  </w:font>
  <w:font w:name="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A5"/>
    <w:rsid w:val="000B65A5"/>
    <w:rsid w:val="00632090"/>
    <w:rsid w:val="0066506A"/>
    <w:rsid w:val="00EE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6443A-840D-453E-9AC2-4A36D3A1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qFormat/>
    <w:pPr>
      <w:widowControl/>
      <w:kinsoku w:val="0"/>
      <w:autoSpaceDE w:val="0"/>
      <w:autoSpaceDN w:val="0"/>
      <w:adjustRightInd w:val="0"/>
      <w:snapToGrid w:val="0"/>
      <w:jc w:val="left"/>
      <w:textAlignment w:val="baseline"/>
    </w:pPr>
    <w:rPr>
      <w:rFonts w:ascii="宋体" w:hAnsi="宋体"/>
      <w:snapToGrid w:val="0"/>
      <w:color w:val="000000"/>
      <w:kern w:val="0"/>
      <w:sz w:val="11"/>
      <w:szCs w:val="11"/>
      <w:lang w:eastAsia="en-US"/>
    </w:r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Pr>
      <w:rFonts w:ascii="Courier New" w:hAnsi="Courier New" w:cs="Courier New"/>
      <w:sz w:val="20"/>
      <w:szCs w:val="20"/>
    </w:rPr>
  </w:style>
  <w:style w:type="paragraph" w:styleId="a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c">
    <w:name w:val="List Paragraph"/>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3">
    <w:name w:val="批注主题 Char"/>
    <w:basedOn w:val="Char"/>
    <w:link w:val="a9"/>
    <w:uiPriority w:val="99"/>
    <w:qFormat/>
    <w:rPr>
      <w:rFonts w:ascii="Calibri" w:eastAsia="宋体" w:hAnsi="Calibri" w:cs="宋体"/>
      <w:b/>
      <w:bCs/>
      <w:kern w:val="2"/>
      <w:sz w:val="21"/>
      <w:szCs w:val="22"/>
    </w:rPr>
  </w:style>
  <w:style w:type="paragraph" w:customStyle="1" w:styleId="1">
    <w:name w:val="修订1"/>
    <w:uiPriority w:val="99"/>
    <w:qFormat/>
    <w:rPr>
      <w:rFonts w:ascii="Calibri" w:hAnsi="Calibri" w:cs="宋体"/>
      <w:kern w:val="2"/>
      <w:sz w:val="21"/>
      <w:szCs w:val="22"/>
    </w:rPr>
  </w:style>
  <w:style w:type="character" w:customStyle="1" w:styleId="Char0">
    <w:name w:val="批注框文本 Char"/>
    <w:basedOn w:val="a0"/>
    <w:link w:val="a5"/>
    <w:uiPriority w:val="99"/>
    <w:qFormat/>
    <w:rPr>
      <w:rFonts w:ascii="Calibri" w:eastAsia="宋体" w:hAnsi="Calibri" w:cs="宋体"/>
      <w:kern w:val="2"/>
      <w:sz w:val="18"/>
      <w:szCs w:val="18"/>
    </w:rPr>
  </w:style>
  <w:style w:type="character" w:customStyle="1" w:styleId="highlight">
    <w:name w:val="highlight"/>
    <w:basedOn w:val="a0"/>
    <w:qFormat/>
  </w:style>
  <w:style w:type="character" w:customStyle="1" w:styleId="HTMLChar">
    <w:name w:val="HTML 预设格式 Char"/>
    <w:basedOn w:val="a0"/>
    <w:link w:val="HTML"/>
    <w:uiPriority w:val="99"/>
    <w:qFormat/>
    <w:rPr>
      <w:rFonts w:ascii="Courier New" w:eastAsia="宋体" w:hAnsi="Courier New" w:cs="Courier New"/>
      <w:kern w:val="2"/>
    </w:rPr>
  </w:style>
  <w:style w:type="paragraph" w:styleId="ad">
    <w:name w:val="No Spacing"/>
    <w:uiPriority w:val="1"/>
    <w:qFormat/>
    <w:pPr>
      <w:widowControl w:val="0"/>
    </w:pPr>
    <w:rPr>
      <w:rFonts w:ascii="Calibri" w:hAnsi="Calibri" w:cs="宋体"/>
      <w:kern w:val="2"/>
      <w:sz w:val="22"/>
      <w:szCs w:val="24"/>
      <w14:ligatures w14:val="standardContextual"/>
    </w:rPr>
  </w:style>
  <w:style w:type="paragraph" w:customStyle="1" w:styleId="2">
    <w:name w:val="修订2"/>
    <w:uiPriority w:val="99"/>
    <w:rPr>
      <w:rFonts w:ascii="Calibri" w:hAnsi="Calibri" w:cs="宋体"/>
      <w:kern w:val="2"/>
      <w:sz w:val="21"/>
      <w:szCs w:val="22"/>
    </w:rPr>
  </w:style>
  <w:style w:type="paragraph" w:styleId="ae">
    <w:name w:val="Revision"/>
    <w:uiPriority w:val="99"/>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A63F-1677-4FD5-9BBB-7B48622E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12</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Administrator</cp:lastModifiedBy>
  <cp:revision>57</cp:revision>
  <dcterms:created xsi:type="dcterms:W3CDTF">2025-12-18T01:37:00Z</dcterms:created>
  <dcterms:modified xsi:type="dcterms:W3CDTF">2025-12-22T07:49:00Z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B9925C5EA23C4609BA2D33FF3A8FC87C_13</vt:lpwstr>
  </property>
  <property fmtid="{D5CDD505-2E9C-101B-9397-08002B2CF9AE}" pid="4" name="KSOTemplateDocerSaveRecord">
    <vt:lpwstr>eyJoZGlkIjoiOWFhZDYyNGQxODg3ZDc2MzQ4MTdiZDJkNGQ1M2EwY2IiLCJ1c2VySWQiOiI1MTEwMDg4MzcifQ==</vt:lpwstr>
  </property>
</Properties>
</file>