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8CAD">
      <w:pPr>
        <w:spacing w:line="420" w:lineRule="exact"/>
        <w:rPr>
          <w:rFonts w:eastAsia="宋体"/>
          <w:b/>
          <w:bCs/>
        </w:rPr>
      </w:pPr>
      <w:r>
        <w:rPr>
          <w:rFonts w:hint="eastAsia"/>
          <w:b/>
          <w:bCs/>
        </w:rPr>
        <w:t>证券代码：688627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                              证券简称：精智达            </w:t>
      </w:r>
      <w:r>
        <w:rPr>
          <w:b/>
          <w:bCs/>
        </w:rPr>
        <w:t xml:space="preserve">        </w:t>
      </w:r>
      <w:r>
        <w:rPr>
          <w:rFonts w:hint="eastAsia"/>
          <w:b/>
          <w:bCs/>
        </w:rPr>
        <w:t xml:space="preserve">    </w:t>
      </w:r>
    </w:p>
    <w:p w14:paraId="139972A8">
      <w:pPr>
        <w:spacing w:line="42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 w14:paraId="43E1B42C">
      <w:pPr>
        <w:spacing w:line="42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深圳精智达技术股份有限公司</w:t>
      </w:r>
    </w:p>
    <w:p w14:paraId="695863EC">
      <w:pPr>
        <w:spacing w:line="42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投资者关系活动记录表</w:t>
      </w:r>
    </w:p>
    <w:p w14:paraId="179AEA56">
      <w:pPr>
        <w:spacing w:line="420" w:lineRule="exact"/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9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521"/>
      </w:tblGrid>
      <w:tr w14:paraId="6F835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1642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6BC647">
            <w:pPr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</w:rPr>
              <w:sym w:font="Wingdings 2" w:char="00A3"/>
            </w:r>
            <w:r>
              <w:rPr>
                <w:rFonts w:hint="eastAsia" w:eastAsia="宋体"/>
              </w:rPr>
              <w:t xml:space="preserve"> 特定对象调研        □ 分析师会议</w:t>
            </w:r>
          </w:p>
          <w:p w14:paraId="4B049B66">
            <w:pPr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□ 媒体采访            </w:t>
            </w:r>
            <w:r>
              <w:rPr>
                <w:rFonts w:hint="eastAsia" w:eastAsia="宋体"/>
              </w:rPr>
              <w:sym w:font="Wingdings 2" w:char="00A3"/>
            </w:r>
            <w:r>
              <w:rPr>
                <w:rFonts w:hint="eastAsia" w:eastAsia="宋体"/>
              </w:rPr>
              <w:t xml:space="preserve"> 业绩说明会</w:t>
            </w:r>
          </w:p>
          <w:p w14:paraId="262A2F44">
            <w:pPr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□ 新闻发布会          </w:t>
            </w:r>
            <w:r>
              <w:rPr>
                <w:rFonts w:hint="eastAsia" w:eastAsia="宋体"/>
              </w:rPr>
              <w:sym w:font="Wingdings 2" w:char="00A3"/>
            </w:r>
            <w:r>
              <w:rPr>
                <w:rFonts w:hint="eastAsia" w:eastAsia="宋体"/>
              </w:rPr>
              <w:t xml:space="preserve"> 路演活动</w:t>
            </w:r>
          </w:p>
          <w:p w14:paraId="63C9EBFF">
            <w:pPr>
              <w:tabs>
                <w:tab w:val="center" w:pos="3152"/>
              </w:tabs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</w:rPr>
              <w:sym w:font="Wingdings 2" w:char="0052"/>
            </w:r>
            <w:r>
              <w:rPr>
                <w:rFonts w:hint="eastAsia" w:eastAsia="宋体"/>
              </w:rPr>
              <w:t xml:space="preserve"> 现场调研            </w:t>
            </w:r>
            <w:r>
              <w:rPr>
                <w:rFonts w:hint="eastAsia" w:eastAsia="宋体"/>
              </w:rPr>
              <w:sym w:font="Wingdings 2" w:char="0052"/>
            </w:r>
            <w:r>
              <w:rPr>
                <w:rFonts w:hint="eastAsia" w:eastAsia="宋体"/>
              </w:rPr>
              <w:t xml:space="preserve"> 电话会议</w:t>
            </w:r>
          </w:p>
          <w:p w14:paraId="0EC9AC45">
            <w:pPr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  <w:lang w:eastAsia="zh-CN"/>
              </w:rPr>
              <w:t>□</w:t>
            </w:r>
            <w:r>
              <w:rPr>
                <w:rFonts w:hint="eastAsia" w:eastAsia="宋体"/>
              </w:rPr>
              <w:t xml:space="preserve"> 其他：券商策略会</w:t>
            </w:r>
          </w:p>
        </w:tc>
      </w:tr>
      <w:tr w14:paraId="4A079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C3301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6F6684">
            <w:pPr>
              <w:spacing w:line="42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广发基金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诺安基金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姚泾河投资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工银瑞信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混沌资产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兴银基金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巨子私募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真科基金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鹏华基金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融通基金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博时基金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深圳创富兆业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光大永明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宝盈基金、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国联民生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东吴证券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江海证券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中邮证券</w:t>
            </w:r>
          </w:p>
        </w:tc>
      </w:tr>
      <w:tr w14:paraId="49D9A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62AC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时间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3EA2F6">
            <w:pPr>
              <w:spacing w:line="420" w:lineRule="exact"/>
              <w:rPr>
                <w:rFonts w:eastAsia="宋体"/>
              </w:rPr>
            </w:pPr>
            <w:r>
              <w:rPr>
                <w:rFonts w:hint="eastAsia" w:eastAsia="宋体"/>
              </w:rPr>
              <w:t>2025年1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rPr>
                <w:rFonts w:hint="eastAsia" w:eastAsia="宋体"/>
              </w:rPr>
              <w:t>月</w:t>
            </w:r>
            <w:r>
              <w:rPr>
                <w:rFonts w:hint="eastAsia" w:eastAsia="宋体"/>
                <w:lang w:val="en-US" w:eastAsia="zh-CN"/>
              </w:rPr>
              <w:t>26</w:t>
            </w:r>
            <w:r>
              <w:rPr>
                <w:rFonts w:hint="eastAsia" w:eastAsia="宋体"/>
              </w:rPr>
              <w:t>日</w:t>
            </w:r>
          </w:p>
        </w:tc>
      </w:tr>
      <w:tr w14:paraId="32470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9D202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C85D4E">
            <w:pPr>
              <w:spacing w:line="42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深圳市南山区金蝶云大厦52层会议室、腾讯会议</w:t>
            </w:r>
          </w:p>
        </w:tc>
      </w:tr>
      <w:tr w14:paraId="13218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64D93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C4D63B"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eastAsia="宋体" w:cs="宋体"/>
                <w:color w:val="000000"/>
                <w:kern w:val="0"/>
                <w:lang w:bidi="ar"/>
              </w:rPr>
              <w:t>董事会秘书：彭娟</w:t>
            </w:r>
            <w:bookmarkStart w:id="0" w:name="_GoBack"/>
            <w:bookmarkEnd w:id="0"/>
          </w:p>
        </w:tc>
      </w:tr>
      <w:tr w14:paraId="13A64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FB4BE">
            <w:pPr>
              <w:spacing w:line="360" w:lineRule="auto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608C91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一、公司FT和老化测试机的进展。</w:t>
            </w:r>
          </w:p>
          <w:p w14:paraId="56A935FB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公司的高速FT测试机提前达成年初既定目标，老化测试机在已稳定量产供应DRAM客户的基础上，进一步推动技术升级和客户拓展，未来将在先进封装、复杂技术领域广泛应用。</w:t>
            </w:r>
          </w:p>
          <w:p w14:paraId="55D56D68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lang w:val="en-US" w:eastAsia="zh-CN"/>
              </w:rPr>
            </w:pPr>
          </w:p>
          <w:p w14:paraId="3A0D49F7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二、公司探针卡生产及研发情况。</w:t>
            </w:r>
          </w:p>
          <w:p w14:paraId="3ADBEE27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公司是国内MEMS工艺探针卡领域的领先供应商，在探针卡方面具备长期量产经验和技术优势，目前正重点保障交付能力以及提升产品毛利率，并开始进行下一代产品研发。</w:t>
            </w:r>
          </w:p>
          <w:p w14:paraId="6B185C9B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lang w:val="en-US" w:eastAsia="zh-CN"/>
              </w:rPr>
            </w:pPr>
          </w:p>
          <w:p w14:paraId="776C9E62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三、公司ASIC芯片的速率可以达到多少？</w:t>
            </w:r>
          </w:p>
          <w:p w14:paraId="4B8A4E94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公司自研的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测试机专用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SIC芯片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最高可实现9Gbps信号输出与校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准，这是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公司在高速芯片测试领域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的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重要突破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，目前该芯片已应用于公司高速FT测试机和升级版CP测试机。</w:t>
            </w:r>
          </w:p>
          <w:p w14:paraId="7CE225A9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lang w:val="en-US" w:eastAsia="zh-CN"/>
              </w:rPr>
            </w:pPr>
          </w:p>
          <w:p w14:paraId="4950023B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四、公司在半导体领域的产品如何布局？</w:t>
            </w:r>
          </w:p>
          <w:p w14:paraId="727F1E08">
            <w:pPr>
              <w:pStyle w:val="14"/>
              <w:widowControl w:val="0"/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司以前瞻性技术开拓与战略规划为基点，通过自主研发与外延发展双轨并进，持续拓展技术纵深与市场多元化边界。在半导体测试领域，以DRAM测试设备产品线为基础，纵向延伸分选机、探针台等设备构建完整测试链；依托DRAM技术储备，横向拓展至NAND FLASH等存储器测试领域，并大力推进算力芯片SoC测试机研发，研发规格对标国际先进水平，可满足高端AI芯片测试要求，实现技术纵深的立体化布局。</w:t>
            </w:r>
          </w:p>
        </w:tc>
      </w:tr>
      <w:tr w14:paraId="75A6A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3E77A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关于本次活动是否涉及应当披露重大信息的说明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9C9573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hint="eastAsia" w:eastAsia="宋体"/>
              </w:rPr>
              <w:t>本次活动不涉及应当披露重大信息。</w:t>
            </w:r>
          </w:p>
        </w:tc>
      </w:tr>
      <w:tr w14:paraId="36242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3ED58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D424C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hint="eastAsia" w:eastAsia="宋体"/>
              </w:rPr>
              <w:t>无</w:t>
            </w:r>
          </w:p>
        </w:tc>
      </w:tr>
      <w:tr w14:paraId="46A02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29ED5D9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2FEA2F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hint="eastAsia" w:eastAsia="宋体"/>
              </w:rPr>
              <w:t>2025年1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rPr>
                <w:rFonts w:hint="eastAsia" w:eastAsia="宋体"/>
              </w:rPr>
              <w:t>月</w:t>
            </w:r>
            <w:r>
              <w:rPr>
                <w:rFonts w:hint="eastAsia" w:eastAsia="宋体"/>
                <w:lang w:val="en-US" w:eastAsia="zh-CN"/>
              </w:rPr>
              <w:t>26</w:t>
            </w:r>
            <w:r>
              <w:rPr>
                <w:rFonts w:hint="eastAsia" w:eastAsia="宋体"/>
              </w:rPr>
              <w:t>日</w:t>
            </w:r>
          </w:p>
        </w:tc>
      </w:tr>
    </w:tbl>
    <w:p w14:paraId="41F4E317">
      <w:pPr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1606D"/>
    <w:multiLevelType w:val="multilevel"/>
    <w:tmpl w:val="5A81606D"/>
    <w:lvl w:ilvl="0" w:tentative="0">
      <w:start w:val="1"/>
      <w:numFmt w:val="japaneseCounting"/>
      <w:pStyle w:val="14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0102A"/>
    <w:rsid w:val="00007163"/>
    <w:rsid w:val="000143ED"/>
    <w:rsid w:val="000809C6"/>
    <w:rsid w:val="000B11FB"/>
    <w:rsid w:val="00116D03"/>
    <w:rsid w:val="001B6AB3"/>
    <w:rsid w:val="001F36A3"/>
    <w:rsid w:val="00224F18"/>
    <w:rsid w:val="002570D5"/>
    <w:rsid w:val="002A6741"/>
    <w:rsid w:val="002C18CD"/>
    <w:rsid w:val="003162BD"/>
    <w:rsid w:val="003A55FD"/>
    <w:rsid w:val="003C084D"/>
    <w:rsid w:val="003C167C"/>
    <w:rsid w:val="003D42F8"/>
    <w:rsid w:val="00434D79"/>
    <w:rsid w:val="00436082"/>
    <w:rsid w:val="004D0354"/>
    <w:rsid w:val="004D2008"/>
    <w:rsid w:val="004D61A5"/>
    <w:rsid w:val="004E3CEB"/>
    <w:rsid w:val="004F4433"/>
    <w:rsid w:val="00580FCE"/>
    <w:rsid w:val="006404FB"/>
    <w:rsid w:val="00673D2E"/>
    <w:rsid w:val="007563BB"/>
    <w:rsid w:val="007926C1"/>
    <w:rsid w:val="007C1A30"/>
    <w:rsid w:val="007E40A4"/>
    <w:rsid w:val="0081021E"/>
    <w:rsid w:val="008332BF"/>
    <w:rsid w:val="008A74F2"/>
    <w:rsid w:val="00995811"/>
    <w:rsid w:val="009A3F50"/>
    <w:rsid w:val="009B2C69"/>
    <w:rsid w:val="00AD6F00"/>
    <w:rsid w:val="00B22F5F"/>
    <w:rsid w:val="00B41E01"/>
    <w:rsid w:val="00B478BB"/>
    <w:rsid w:val="00B61A3F"/>
    <w:rsid w:val="00C04C42"/>
    <w:rsid w:val="00C2151A"/>
    <w:rsid w:val="00C422FB"/>
    <w:rsid w:val="00C7271F"/>
    <w:rsid w:val="00CA0A4C"/>
    <w:rsid w:val="00CA0BCB"/>
    <w:rsid w:val="00CC585E"/>
    <w:rsid w:val="00D24809"/>
    <w:rsid w:val="00D3361D"/>
    <w:rsid w:val="00D461BC"/>
    <w:rsid w:val="00D648DB"/>
    <w:rsid w:val="00DE3995"/>
    <w:rsid w:val="00DF04ED"/>
    <w:rsid w:val="00E04124"/>
    <w:rsid w:val="00ED1B49"/>
    <w:rsid w:val="00FC68A5"/>
    <w:rsid w:val="011E3D92"/>
    <w:rsid w:val="02D432A2"/>
    <w:rsid w:val="03015719"/>
    <w:rsid w:val="03BF4636"/>
    <w:rsid w:val="03E51F28"/>
    <w:rsid w:val="045521C0"/>
    <w:rsid w:val="04B9539C"/>
    <w:rsid w:val="04D07A99"/>
    <w:rsid w:val="05850883"/>
    <w:rsid w:val="06672F9A"/>
    <w:rsid w:val="07690DCB"/>
    <w:rsid w:val="07F76FDC"/>
    <w:rsid w:val="0883674A"/>
    <w:rsid w:val="0892083F"/>
    <w:rsid w:val="094620D8"/>
    <w:rsid w:val="097C1F9D"/>
    <w:rsid w:val="09B47989"/>
    <w:rsid w:val="09CA2D09"/>
    <w:rsid w:val="09D750A5"/>
    <w:rsid w:val="0B0C7351"/>
    <w:rsid w:val="0B440899"/>
    <w:rsid w:val="0BBA4FFF"/>
    <w:rsid w:val="0BBE064B"/>
    <w:rsid w:val="0BF57DE5"/>
    <w:rsid w:val="0C8606C3"/>
    <w:rsid w:val="0CD1735C"/>
    <w:rsid w:val="0CDF5E60"/>
    <w:rsid w:val="0D053EEB"/>
    <w:rsid w:val="0D194B6D"/>
    <w:rsid w:val="0DF50570"/>
    <w:rsid w:val="0E0109D3"/>
    <w:rsid w:val="0E4B1F3E"/>
    <w:rsid w:val="0E5055E0"/>
    <w:rsid w:val="0E8F62FB"/>
    <w:rsid w:val="0F7D25CB"/>
    <w:rsid w:val="0FB86718"/>
    <w:rsid w:val="0FFE24A1"/>
    <w:rsid w:val="10246863"/>
    <w:rsid w:val="10346D7C"/>
    <w:rsid w:val="106A6FF4"/>
    <w:rsid w:val="110357B4"/>
    <w:rsid w:val="1166258B"/>
    <w:rsid w:val="118714DF"/>
    <w:rsid w:val="118C4D48"/>
    <w:rsid w:val="11A025A1"/>
    <w:rsid w:val="1211524D"/>
    <w:rsid w:val="12850115"/>
    <w:rsid w:val="12A92AF0"/>
    <w:rsid w:val="12CF7B44"/>
    <w:rsid w:val="13525B1D"/>
    <w:rsid w:val="13940AFE"/>
    <w:rsid w:val="14A5684C"/>
    <w:rsid w:val="151B6448"/>
    <w:rsid w:val="154716B1"/>
    <w:rsid w:val="15A73A04"/>
    <w:rsid w:val="166013F8"/>
    <w:rsid w:val="168D3A3C"/>
    <w:rsid w:val="17313EC8"/>
    <w:rsid w:val="174720B3"/>
    <w:rsid w:val="17926790"/>
    <w:rsid w:val="18534811"/>
    <w:rsid w:val="187C6F87"/>
    <w:rsid w:val="18A63BCA"/>
    <w:rsid w:val="18D86AC4"/>
    <w:rsid w:val="19630A84"/>
    <w:rsid w:val="19A14B4E"/>
    <w:rsid w:val="19AB71E7"/>
    <w:rsid w:val="19D93400"/>
    <w:rsid w:val="19DC1649"/>
    <w:rsid w:val="1A3B37AF"/>
    <w:rsid w:val="1A472154"/>
    <w:rsid w:val="1AC704E3"/>
    <w:rsid w:val="1AE14356"/>
    <w:rsid w:val="1BB2184F"/>
    <w:rsid w:val="1C47468D"/>
    <w:rsid w:val="1CF7548B"/>
    <w:rsid w:val="1D077862"/>
    <w:rsid w:val="1D3C5874"/>
    <w:rsid w:val="1D814A16"/>
    <w:rsid w:val="1DF443A0"/>
    <w:rsid w:val="1E2935D2"/>
    <w:rsid w:val="1E396614"/>
    <w:rsid w:val="1E761259"/>
    <w:rsid w:val="1F6966C8"/>
    <w:rsid w:val="1FEC5FF4"/>
    <w:rsid w:val="201523AC"/>
    <w:rsid w:val="202C40EB"/>
    <w:rsid w:val="205B4263"/>
    <w:rsid w:val="20B87907"/>
    <w:rsid w:val="221F0D41"/>
    <w:rsid w:val="22C75BE0"/>
    <w:rsid w:val="2422439F"/>
    <w:rsid w:val="247212EF"/>
    <w:rsid w:val="249B37C8"/>
    <w:rsid w:val="24B92EB3"/>
    <w:rsid w:val="24E3748B"/>
    <w:rsid w:val="2556645E"/>
    <w:rsid w:val="25766125"/>
    <w:rsid w:val="26834513"/>
    <w:rsid w:val="26F95E44"/>
    <w:rsid w:val="27BD6C9C"/>
    <w:rsid w:val="27CB43C4"/>
    <w:rsid w:val="28071479"/>
    <w:rsid w:val="285C5774"/>
    <w:rsid w:val="2A8041BE"/>
    <w:rsid w:val="2ABE3D6C"/>
    <w:rsid w:val="2B836D64"/>
    <w:rsid w:val="2C177723"/>
    <w:rsid w:val="2C3761A3"/>
    <w:rsid w:val="2C743D62"/>
    <w:rsid w:val="2CA62D0A"/>
    <w:rsid w:val="2E0A72C8"/>
    <w:rsid w:val="2E5167EE"/>
    <w:rsid w:val="2E5B6A62"/>
    <w:rsid w:val="2E662F01"/>
    <w:rsid w:val="2E6E7857"/>
    <w:rsid w:val="2FC01D17"/>
    <w:rsid w:val="2FC455D7"/>
    <w:rsid w:val="30316D8E"/>
    <w:rsid w:val="30C33764"/>
    <w:rsid w:val="31254850"/>
    <w:rsid w:val="319A0963"/>
    <w:rsid w:val="31DE6AA2"/>
    <w:rsid w:val="321626E0"/>
    <w:rsid w:val="3276224D"/>
    <w:rsid w:val="32F3657D"/>
    <w:rsid w:val="33414684"/>
    <w:rsid w:val="34951FE2"/>
    <w:rsid w:val="34A55F9D"/>
    <w:rsid w:val="35354896"/>
    <w:rsid w:val="355C77BE"/>
    <w:rsid w:val="35C61D5E"/>
    <w:rsid w:val="35D46B3A"/>
    <w:rsid w:val="35F07D9F"/>
    <w:rsid w:val="362B4280"/>
    <w:rsid w:val="36323860"/>
    <w:rsid w:val="37050429"/>
    <w:rsid w:val="37667C65"/>
    <w:rsid w:val="378974B0"/>
    <w:rsid w:val="38141F91"/>
    <w:rsid w:val="38C70290"/>
    <w:rsid w:val="393F076E"/>
    <w:rsid w:val="399A3BE1"/>
    <w:rsid w:val="3A595C16"/>
    <w:rsid w:val="3A687850"/>
    <w:rsid w:val="3B257393"/>
    <w:rsid w:val="3B3E000B"/>
    <w:rsid w:val="3C1001A0"/>
    <w:rsid w:val="3C2974B3"/>
    <w:rsid w:val="3CEF24AB"/>
    <w:rsid w:val="3EBC63BD"/>
    <w:rsid w:val="3F3E7DFF"/>
    <w:rsid w:val="3F9609BC"/>
    <w:rsid w:val="402266F3"/>
    <w:rsid w:val="40345770"/>
    <w:rsid w:val="412C1E99"/>
    <w:rsid w:val="41967399"/>
    <w:rsid w:val="41A970CC"/>
    <w:rsid w:val="42E156C9"/>
    <w:rsid w:val="433B01F8"/>
    <w:rsid w:val="43D7658C"/>
    <w:rsid w:val="442432D6"/>
    <w:rsid w:val="444C3D3F"/>
    <w:rsid w:val="44F05012"/>
    <w:rsid w:val="45FE72BB"/>
    <w:rsid w:val="46454EEA"/>
    <w:rsid w:val="465D66D7"/>
    <w:rsid w:val="46F838C7"/>
    <w:rsid w:val="477B2FAE"/>
    <w:rsid w:val="47A02844"/>
    <w:rsid w:val="47C3256A"/>
    <w:rsid w:val="47D92AF8"/>
    <w:rsid w:val="48210086"/>
    <w:rsid w:val="4829431C"/>
    <w:rsid w:val="48912668"/>
    <w:rsid w:val="49155047"/>
    <w:rsid w:val="493A123D"/>
    <w:rsid w:val="49492F43"/>
    <w:rsid w:val="4A7E276D"/>
    <w:rsid w:val="4AE118F5"/>
    <w:rsid w:val="4AED1592"/>
    <w:rsid w:val="4C0F7417"/>
    <w:rsid w:val="4C7C4C4C"/>
    <w:rsid w:val="4C8C6177"/>
    <w:rsid w:val="4DAB41CC"/>
    <w:rsid w:val="4DF23BA9"/>
    <w:rsid w:val="4EEE25C2"/>
    <w:rsid w:val="4F1D6A04"/>
    <w:rsid w:val="4F6C34E7"/>
    <w:rsid w:val="50A0169A"/>
    <w:rsid w:val="5156444F"/>
    <w:rsid w:val="54264317"/>
    <w:rsid w:val="54C47921"/>
    <w:rsid w:val="5546203F"/>
    <w:rsid w:val="55F73341"/>
    <w:rsid w:val="56424FA2"/>
    <w:rsid w:val="567A6E1F"/>
    <w:rsid w:val="56D976B4"/>
    <w:rsid w:val="573C40E7"/>
    <w:rsid w:val="575E22AF"/>
    <w:rsid w:val="58A35C5E"/>
    <w:rsid w:val="5A1530F9"/>
    <w:rsid w:val="5A3A490E"/>
    <w:rsid w:val="5B8028DC"/>
    <w:rsid w:val="5BFA60FE"/>
    <w:rsid w:val="5C0F1DCA"/>
    <w:rsid w:val="5CB62246"/>
    <w:rsid w:val="5D02548B"/>
    <w:rsid w:val="5DE80B25"/>
    <w:rsid w:val="5E61553A"/>
    <w:rsid w:val="5EAF096B"/>
    <w:rsid w:val="5F993E84"/>
    <w:rsid w:val="6028345A"/>
    <w:rsid w:val="618E4F17"/>
    <w:rsid w:val="6249141B"/>
    <w:rsid w:val="6288306E"/>
    <w:rsid w:val="62992202"/>
    <w:rsid w:val="63027F93"/>
    <w:rsid w:val="63780255"/>
    <w:rsid w:val="63984453"/>
    <w:rsid w:val="639D5F0D"/>
    <w:rsid w:val="63B70D7D"/>
    <w:rsid w:val="646031C3"/>
    <w:rsid w:val="649B069F"/>
    <w:rsid w:val="65D73958"/>
    <w:rsid w:val="66AB64F3"/>
    <w:rsid w:val="67BA61E8"/>
    <w:rsid w:val="6916161A"/>
    <w:rsid w:val="694035C3"/>
    <w:rsid w:val="69FA5E67"/>
    <w:rsid w:val="6B5A6FBD"/>
    <w:rsid w:val="6B8359E9"/>
    <w:rsid w:val="6BEE37AA"/>
    <w:rsid w:val="6C705F6D"/>
    <w:rsid w:val="6C845EBC"/>
    <w:rsid w:val="6CF51267"/>
    <w:rsid w:val="6D35260A"/>
    <w:rsid w:val="6D513FF0"/>
    <w:rsid w:val="6DA50B0D"/>
    <w:rsid w:val="6DBC6B1F"/>
    <w:rsid w:val="6E1B015A"/>
    <w:rsid w:val="6E6C2863"/>
    <w:rsid w:val="6ED32D5B"/>
    <w:rsid w:val="6F993A2D"/>
    <w:rsid w:val="705D3AD4"/>
    <w:rsid w:val="707D334E"/>
    <w:rsid w:val="70C64A2C"/>
    <w:rsid w:val="70D50A94"/>
    <w:rsid w:val="70EF7378"/>
    <w:rsid w:val="710C57F1"/>
    <w:rsid w:val="714F4CEB"/>
    <w:rsid w:val="718C3C42"/>
    <w:rsid w:val="72135D18"/>
    <w:rsid w:val="727F4C6A"/>
    <w:rsid w:val="72CB03A1"/>
    <w:rsid w:val="730833A3"/>
    <w:rsid w:val="73B07597"/>
    <w:rsid w:val="75A82C1C"/>
    <w:rsid w:val="7645046A"/>
    <w:rsid w:val="76EE7A05"/>
    <w:rsid w:val="76EF2683"/>
    <w:rsid w:val="776A3F82"/>
    <w:rsid w:val="77EA73B3"/>
    <w:rsid w:val="783C3AEF"/>
    <w:rsid w:val="78551933"/>
    <w:rsid w:val="7A633FE0"/>
    <w:rsid w:val="7B3C1668"/>
    <w:rsid w:val="7B6E3FBF"/>
    <w:rsid w:val="7B94453A"/>
    <w:rsid w:val="7C0E7550"/>
    <w:rsid w:val="7C22507F"/>
    <w:rsid w:val="7C7D510B"/>
    <w:rsid w:val="7C896BD7"/>
    <w:rsid w:val="7CAD6D69"/>
    <w:rsid w:val="7D0A7011"/>
    <w:rsid w:val="7D621902"/>
    <w:rsid w:val="7E6A3164"/>
    <w:rsid w:val="7ED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0"/>
    <w:pPr>
      <w:jc w:val="left"/>
    </w:pPr>
  </w:style>
  <w:style w:type="paragraph" w:styleId="3">
    <w:name w:val="Body Text"/>
    <w:basedOn w:val="1"/>
    <w:autoRedefine/>
    <w:semiHidden/>
    <w:unhideWhenUsed/>
    <w:qFormat/>
    <w:uiPriority w:val="99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hAnsi="楷体" w:eastAsia="楷体"/>
      <w:color w:val="000000"/>
      <w:kern w:val="0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</w:rPr>
  </w:style>
  <w:style w:type="paragraph" w:styleId="8">
    <w:name w:val="annotation subject"/>
    <w:basedOn w:val="2"/>
    <w:next w:val="2"/>
    <w:link w:val="20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numPr>
        <w:ilvl w:val="0"/>
        <w:numId w:val="1"/>
      </w:numPr>
      <w:spacing w:line="360" w:lineRule="auto"/>
    </w:pPr>
    <w:rPr>
      <w:rFonts w:eastAsia="宋体"/>
      <w:b/>
      <w:bCs/>
    </w:rPr>
  </w:style>
  <w:style w:type="paragraph" w:customStyle="1" w:styleId="15">
    <w:name w:val="005正文"/>
    <w:basedOn w:val="1"/>
    <w:autoRedefine/>
    <w:qFormat/>
    <w:uiPriority w:val="0"/>
    <w:pPr>
      <w:spacing w:before="50" w:beforeLines="50" w:line="360" w:lineRule="auto"/>
      <w:ind w:firstLine="200" w:firstLineChars="200"/>
    </w:pPr>
  </w:style>
  <w:style w:type="character" w:customStyle="1" w:styleId="16">
    <w:name w:val="页眉 字符"/>
    <w:basedOn w:val="10"/>
    <w:link w:val="6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8">
    <w:name w:val="批注框文本 字符"/>
    <w:basedOn w:val="10"/>
    <w:link w:val="4"/>
    <w:autoRedefine/>
    <w:qFormat/>
    <w:uiPriority w:val="0"/>
    <w:rPr>
      <w:rFonts w:eastAsiaTheme="minorEastAsia"/>
      <w:kern w:val="2"/>
      <w:sz w:val="18"/>
      <w:szCs w:val="18"/>
    </w:rPr>
  </w:style>
  <w:style w:type="character" w:customStyle="1" w:styleId="19">
    <w:name w:val="批注文字 字符"/>
    <w:basedOn w:val="10"/>
    <w:link w:val="2"/>
    <w:autoRedefine/>
    <w:qFormat/>
    <w:uiPriority w:val="0"/>
    <w:rPr>
      <w:rFonts w:eastAsiaTheme="minorEastAsia"/>
      <w:kern w:val="2"/>
      <w:sz w:val="24"/>
      <w:szCs w:val="24"/>
    </w:rPr>
  </w:style>
  <w:style w:type="character" w:customStyle="1" w:styleId="20">
    <w:name w:val="批注主题 字符"/>
    <w:basedOn w:val="19"/>
    <w:link w:val="8"/>
    <w:autoRedefine/>
    <w:qFormat/>
    <w:uiPriority w:val="0"/>
    <w:rPr>
      <w:rFonts w:eastAsiaTheme="minorEastAsia"/>
      <w:b/>
      <w:bCs/>
      <w:kern w:val="2"/>
      <w:sz w:val="24"/>
      <w:szCs w:val="24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paragraph" w:customStyle="1" w:styleId="22">
    <w:name w:val="修订2"/>
    <w:hidden/>
    <w:semiHidden/>
    <w:qFormat/>
    <w:uiPriority w:val="99"/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778</Words>
  <Characters>830</Characters>
  <Lines>44</Lines>
  <Paragraphs>47</Paragraphs>
  <TotalTime>56</TotalTime>
  <ScaleCrop>false</ScaleCrop>
  <LinksUpToDate>false</LinksUpToDate>
  <CharactersWithSpaces>945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2025-09-02T06:48:00Z</dcterms:created>
  <dc:creator>Thinkpad</dc:creator>
  <cp:lastModifiedBy>菡^O^</cp:lastModifiedBy>
  <dcterms:modified xsi:type="dcterms:W3CDTF">2025-12-26T09:08:36Z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6BC76B4619EB4B3585073614DFCC9C32_12</vt:lpwstr>
  </property>
  <property fmtid="{D5CDD505-2E9C-101B-9397-08002B2CF9AE}" pid="4" name="KSOTemplateDocerSaveRecord">
    <vt:lpwstr>eyJoZGlkIjoiZjU1N2I4ZGNjZDZjNmNlNDQ5ZGFkYmYyOTE2ZDk4MzciLCJ1c2VySWQiOiI1NTkyNzIyNTUifQ==</vt:lpwstr>
  </property>
</Properties>
</file>