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2333A">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证券代码：</w:t>
      </w:r>
      <w:r>
        <w:rPr>
          <w:rFonts w:hint="eastAsia" w:ascii="Times New Roman" w:hAnsi="Times New Roman" w:cs="Times New Roman"/>
          <w:sz w:val="24"/>
        </w:rPr>
        <w:t>601026</w:t>
      </w:r>
      <w:r>
        <w:rPr>
          <w:rFonts w:ascii="Times New Roman" w:hAnsi="Times New Roman" w:cs="Times New Roman"/>
          <w:sz w:val="24"/>
        </w:rPr>
        <w:t xml:space="preserve">                                    证券简称：</w:t>
      </w:r>
      <w:r>
        <w:rPr>
          <w:rFonts w:hint="eastAsia" w:ascii="Times New Roman" w:hAnsi="Times New Roman" w:cs="Times New Roman"/>
          <w:sz w:val="24"/>
        </w:rPr>
        <w:t>道生天合</w:t>
      </w:r>
    </w:p>
    <w:p w14:paraId="4004198D">
      <w:pPr>
        <w:adjustRightInd w:val="0"/>
        <w:snapToGrid w:val="0"/>
        <w:spacing w:before="312" w:beforeLines="100" w:line="360" w:lineRule="auto"/>
        <w:jc w:val="center"/>
        <w:rPr>
          <w:rFonts w:ascii="Times New Roman" w:hAnsi="Times New Roman" w:eastAsia="黑体" w:cs="Times New Roman"/>
          <w:b/>
          <w:bCs/>
          <w:iCs/>
          <w:color w:val="000000"/>
          <w:sz w:val="36"/>
          <w:szCs w:val="36"/>
        </w:rPr>
      </w:pPr>
      <w:r>
        <w:rPr>
          <w:rFonts w:hint="eastAsia" w:ascii="Times New Roman" w:hAnsi="Times New Roman" w:eastAsia="黑体" w:cs="Times New Roman"/>
          <w:b/>
          <w:bCs/>
          <w:iCs/>
          <w:color w:val="000000"/>
          <w:sz w:val="36"/>
          <w:szCs w:val="36"/>
        </w:rPr>
        <w:t>道生天合材料科技（上海）</w:t>
      </w:r>
      <w:r>
        <w:rPr>
          <w:rFonts w:ascii="Times New Roman" w:hAnsi="Times New Roman" w:eastAsia="黑体" w:cs="Times New Roman"/>
          <w:b/>
          <w:bCs/>
          <w:iCs/>
          <w:color w:val="000000"/>
          <w:sz w:val="36"/>
          <w:szCs w:val="36"/>
        </w:rPr>
        <w:t>股份有限公司</w:t>
      </w:r>
    </w:p>
    <w:p w14:paraId="78551C1F">
      <w:pPr>
        <w:adjustRightInd w:val="0"/>
        <w:snapToGrid w:val="0"/>
        <w:spacing w:line="360" w:lineRule="auto"/>
        <w:jc w:val="center"/>
        <w:rPr>
          <w:rFonts w:ascii="Times New Roman" w:hAnsi="Times New Roman" w:eastAsia="黑体" w:cs="Times New Roman"/>
          <w:b/>
          <w:bCs/>
          <w:iCs/>
          <w:color w:val="000000"/>
          <w:sz w:val="36"/>
          <w:szCs w:val="36"/>
        </w:rPr>
      </w:pPr>
      <w:r>
        <w:rPr>
          <w:rFonts w:ascii="Times New Roman" w:hAnsi="Times New Roman" w:eastAsia="黑体" w:cs="Times New Roman"/>
          <w:b/>
          <w:bCs/>
          <w:iCs/>
          <w:color w:val="000000"/>
          <w:sz w:val="36"/>
          <w:szCs w:val="36"/>
        </w:rPr>
        <w:t>投资者关系活动记录表</w:t>
      </w:r>
    </w:p>
    <w:p w14:paraId="7424D2A9">
      <w:pPr>
        <w:adjustRightInd w:val="0"/>
        <w:snapToGrid w:val="0"/>
        <w:spacing w:before="312" w:beforeLines="100"/>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 xml:space="preserve">                                                        编号：202</w:t>
      </w:r>
      <w:r>
        <w:rPr>
          <w:rFonts w:hint="eastAsia" w:ascii="Times New Roman" w:hAnsi="Times New Roman" w:eastAsia="宋体" w:cs="Times New Roman"/>
          <w:bCs/>
          <w:iCs/>
          <w:color w:val="000000"/>
          <w:sz w:val="24"/>
          <w:szCs w:val="24"/>
        </w:rPr>
        <w:t>5</w:t>
      </w:r>
      <w:r>
        <w:rPr>
          <w:rFonts w:ascii="Times New Roman" w:hAnsi="Times New Roman" w:eastAsia="宋体" w:cs="Times New Roman"/>
          <w:bCs/>
          <w:iCs/>
          <w:color w:val="000000"/>
          <w:sz w:val="24"/>
          <w:szCs w:val="24"/>
        </w:rPr>
        <w:t>-00</w:t>
      </w:r>
      <w:r>
        <w:rPr>
          <w:rFonts w:hint="eastAsia" w:ascii="Times New Roman" w:hAnsi="Times New Roman" w:eastAsia="宋体" w:cs="Times New Roman"/>
          <w:bCs/>
          <w:iCs/>
          <w:color w:val="000000"/>
          <w:sz w:val="24"/>
          <w:szCs w:val="24"/>
        </w:rPr>
        <w:t>2</w:t>
      </w:r>
    </w:p>
    <w:tbl>
      <w:tblPr>
        <w:tblStyle w:val="41"/>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28"/>
        <w:gridCol w:w="2410"/>
        <w:gridCol w:w="1276"/>
        <w:gridCol w:w="2409"/>
        <w:gridCol w:w="1276"/>
      </w:tblGrid>
      <w:tr w14:paraId="13789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Align w:val="center"/>
          </w:tcPr>
          <w:p w14:paraId="43B291E8">
            <w:pPr>
              <w:adjustRightInd w:val="0"/>
              <w:snapToGrid w:val="0"/>
              <w:rPr>
                <w:rFonts w:hint="eastAsia" w:ascii="宋体" w:hAnsi="宋体" w:eastAsia="宋体" w:cs="Times New Roman"/>
                <w:b/>
                <w:iCs/>
                <w:color w:val="000000"/>
                <w:kern w:val="0"/>
                <w:sz w:val="24"/>
                <w:szCs w:val="24"/>
              </w:rPr>
            </w:pPr>
            <w:r>
              <w:rPr>
                <w:rFonts w:hint="eastAsia" w:ascii="宋体" w:hAnsi="宋体" w:eastAsia="宋体" w:cs="Times New Roman"/>
                <w:b/>
                <w:iCs/>
                <w:color w:val="000000"/>
                <w:kern w:val="0"/>
                <w:sz w:val="24"/>
                <w:szCs w:val="24"/>
              </w:rPr>
              <w:t>活动类别</w:t>
            </w:r>
          </w:p>
        </w:tc>
        <w:tc>
          <w:tcPr>
            <w:tcW w:w="7371" w:type="dxa"/>
            <w:gridSpan w:val="4"/>
            <w:vAlign w:val="center"/>
          </w:tcPr>
          <w:p w14:paraId="34945C81">
            <w:pPr>
              <w:adjustRightInd w:val="0"/>
              <w:snapToGrid w:val="0"/>
              <w:spacing w:before="156" w:beforeLines="50" w:line="360" w:lineRule="auto"/>
              <w:rPr>
                <w:rFonts w:hint="eastAsia" w:ascii="宋体" w:hAnsi="宋体" w:eastAsia="宋体" w:cs="Times New Roman"/>
                <w:bCs/>
                <w:iCs/>
                <w:color w:val="000000"/>
                <w:kern w:val="0"/>
                <w:sz w:val="24"/>
                <w:szCs w:val="24"/>
              </w:rPr>
            </w:pPr>
            <w:r>
              <w:rPr>
                <w:rFonts w:hint="eastAsia" w:ascii="宋体" w:hAnsi="宋体" w:eastAsia="宋体" w:cs="Times New Roman"/>
                <w:kern w:val="0"/>
                <w:sz w:val="24"/>
                <w:szCs w:val="24"/>
              </w:rPr>
              <w:t>█特定对象调研</w:t>
            </w:r>
            <w:r>
              <w:rPr>
                <w:rFonts w:ascii="宋体" w:hAnsi="宋体" w:eastAsia="宋体" w:cs="Times New Roman"/>
                <w:kern w:val="0"/>
                <w:sz w:val="24"/>
                <w:szCs w:val="24"/>
              </w:rPr>
              <w:t xml:space="preserve">        </w:t>
            </w:r>
            <w:r>
              <w:rPr>
                <w:rFonts w:hint="eastAsia" w:ascii="宋体" w:hAnsi="宋体" w:eastAsia="宋体" w:cs="Times New Roman"/>
                <w:bCs/>
                <w:iCs/>
                <w:color w:val="000000"/>
                <w:kern w:val="0"/>
                <w:sz w:val="24"/>
                <w:szCs w:val="24"/>
              </w:rPr>
              <w:t>□</w:t>
            </w:r>
            <w:r>
              <w:rPr>
                <w:rFonts w:hint="eastAsia" w:ascii="宋体" w:hAnsi="宋体" w:eastAsia="宋体" w:cs="Times New Roman"/>
                <w:kern w:val="0"/>
                <w:sz w:val="24"/>
                <w:szCs w:val="24"/>
              </w:rPr>
              <w:t>分析师会议</w:t>
            </w:r>
            <w:r>
              <w:rPr>
                <w:rFonts w:ascii="宋体" w:hAnsi="宋体" w:eastAsia="宋体" w:cs="Times New Roman"/>
                <w:kern w:val="0"/>
                <w:sz w:val="24"/>
                <w:szCs w:val="24"/>
              </w:rPr>
              <w:t xml:space="preserve">        </w:t>
            </w:r>
            <w:r>
              <w:rPr>
                <w:rFonts w:hint="eastAsia" w:ascii="宋体" w:hAnsi="宋体" w:eastAsia="宋体" w:cs="Times New Roman"/>
                <w:bCs/>
                <w:iCs/>
                <w:color w:val="000000"/>
                <w:kern w:val="0"/>
                <w:sz w:val="24"/>
                <w:szCs w:val="24"/>
              </w:rPr>
              <w:t>□</w:t>
            </w:r>
            <w:r>
              <w:rPr>
                <w:rFonts w:hint="eastAsia" w:ascii="宋体" w:hAnsi="宋体" w:eastAsia="宋体" w:cs="Times New Roman"/>
                <w:kern w:val="0"/>
                <w:sz w:val="24"/>
                <w:szCs w:val="24"/>
              </w:rPr>
              <w:t>媒体采访</w:t>
            </w:r>
          </w:p>
          <w:p w14:paraId="3AAD97EE">
            <w:pPr>
              <w:adjustRightInd w:val="0"/>
              <w:snapToGrid w:val="0"/>
              <w:spacing w:line="360" w:lineRule="auto"/>
              <w:rPr>
                <w:rFonts w:hint="eastAsia" w:ascii="宋体" w:hAnsi="宋体" w:eastAsia="宋体" w:cs="Times New Roman"/>
                <w:kern w:val="0"/>
                <w:sz w:val="24"/>
                <w:szCs w:val="24"/>
              </w:rPr>
            </w:pPr>
            <w:r>
              <w:rPr>
                <w:rFonts w:hint="eastAsia" w:ascii="宋体" w:hAnsi="宋体" w:eastAsia="宋体" w:cs="Times New Roman"/>
                <w:bCs/>
                <w:iCs/>
                <w:color w:val="000000"/>
                <w:kern w:val="0"/>
                <w:sz w:val="24"/>
                <w:szCs w:val="24"/>
              </w:rPr>
              <w:t>□</w:t>
            </w:r>
            <w:r>
              <w:rPr>
                <w:rFonts w:hint="eastAsia" w:ascii="宋体" w:hAnsi="宋体" w:eastAsia="宋体" w:cs="Times New Roman"/>
                <w:kern w:val="0"/>
                <w:sz w:val="24"/>
                <w:szCs w:val="24"/>
              </w:rPr>
              <w:t xml:space="preserve">业绩说明会 </w:t>
            </w:r>
            <w:r>
              <w:rPr>
                <w:rFonts w:ascii="宋体" w:hAnsi="宋体" w:eastAsia="宋体" w:cs="Times New Roman"/>
                <w:kern w:val="0"/>
                <w:sz w:val="24"/>
                <w:szCs w:val="24"/>
              </w:rPr>
              <w:t xml:space="preserve">         </w:t>
            </w:r>
            <w:r>
              <w:rPr>
                <w:rFonts w:hint="eastAsia" w:ascii="宋体" w:hAnsi="宋体" w:eastAsia="宋体" w:cs="Times New Roman"/>
                <w:bCs/>
                <w:iCs/>
                <w:color w:val="000000"/>
                <w:kern w:val="0"/>
                <w:sz w:val="24"/>
                <w:szCs w:val="24"/>
              </w:rPr>
              <w:t>□</w:t>
            </w:r>
            <w:r>
              <w:rPr>
                <w:rFonts w:hint="eastAsia" w:ascii="宋体" w:hAnsi="宋体" w:eastAsia="宋体" w:cs="Times New Roman"/>
                <w:kern w:val="0"/>
                <w:sz w:val="24"/>
                <w:szCs w:val="24"/>
              </w:rPr>
              <w:t xml:space="preserve">新闻发布会 </w:t>
            </w:r>
            <w:r>
              <w:rPr>
                <w:rFonts w:ascii="宋体" w:hAnsi="宋体" w:eastAsia="宋体" w:cs="Times New Roman"/>
                <w:kern w:val="0"/>
                <w:sz w:val="24"/>
                <w:szCs w:val="24"/>
              </w:rPr>
              <w:t xml:space="preserve">       </w:t>
            </w:r>
            <w:r>
              <w:rPr>
                <w:rFonts w:hint="eastAsia" w:ascii="宋体" w:hAnsi="宋体" w:eastAsia="宋体" w:cs="Times New Roman"/>
                <w:bCs/>
                <w:iCs/>
                <w:color w:val="000000"/>
                <w:kern w:val="0"/>
                <w:sz w:val="24"/>
                <w:szCs w:val="24"/>
              </w:rPr>
              <w:t>□</w:t>
            </w:r>
            <w:r>
              <w:rPr>
                <w:rFonts w:hint="eastAsia" w:ascii="宋体" w:hAnsi="宋体" w:eastAsia="宋体" w:cs="Times New Roman"/>
                <w:kern w:val="0"/>
                <w:sz w:val="24"/>
                <w:szCs w:val="24"/>
              </w:rPr>
              <w:t>路演活动</w:t>
            </w:r>
          </w:p>
          <w:p w14:paraId="30AA61D9">
            <w:pPr>
              <w:adjustRightInd w:val="0"/>
              <w:snapToGrid w:val="0"/>
              <w:spacing w:line="360" w:lineRule="auto"/>
              <w:rPr>
                <w:rFonts w:hint="eastAsia" w:ascii="宋体" w:hAnsi="宋体" w:eastAsia="宋体" w:cs="Times New Roman"/>
                <w:bCs/>
                <w:iCs/>
                <w:color w:val="000000"/>
                <w:kern w:val="0"/>
                <w:sz w:val="24"/>
                <w:szCs w:val="24"/>
                <w:u w:val="single"/>
              </w:rPr>
            </w:pPr>
            <w:r>
              <w:rPr>
                <w:rFonts w:hint="eastAsia" w:ascii="宋体" w:hAnsi="宋体" w:eastAsia="宋体" w:cs="Times New Roman"/>
                <w:bCs/>
                <w:iCs/>
                <w:color w:val="000000"/>
                <w:kern w:val="0"/>
                <w:sz w:val="24"/>
                <w:szCs w:val="24"/>
              </w:rPr>
              <w:t>□</w:t>
            </w:r>
            <w:r>
              <w:rPr>
                <w:rFonts w:hint="eastAsia" w:ascii="宋体" w:hAnsi="宋体" w:eastAsia="宋体" w:cs="Times New Roman"/>
                <w:kern w:val="0"/>
                <w:sz w:val="24"/>
                <w:szCs w:val="24"/>
              </w:rPr>
              <w:t>现场参观</w:t>
            </w:r>
            <w:r>
              <w:rPr>
                <w:rFonts w:hint="eastAsia" w:ascii="宋体" w:hAnsi="宋体" w:eastAsia="宋体" w:cs="Times New Roman"/>
                <w:bCs/>
                <w:iCs/>
                <w:color w:val="000000"/>
                <w:kern w:val="0"/>
                <w:sz w:val="24"/>
                <w:szCs w:val="24"/>
              </w:rPr>
              <w:t xml:space="preserve"> </w:t>
            </w:r>
            <w:r>
              <w:rPr>
                <w:rFonts w:ascii="宋体" w:hAnsi="宋体" w:eastAsia="宋体" w:cs="Times New Roman"/>
                <w:bCs/>
                <w:iCs/>
                <w:color w:val="000000"/>
                <w:kern w:val="0"/>
                <w:sz w:val="24"/>
                <w:szCs w:val="24"/>
              </w:rPr>
              <w:t xml:space="preserve">           </w:t>
            </w:r>
            <w:r>
              <w:rPr>
                <w:rFonts w:hint="eastAsia" w:ascii="宋体" w:hAnsi="宋体" w:eastAsia="宋体" w:cs="Times New Roman"/>
                <w:bCs/>
                <w:iCs/>
                <w:color w:val="000000"/>
                <w:kern w:val="0"/>
                <w:sz w:val="24"/>
                <w:szCs w:val="24"/>
              </w:rPr>
              <w:t>□</w:t>
            </w:r>
            <w:r>
              <w:rPr>
                <w:rFonts w:hint="eastAsia" w:ascii="宋体" w:hAnsi="宋体" w:eastAsia="宋体" w:cs="Times New Roman"/>
                <w:kern w:val="0"/>
                <w:sz w:val="24"/>
                <w:szCs w:val="24"/>
              </w:rPr>
              <w:t>其他</w:t>
            </w:r>
            <w:r>
              <w:rPr>
                <w:rFonts w:ascii="宋体" w:hAnsi="宋体" w:eastAsia="宋体" w:cs="Times New Roman"/>
                <w:kern w:val="0"/>
                <w:sz w:val="24"/>
                <w:szCs w:val="24"/>
                <w:u w:val="single"/>
              </w:rPr>
              <w:t xml:space="preserve">                        </w:t>
            </w:r>
          </w:p>
        </w:tc>
      </w:tr>
      <w:tr w14:paraId="4D2E2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Merge w:val="restart"/>
            <w:vAlign w:val="center"/>
          </w:tcPr>
          <w:p w14:paraId="14C2499E">
            <w:pPr>
              <w:adjustRightInd w:val="0"/>
              <w:snapToGrid w:val="0"/>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参与人员</w:t>
            </w:r>
          </w:p>
        </w:tc>
        <w:tc>
          <w:tcPr>
            <w:tcW w:w="2410" w:type="dxa"/>
            <w:vAlign w:val="center"/>
          </w:tcPr>
          <w:p w14:paraId="7C8EE6FF">
            <w:pPr>
              <w:adjustRightInd w:val="0"/>
              <w:snapToGrid w:val="0"/>
              <w:jc w:val="center"/>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单  位</w:t>
            </w:r>
          </w:p>
        </w:tc>
        <w:tc>
          <w:tcPr>
            <w:tcW w:w="1276" w:type="dxa"/>
            <w:vAlign w:val="center"/>
          </w:tcPr>
          <w:p w14:paraId="1140B21C">
            <w:pPr>
              <w:adjustRightInd w:val="0"/>
              <w:snapToGrid w:val="0"/>
              <w:jc w:val="center"/>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姓  名</w:t>
            </w:r>
          </w:p>
        </w:tc>
        <w:tc>
          <w:tcPr>
            <w:tcW w:w="2409" w:type="dxa"/>
            <w:vAlign w:val="center"/>
          </w:tcPr>
          <w:p w14:paraId="79FD9E2E">
            <w:pPr>
              <w:adjustRightInd w:val="0"/>
              <w:snapToGrid w:val="0"/>
              <w:jc w:val="center"/>
              <w:rPr>
                <w:rFonts w:ascii="Times New Roman" w:hAnsi="Times New Roman" w:eastAsia="宋体" w:cs="Times New Roman"/>
                <w:b/>
                <w:iCs/>
                <w:color w:val="000000"/>
                <w:kern w:val="0"/>
                <w:sz w:val="24"/>
                <w:szCs w:val="24"/>
              </w:rPr>
            </w:pPr>
            <w:r>
              <w:rPr>
                <w:rFonts w:hint="eastAsia" w:ascii="Times New Roman" w:hAnsi="Times New Roman" w:eastAsia="宋体" w:cs="Times New Roman"/>
                <w:b/>
                <w:iCs/>
                <w:color w:val="000000"/>
                <w:kern w:val="0"/>
                <w:sz w:val="24"/>
                <w:szCs w:val="24"/>
              </w:rPr>
              <w:t xml:space="preserve">单 </w:t>
            </w:r>
            <w:r>
              <w:rPr>
                <w:rFonts w:ascii="Times New Roman" w:hAnsi="Times New Roman" w:eastAsia="宋体" w:cs="Times New Roman"/>
                <w:b/>
                <w:iCs/>
                <w:color w:val="000000"/>
                <w:kern w:val="0"/>
                <w:sz w:val="24"/>
                <w:szCs w:val="24"/>
              </w:rPr>
              <w:t xml:space="preserve"> </w:t>
            </w:r>
            <w:r>
              <w:rPr>
                <w:rFonts w:hint="eastAsia" w:ascii="Times New Roman" w:hAnsi="Times New Roman" w:eastAsia="宋体" w:cs="Times New Roman"/>
                <w:b/>
                <w:iCs/>
                <w:color w:val="000000"/>
                <w:kern w:val="0"/>
                <w:sz w:val="24"/>
                <w:szCs w:val="24"/>
              </w:rPr>
              <w:t>位</w:t>
            </w:r>
          </w:p>
        </w:tc>
        <w:tc>
          <w:tcPr>
            <w:tcW w:w="1276" w:type="dxa"/>
            <w:vAlign w:val="center"/>
          </w:tcPr>
          <w:p w14:paraId="11AA4BE4">
            <w:pPr>
              <w:adjustRightInd w:val="0"/>
              <w:snapToGrid w:val="0"/>
              <w:jc w:val="center"/>
              <w:rPr>
                <w:rFonts w:ascii="Times New Roman" w:hAnsi="Times New Roman" w:eastAsia="宋体" w:cs="Times New Roman"/>
                <w:b/>
                <w:iCs/>
                <w:color w:val="000000"/>
                <w:kern w:val="0"/>
                <w:sz w:val="24"/>
                <w:szCs w:val="24"/>
              </w:rPr>
            </w:pPr>
            <w:r>
              <w:rPr>
                <w:rFonts w:hint="eastAsia" w:ascii="Times New Roman" w:hAnsi="Times New Roman" w:eastAsia="宋体" w:cs="Times New Roman"/>
                <w:b/>
                <w:iCs/>
                <w:color w:val="000000"/>
                <w:kern w:val="0"/>
                <w:sz w:val="24"/>
                <w:szCs w:val="24"/>
              </w:rPr>
              <w:t xml:space="preserve">姓 </w:t>
            </w:r>
            <w:r>
              <w:rPr>
                <w:rFonts w:ascii="Times New Roman" w:hAnsi="Times New Roman" w:eastAsia="宋体" w:cs="Times New Roman"/>
                <w:b/>
                <w:iCs/>
                <w:color w:val="000000"/>
                <w:kern w:val="0"/>
                <w:sz w:val="24"/>
                <w:szCs w:val="24"/>
              </w:rPr>
              <w:t xml:space="preserve"> </w:t>
            </w:r>
            <w:r>
              <w:rPr>
                <w:rFonts w:hint="eastAsia" w:ascii="Times New Roman" w:hAnsi="Times New Roman" w:eastAsia="宋体" w:cs="Times New Roman"/>
                <w:b/>
                <w:iCs/>
                <w:color w:val="000000"/>
                <w:kern w:val="0"/>
                <w:sz w:val="24"/>
                <w:szCs w:val="24"/>
              </w:rPr>
              <w:t>名</w:t>
            </w:r>
          </w:p>
        </w:tc>
      </w:tr>
      <w:tr w14:paraId="1C1EA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Merge w:val="continue"/>
            <w:vAlign w:val="center"/>
          </w:tcPr>
          <w:p w14:paraId="7E01812D">
            <w:pPr>
              <w:adjustRightInd w:val="0"/>
              <w:snapToGrid w:val="0"/>
              <w:rPr>
                <w:rFonts w:ascii="Times New Roman" w:hAnsi="Times New Roman" w:eastAsia="宋体" w:cs="Times New Roman"/>
                <w:b/>
                <w:iCs/>
                <w:color w:val="000000"/>
                <w:kern w:val="0"/>
                <w:sz w:val="24"/>
                <w:szCs w:val="24"/>
              </w:rPr>
            </w:pPr>
          </w:p>
        </w:tc>
        <w:tc>
          <w:tcPr>
            <w:tcW w:w="2410" w:type="dxa"/>
            <w:vAlign w:val="center"/>
          </w:tcPr>
          <w:p w14:paraId="1AC594CF">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信达证券</w:t>
            </w:r>
          </w:p>
        </w:tc>
        <w:tc>
          <w:tcPr>
            <w:tcW w:w="1276" w:type="dxa"/>
            <w:vAlign w:val="center"/>
          </w:tcPr>
          <w:p w14:paraId="28EA8D9C">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武浩</w:t>
            </w:r>
          </w:p>
        </w:tc>
        <w:tc>
          <w:tcPr>
            <w:tcW w:w="2409" w:type="dxa"/>
            <w:vAlign w:val="center"/>
          </w:tcPr>
          <w:p w14:paraId="49476D4B">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长江证券</w:t>
            </w:r>
          </w:p>
        </w:tc>
        <w:tc>
          <w:tcPr>
            <w:tcW w:w="1276" w:type="dxa"/>
            <w:vAlign w:val="center"/>
          </w:tcPr>
          <w:p w14:paraId="5438A4FF">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司鸿历</w:t>
            </w:r>
          </w:p>
        </w:tc>
      </w:tr>
      <w:tr w14:paraId="7F5F0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Merge w:val="continue"/>
            <w:vAlign w:val="center"/>
          </w:tcPr>
          <w:p w14:paraId="01D853D6">
            <w:pPr>
              <w:adjustRightInd w:val="0"/>
              <w:snapToGrid w:val="0"/>
              <w:rPr>
                <w:rFonts w:ascii="Times New Roman" w:hAnsi="Times New Roman" w:eastAsia="宋体" w:cs="Times New Roman"/>
                <w:b/>
                <w:iCs/>
                <w:color w:val="000000"/>
                <w:kern w:val="0"/>
                <w:sz w:val="24"/>
                <w:szCs w:val="24"/>
              </w:rPr>
            </w:pPr>
          </w:p>
        </w:tc>
        <w:tc>
          <w:tcPr>
            <w:tcW w:w="2410" w:type="dxa"/>
            <w:vAlign w:val="center"/>
          </w:tcPr>
          <w:p w14:paraId="6314D7C3">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长江证券</w:t>
            </w:r>
          </w:p>
        </w:tc>
        <w:tc>
          <w:tcPr>
            <w:tcW w:w="1276" w:type="dxa"/>
            <w:vAlign w:val="center"/>
          </w:tcPr>
          <w:p w14:paraId="31A63553">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周圣钧</w:t>
            </w:r>
          </w:p>
        </w:tc>
        <w:tc>
          <w:tcPr>
            <w:tcW w:w="2409" w:type="dxa"/>
            <w:vAlign w:val="center"/>
          </w:tcPr>
          <w:p w14:paraId="505887B2">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国诚投资</w:t>
            </w:r>
          </w:p>
        </w:tc>
        <w:tc>
          <w:tcPr>
            <w:tcW w:w="1276" w:type="dxa"/>
            <w:vAlign w:val="center"/>
          </w:tcPr>
          <w:p w14:paraId="6F5A89A2">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相健</w:t>
            </w:r>
          </w:p>
        </w:tc>
      </w:tr>
      <w:tr w14:paraId="3DEFA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Merge w:val="continue"/>
            <w:vAlign w:val="center"/>
          </w:tcPr>
          <w:p w14:paraId="23D5F4D7">
            <w:pPr>
              <w:adjustRightInd w:val="0"/>
              <w:snapToGrid w:val="0"/>
              <w:rPr>
                <w:rFonts w:ascii="Times New Roman" w:hAnsi="Times New Roman" w:eastAsia="宋体" w:cs="Times New Roman"/>
                <w:b/>
                <w:iCs/>
                <w:color w:val="000000"/>
                <w:kern w:val="0"/>
                <w:sz w:val="24"/>
                <w:szCs w:val="24"/>
              </w:rPr>
            </w:pPr>
          </w:p>
        </w:tc>
        <w:tc>
          <w:tcPr>
            <w:tcW w:w="2410" w:type="dxa"/>
            <w:vAlign w:val="center"/>
          </w:tcPr>
          <w:p w14:paraId="621EA0F6">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国诚投资</w:t>
            </w:r>
          </w:p>
        </w:tc>
        <w:tc>
          <w:tcPr>
            <w:tcW w:w="1276" w:type="dxa"/>
            <w:vAlign w:val="center"/>
          </w:tcPr>
          <w:p w14:paraId="4C11FACC">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谢胜平</w:t>
            </w:r>
          </w:p>
        </w:tc>
        <w:tc>
          <w:tcPr>
            <w:tcW w:w="2409" w:type="dxa"/>
            <w:vAlign w:val="center"/>
          </w:tcPr>
          <w:p w14:paraId="68CF407E">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惠秀基金</w:t>
            </w:r>
          </w:p>
        </w:tc>
        <w:tc>
          <w:tcPr>
            <w:tcW w:w="1276" w:type="dxa"/>
            <w:vAlign w:val="center"/>
          </w:tcPr>
          <w:p w14:paraId="71EA208D">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杨素斌</w:t>
            </w:r>
          </w:p>
        </w:tc>
      </w:tr>
      <w:tr w14:paraId="5CAB1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Merge w:val="continue"/>
            <w:vAlign w:val="center"/>
          </w:tcPr>
          <w:p w14:paraId="61AA698A">
            <w:pPr>
              <w:adjustRightInd w:val="0"/>
              <w:snapToGrid w:val="0"/>
              <w:rPr>
                <w:rFonts w:ascii="Times New Roman" w:hAnsi="Times New Roman" w:eastAsia="宋体" w:cs="Times New Roman"/>
                <w:b/>
                <w:iCs/>
                <w:color w:val="000000"/>
                <w:kern w:val="0"/>
                <w:sz w:val="24"/>
                <w:szCs w:val="24"/>
              </w:rPr>
            </w:pPr>
          </w:p>
        </w:tc>
        <w:tc>
          <w:tcPr>
            <w:tcW w:w="2410" w:type="dxa"/>
            <w:vAlign w:val="center"/>
          </w:tcPr>
          <w:p w14:paraId="619FB836">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招商证券</w:t>
            </w:r>
          </w:p>
        </w:tc>
        <w:tc>
          <w:tcPr>
            <w:tcW w:w="1276" w:type="dxa"/>
            <w:vAlign w:val="center"/>
          </w:tcPr>
          <w:p w14:paraId="476AE1BC">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沈敏迪</w:t>
            </w:r>
          </w:p>
        </w:tc>
        <w:tc>
          <w:tcPr>
            <w:tcW w:w="2409" w:type="dxa"/>
            <w:vAlign w:val="center"/>
          </w:tcPr>
          <w:p w14:paraId="6A62B546">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中信建投</w:t>
            </w:r>
          </w:p>
        </w:tc>
        <w:tc>
          <w:tcPr>
            <w:tcW w:w="1276" w:type="dxa"/>
            <w:vAlign w:val="center"/>
          </w:tcPr>
          <w:p w14:paraId="67D11F4F">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卢昊</w:t>
            </w:r>
          </w:p>
        </w:tc>
      </w:tr>
      <w:tr w14:paraId="70153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Merge w:val="continue"/>
            <w:vAlign w:val="center"/>
          </w:tcPr>
          <w:p w14:paraId="5FB3456D">
            <w:pPr>
              <w:adjustRightInd w:val="0"/>
              <w:snapToGrid w:val="0"/>
              <w:rPr>
                <w:rFonts w:ascii="Times New Roman" w:hAnsi="Times New Roman" w:eastAsia="宋体" w:cs="Times New Roman"/>
                <w:b/>
                <w:iCs/>
                <w:color w:val="000000"/>
                <w:kern w:val="0"/>
                <w:sz w:val="24"/>
                <w:szCs w:val="24"/>
              </w:rPr>
            </w:pPr>
          </w:p>
        </w:tc>
        <w:tc>
          <w:tcPr>
            <w:tcW w:w="2410" w:type="dxa"/>
            <w:vAlign w:val="center"/>
          </w:tcPr>
          <w:p w14:paraId="7B7B3F62">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中信建投</w:t>
            </w:r>
          </w:p>
        </w:tc>
        <w:tc>
          <w:tcPr>
            <w:tcW w:w="1276" w:type="dxa"/>
            <w:vAlign w:val="center"/>
          </w:tcPr>
          <w:p w14:paraId="423B9C2C">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陶爱普</w:t>
            </w:r>
          </w:p>
        </w:tc>
        <w:tc>
          <w:tcPr>
            <w:tcW w:w="2409" w:type="dxa"/>
            <w:vAlign w:val="center"/>
          </w:tcPr>
          <w:p w14:paraId="03E30A59">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天风证券</w:t>
            </w:r>
          </w:p>
        </w:tc>
        <w:tc>
          <w:tcPr>
            <w:tcW w:w="1276" w:type="dxa"/>
            <w:vAlign w:val="center"/>
          </w:tcPr>
          <w:p w14:paraId="38109AF3">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高鑫</w:t>
            </w:r>
          </w:p>
        </w:tc>
      </w:tr>
      <w:tr w14:paraId="54C5F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Merge w:val="continue"/>
            <w:vAlign w:val="center"/>
          </w:tcPr>
          <w:p w14:paraId="2DDE4998">
            <w:pPr>
              <w:adjustRightInd w:val="0"/>
              <w:snapToGrid w:val="0"/>
              <w:rPr>
                <w:rFonts w:ascii="Times New Roman" w:hAnsi="Times New Roman" w:eastAsia="宋体" w:cs="Times New Roman"/>
                <w:b/>
                <w:iCs/>
                <w:color w:val="000000"/>
                <w:kern w:val="0"/>
                <w:sz w:val="24"/>
                <w:szCs w:val="24"/>
              </w:rPr>
            </w:pPr>
          </w:p>
        </w:tc>
        <w:tc>
          <w:tcPr>
            <w:tcW w:w="2410" w:type="dxa"/>
            <w:vAlign w:val="center"/>
          </w:tcPr>
          <w:p w14:paraId="43BA1B6B">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申万宏源</w:t>
            </w:r>
          </w:p>
        </w:tc>
        <w:tc>
          <w:tcPr>
            <w:tcW w:w="1276" w:type="dxa"/>
            <w:vAlign w:val="center"/>
          </w:tcPr>
          <w:p w14:paraId="55BAB17C">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宋涛</w:t>
            </w:r>
          </w:p>
        </w:tc>
        <w:tc>
          <w:tcPr>
            <w:tcW w:w="2409" w:type="dxa"/>
            <w:vAlign w:val="center"/>
          </w:tcPr>
          <w:p w14:paraId="7637C52D">
            <w:pPr>
              <w:adjustRightInd w:val="0"/>
              <w:snapToGrid w:val="0"/>
              <w:jc w:val="left"/>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申万宏源</w:t>
            </w:r>
          </w:p>
        </w:tc>
        <w:tc>
          <w:tcPr>
            <w:tcW w:w="1276" w:type="dxa"/>
            <w:vAlign w:val="center"/>
          </w:tcPr>
          <w:p w14:paraId="54943519">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李绍程</w:t>
            </w:r>
          </w:p>
        </w:tc>
      </w:tr>
      <w:tr w14:paraId="7A386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Align w:val="center"/>
          </w:tcPr>
          <w:p w14:paraId="5E0BD454">
            <w:pPr>
              <w:adjustRightInd w:val="0"/>
              <w:snapToGrid w:val="0"/>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活动时间</w:t>
            </w:r>
          </w:p>
        </w:tc>
        <w:tc>
          <w:tcPr>
            <w:tcW w:w="7371" w:type="dxa"/>
            <w:gridSpan w:val="4"/>
            <w:vAlign w:val="center"/>
          </w:tcPr>
          <w:p w14:paraId="06DD7E06">
            <w:pPr>
              <w:adjustRightInd w:val="0"/>
              <w:snapToGrid w:val="0"/>
              <w:rPr>
                <w:rFonts w:ascii="Times New Roman" w:hAnsi="Times New Roman" w:eastAsia="宋体" w:cs="Times New Roman"/>
                <w:bCs/>
                <w:iCs/>
                <w:color w:val="000000"/>
                <w:kern w:val="0"/>
                <w:sz w:val="24"/>
                <w:szCs w:val="24"/>
              </w:rPr>
            </w:pPr>
            <w:r>
              <w:rPr>
                <w:rFonts w:ascii="Times New Roman" w:hAnsi="Times New Roman" w:eastAsia="宋体" w:cs="Times New Roman"/>
                <w:bCs/>
                <w:iCs/>
                <w:color w:val="000000"/>
                <w:kern w:val="0"/>
                <w:sz w:val="24"/>
                <w:szCs w:val="24"/>
              </w:rPr>
              <w:t>202</w:t>
            </w:r>
            <w:r>
              <w:rPr>
                <w:rFonts w:hint="eastAsia" w:ascii="Times New Roman" w:hAnsi="Times New Roman" w:eastAsia="宋体" w:cs="Times New Roman"/>
                <w:bCs/>
                <w:iCs/>
                <w:color w:val="000000"/>
                <w:kern w:val="0"/>
                <w:sz w:val="24"/>
                <w:szCs w:val="24"/>
              </w:rPr>
              <w:t>5</w:t>
            </w:r>
            <w:r>
              <w:rPr>
                <w:rFonts w:ascii="Times New Roman" w:hAnsi="Times New Roman" w:eastAsia="宋体" w:cs="Times New Roman"/>
                <w:bCs/>
                <w:iCs/>
                <w:color w:val="000000"/>
                <w:kern w:val="0"/>
                <w:sz w:val="24"/>
                <w:szCs w:val="24"/>
              </w:rPr>
              <w:t>年</w:t>
            </w:r>
            <w:r>
              <w:rPr>
                <w:rFonts w:hint="eastAsia" w:ascii="Times New Roman" w:hAnsi="Times New Roman" w:eastAsia="宋体" w:cs="Times New Roman"/>
                <w:bCs/>
                <w:iCs/>
                <w:color w:val="000000"/>
                <w:kern w:val="0"/>
                <w:sz w:val="24"/>
                <w:szCs w:val="24"/>
              </w:rPr>
              <w:t>12</w:t>
            </w:r>
            <w:r>
              <w:rPr>
                <w:rFonts w:ascii="Times New Roman" w:hAnsi="Times New Roman" w:eastAsia="宋体" w:cs="Times New Roman"/>
                <w:bCs/>
                <w:iCs/>
                <w:color w:val="000000"/>
                <w:kern w:val="0"/>
                <w:sz w:val="24"/>
                <w:szCs w:val="24"/>
              </w:rPr>
              <w:t>月</w:t>
            </w:r>
          </w:p>
        </w:tc>
      </w:tr>
      <w:tr w14:paraId="6CE33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Align w:val="center"/>
          </w:tcPr>
          <w:p w14:paraId="60FC7338">
            <w:pPr>
              <w:adjustRightInd w:val="0"/>
              <w:snapToGrid w:val="0"/>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活动地点</w:t>
            </w:r>
          </w:p>
        </w:tc>
        <w:tc>
          <w:tcPr>
            <w:tcW w:w="7371" w:type="dxa"/>
            <w:gridSpan w:val="4"/>
            <w:vAlign w:val="center"/>
          </w:tcPr>
          <w:p w14:paraId="4FDD03AF">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公司会议室</w:t>
            </w:r>
          </w:p>
        </w:tc>
      </w:tr>
      <w:tr w14:paraId="63927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Merge w:val="restart"/>
            <w:vAlign w:val="center"/>
          </w:tcPr>
          <w:p w14:paraId="62C20BF6">
            <w:pPr>
              <w:adjustRightInd w:val="0"/>
              <w:snapToGrid w:val="0"/>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接待人员</w:t>
            </w:r>
          </w:p>
        </w:tc>
        <w:tc>
          <w:tcPr>
            <w:tcW w:w="2410" w:type="dxa"/>
            <w:vAlign w:val="center"/>
          </w:tcPr>
          <w:p w14:paraId="4951C98A">
            <w:pPr>
              <w:adjustRightInd w:val="0"/>
              <w:snapToGrid w:val="0"/>
              <w:jc w:val="center"/>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职  务</w:t>
            </w:r>
          </w:p>
        </w:tc>
        <w:tc>
          <w:tcPr>
            <w:tcW w:w="1276" w:type="dxa"/>
            <w:vAlign w:val="center"/>
          </w:tcPr>
          <w:p w14:paraId="61AD7F8F">
            <w:pPr>
              <w:adjustRightInd w:val="0"/>
              <w:snapToGrid w:val="0"/>
              <w:jc w:val="center"/>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姓  名</w:t>
            </w:r>
          </w:p>
        </w:tc>
        <w:tc>
          <w:tcPr>
            <w:tcW w:w="2409" w:type="dxa"/>
            <w:vAlign w:val="center"/>
          </w:tcPr>
          <w:p w14:paraId="58037547">
            <w:pPr>
              <w:adjustRightInd w:val="0"/>
              <w:snapToGrid w:val="0"/>
              <w:jc w:val="center"/>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职  务</w:t>
            </w:r>
          </w:p>
        </w:tc>
        <w:tc>
          <w:tcPr>
            <w:tcW w:w="1276" w:type="dxa"/>
            <w:vAlign w:val="center"/>
          </w:tcPr>
          <w:p w14:paraId="17B706F4">
            <w:pPr>
              <w:adjustRightInd w:val="0"/>
              <w:snapToGrid w:val="0"/>
              <w:jc w:val="center"/>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姓  名</w:t>
            </w:r>
          </w:p>
        </w:tc>
      </w:tr>
      <w:tr w14:paraId="13530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Merge w:val="continue"/>
            <w:vAlign w:val="center"/>
          </w:tcPr>
          <w:p w14:paraId="03E5FDF0">
            <w:pPr>
              <w:adjustRightInd w:val="0"/>
              <w:snapToGrid w:val="0"/>
              <w:rPr>
                <w:rFonts w:ascii="Times New Roman" w:hAnsi="Times New Roman" w:eastAsia="宋体" w:cs="Times New Roman"/>
                <w:b/>
                <w:iCs/>
                <w:color w:val="000000"/>
                <w:kern w:val="0"/>
                <w:sz w:val="24"/>
                <w:szCs w:val="24"/>
              </w:rPr>
            </w:pPr>
          </w:p>
        </w:tc>
        <w:tc>
          <w:tcPr>
            <w:tcW w:w="2410" w:type="dxa"/>
            <w:vAlign w:val="center"/>
          </w:tcPr>
          <w:p w14:paraId="294B8B46">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董事长、总经理</w:t>
            </w:r>
          </w:p>
        </w:tc>
        <w:tc>
          <w:tcPr>
            <w:tcW w:w="1276" w:type="dxa"/>
            <w:vAlign w:val="center"/>
          </w:tcPr>
          <w:p w14:paraId="522AC0EA">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季刚</w:t>
            </w:r>
          </w:p>
        </w:tc>
        <w:tc>
          <w:tcPr>
            <w:tcW w:w="2409" w:type="dxa"/>
            <w:vAlign w:val="center"/>
          </w:tcPr>
          <w:p w14:paraId="4D37AB98">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副董事长、副总经理</w:t>
            </w:r>
          </w:p>
        </w:tc>
        <w:tc>
          <w:tcPr>
            <w:tcW w:w="1276" w:type="dxa"/>
            <w:vAlign w:val="center"/>
          </w:tcPr>
          <w:p w14:paraId="6BBED735">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姜磊</w:t>
            </w:r>
          </w:p>
        </w:tc>
      </w:tr>
      <w:tr w14:paraId="68C9A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Merge w:val="continue"/>
            <w:vAlign w:val="center"/>
          </w:tcPr>
          <w:p w14:paraId="2A85EB33">
            <w:pPr>
              <w:adjustRightInd w:val="0"/>
              <w:snapToGrid w:val="0"/>
              <w:rPr>
                <w:rFonts w:ascii="Times New Roman" w:hAnsi="Times New Roman" w:eastAsia="宋体" w:cs="Times New Roman"/>
                <w:b/>
                <w:iCs/>
                <w:color w:val="000000"/>
                <w:kern w:val="0"/>
                <w:sz w:val="24"/>
                <w:szCs w:val="24"/>
              </w:rPr>
            </w:pPr>
          </w:p>
        </w:tc>
        <w:tc>
          <w:tcPr>
            <w:tcW w:w="2410" w:type="dxa"/>
            <w:vAlign w:val="center"/>
          </w:tcPr>
          <w:p w14:paraId="6E9CC72F">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副总经理、财务负责人</w:t>
            </w:r>
          </w:p>
        </w:tc>
        <w:tc>
          <w:tcPr>
            <w:tcW w:w="1276" w:type="dxa"/>
            <w:vAlign w:val="center"/>
          </w:tcPr>
          <w:p w14:paraId="0F92571B">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施永泉</w:t>
            </w:r>
          </w:p>
        </w:tc>
        <w:tc>
          <w:tcPr>
            <w:tcW w:w="2409" w:type="dxa"/>
            <w:vAlign w:val="center"/>
          </w:tcPr>
          <w:p w14:paraId="7C245230">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副总经理、研发总监</w:t>
            </w:r>
          </w:p>
        </w:tc>
        <w:tc>
          <w:tcPr>
            <w:tcW w:w="1276" w:type="dxa"/>
            <w:vAlign w:val="center"/>
          </w:tcPr>
          <w:p w14:paraId="18720229">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吉明磊</w:t>
            </w:r>
          </w:p>
        </w:tc>
      </w:tr>
      <w:tr w14:paraId="52252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Merge w:val="continue"/>
            <w:vAlign w:val="center"/>
          </w:tcPr>
          <w:p w14:paraId="662C4003">
            <w:pPr>
              <w:adjustRightInd w:val="0"/>
              <w:snapToGrid w:val="0"/>
              <w:rPr>
                <w:rFonts w:ascii="Times New Roman" w:hAnsi="Times New Roman" w:eastAsia="宋体" w:cs="Times New Roman"/>
                <w:b/>
                <w:iCs/>
                <w:color w:val="000000"/>
                <w:kern w:val="0"/>
                <w:sz w:val="24"/>
                <w:szCs w:val="24"/>
              </w:rPr>
            </w:pPr>
          </w:p>
        </w:tc>
        <w:tc>
          <w:tcPr>
            <w:tcW w:w="2410" w:type="dxa"/>
            <w:vAlign w:val="center"/>
          </w:tcPr>
          <w:p w14:paraId="4AA09386">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副总经理、董事会秘书</w:t>
            </w:r>
          </w:p>
        </w:tc>
        <w:tc>
          <w:tcPr>
            <w:tcW w:w="1276" w:type="dxa"/>
            <w:vAlign w:val="center"/>
          </w:tcPr>
          <w:p w14:paraId="0D484CC1">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张珈堃</w:t>
            </w:r>
          </w:p>
        </w:tc>
        <w:tc>
          <w:tcPr>
            <w:tcW w:w="2409" w:type="dxa"/>
            <w:vAlign w:val="center"/>
          </w:tcPr>
          <w:p w14:paraId="29B5501F">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战略发展部总监</w:t>
            </w:r>
          </w:p>
        </w:tc>
        <w:tc>
          <w:tcPr>
            <w:tcW w:w="1276" w:type="dxa"/>
            <w:vAlign w:val="center"/>
          </w:tcPr>
          <w:p w14:paraId="2BCF7E18">
            <w:pPr>
              <w:adjustRightInd w:val="0"/>
              <w:snapToGrid w:val="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苏玉芬</w:t>
            </w:r>
          </w:p>
        </w:tc>
      </w:tr>
      <w:tr w14:paraId="747EA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Align w:val="center"/>
          </w:tcPr>
          <w:p w14:paraId="2D0F143A">
            <w:pPr>
              <w:adjustRightInd w:val="0"/>
              <w:snapToGrid w:val="0"/>
              <w:spacing w:line="360" w:lineRule="auto"/>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活动主要内容</w:t>
            </w:r>
          </w:p>
        </w:tc>
        <w:tc>
          <w:tcPr>
            <w:tcW w:w="7371" w:type="dxa"/>
            <w:gridSpan w:val="4"/>
            <w:vAlign w:val="center"/>
          </w:tcPr>
          <w:p w14:paraId="3687B0CA">
            <w:pPr>
              <w:widowControl/>
              <w:adjustRightInd w:val="0"/>
              <w:snapToGrid w:val="0"/>
              <w:spacing w:before="312" w:beforeLines="100" w:line="360" w:lineRule="auto"/>
              <w:rPr>
                <w:rFonts w:ascii="Times New Roman" w:hAnsi="Times New Roman" w:eastAsia="宋体" w:cs="Times New Roman"/>
                <w:b/>
                <w:iCs/>
                <w:color w:val="000000"/>
                <w:kern w:val="0"/>
                <w:sz w:val="24"/>
                <w:szCs w:val="24"/>
              </w:rPr>
            </w:pPr>
            <w:r>
              <w:rPr>
                <w:rFonts w:hint="eastAsia" w:ascii="Times New Roman" w:hAnsi="Times New Roman" w:eastAsia="宋体" w:cs="Times New Roman"/>
                <w:b/>
                <w:iCs/>
                <w:color w:val="000000"/>
                <w:kern w:val="0"/>
                <w:sz w:val="24"/>
                <w:szCs w:val="24"/>
              </w:rPr>
              <w:t>一、公司2025年前三季度经营情况介绍</w:t>
            </w:r>
          </w:p>
          <w:p w14:paraId="0E96064F">
            <w:pPr>
              <w:widowControl/>
              <w:adjustRightInd w:val="0"/>
              <w:snapToGrid w:val="0"/>
              <w:spacing w:line="360" w:lineRule="auto"/>
              <w:ind w:firstLine="480" w:firstLineChars="20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公司董事会秘书张珈堃向与会投资者介绍了公司2025年半年度及前三季度经营情况。2025年1-6月，公司风电叶片用材料、新型复合材料用树脂和新能源汽车及工业胶粘剂三类主要产品的销量分别为</w:t>
            </w:r>
            <w:r>
              <w:rPr>
                <w:rFonts w:ascii="Times New Roman" w:hAnsi="Times New Roman" w:eastAsia="宋体" w:cs="Times New Roman"/>
                <w:bCs/>
                <w:iCs/>
                <w:color w:val="000000"/>
                <w:kern w:val="0"/>
                <w:sz w:val="24"/>
                <w:szCs w:val="24"/>
              </w:rPr>
              <w:t>87,873.95</w:t>
            </w:r>
            <w:r>
              <w:rPr>
                <w:rFonts w:hint="eastAsia" w:ascii="Times New Roman" w:hAnsi="Times New Roman" w:eastAsia="宋体" w:cs="Times New Roman"/>
                <w:bCs/>
                <w:iCs/>
                <w:color w:val="000000"/>
                <w:kern w:val="0"/>
                <w:sz w:val="24"/>
                <w:szCs w:val="24"/>
              </w:rPr>
              <w:t>吨、</w:t>
            </w:r>
            <w:r>
              <w:rPr>
                <w:rFonts w:ascii="Times New Roman" w:hAnsi="Times New Roman" w:eastAsia="宋体" w:cs="Times New Roman"/>
                <w:bCs/>
                <w:iCs/>
                <w:color w:val="000000"/>
                <w:kern w:val="0"/>
                <w:sz w:val="24"/>
                <w:szCs w:val="24"/>
              </w:rPr>
              <w:t>14,123.03</w:t>
            </w:r>
            <w:r>
              <w:rPr>
                <w:rFonts w:hint="eastAsia" w:ascii="Times New Roman" w:hAnsi="Times New Roman" w:eastAsia="宋体" w:cs="Times New Roman"/>
                <w:bCs/>
                <w:iCs/>
                <w:color w:val="000000"/>
                <w:kern w:val="0"/>
                <w:sz w:val="24"/>
                <w:szCs w:val="24"/>
              </w:rPr>
              <w:t>吨及</w:t>
            </w:r>
            <w:r>
              <w:rPr>
                <w:rFonts w:ascii="Times New Roman" w:hAnsi="Times New Roman" w:eastAsia="宋体" w:cs="Times New Roman"/>
                <w:bCs/>
                <w:iCs/>
                <w:color w:val="000000"/>
                <w:kern w:val="0"/>
                <w:sz w:val="24"/>
                <w:szCs w:val="24"/>
              </w:rPr>
              <w:t>4,065.99</w:t>
            </w:r>
            <w:r>
              <w:rPr>
                <w:rFonts w:hint="eastAsia" w:ascii="Times New Roman" w:hAnsi="Times New Roman" w:eastAsia="宋体" w:cs="Times New Roman"/>
                <w:bCs/>
                <w:iCs/>
                <w:color w:val="000000"/>
                <w:kern w:val="0"/>
                <w:sz w:val="24"/>
                <w:szCs w:val="24"/>
              </w:rPr>
              <w:t>吨，较上年同期增长56.97%、45.69%及35.29%。2025年1-9月，公司实现营业收入269,764.21万元，较上年同期增长26.92%；归属于母公司股东的净利润为15,349.60万元，较上年同期增加56.89%。</w:t>
            </w:r>
          </w:p>
          <w:p w14:paraId="2C7CBEC5">
            <w:pPr>
              <w:widowControl/>
              <w:adjustRightInd w:val="0"/>
              <w:snapToGrid w:val="0"/>
              <w:spacing w:before="156" w:beforeLines="50" w:line="360" w:lineRule="auto"/>
              <w:rPr>
                <w:rFonts w:ascii="Times New Roman" w:hAnsi="Times New Roman" w:eastAsia="宋体" w:cs="Times New Roman"/>
                <w:b/>
                <w:iCs/>
                <w:color w:val="000000"/>
                <w:kern w:val="0"/>
                <w:sz w:val="24"/>
                <w:szCs w:val="24"/>
              </w:rPr>
            </w:pPr>
            <w:r>
              <w:rPr>
                <w:rFonts w:hint="eastAsia" w:ascii="Times New Roman" w:hAnsi="Times New Roman" w:eastAsia="宋体" w:cs="Times New Roman"/>
                <w:b/>
                <w:iCs/>
                <w:color w:val="000000"/>
                <w:kern w:val="0"/>
                <w:sz w:val="24"/>
                <w:szCs w:val="24"/>
              </w:rPr>
              <w:t>二、投资者交流环节</w:t>
            </w:r>
          </w:p>
          <w:p w14:paraId="48AF5CA3">
            <w:pPr>
              <w:widowControl/>
              <w:adjustRightInd w:val="0"/>
              <w:snapToGrid w:val="0"/>
              <w:spacing w:line="360" w:lineRule="auto"/>
              <w:rPr>
                <w:rFonts w:ascii="Times New Roman" w:hAnsi="Times New Roman" w:eastAsia="宋体" w:cs="Times New Roman"/>
                <w:b/>
                <w:iCs/>
                <w:color w:val="000000"/>
                <w:kern w:val="0"/>
                <w:sz w:val="24"/>
                <w:szCs w:val="24"/>
              </w:rPr>
            </w:pPr>
            <w:r>
              <w:rPr>
                <w:rFonts w:hint="eastAsia" w:ascii="Times New Roman" w:hAnsi="Times New Roman" w:eastAsia="宋体" w:cs="Times New Roman"/>
                <w:b/>
                <w:iCs/>
                <w:color w:val="000000"/>
                <w:kern w:val="0"/>
                <w:sz w:val="24"/>
                <w:szCs w:val="24"/>
              </w:rPr>
              <w:t>1、公司新能源汽车及工业胶粘剂产品的竞争优势</w:t>
            </w:r>
          </w:p>
          <w:p w14:paraId="0CC15308">
            <w:pPr>
              <w:widowControl/>
              <w:adjustRightInd w:val="0"/>
              <w:snapToGrid w:val="0"/>
              <w:spacing w:line="360" w:lineRule="auto"/>
              <w:ind w:firstLine="480" w:firstLineChars="20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在新能源汽车领域，公司产品围绕“三电系统”（电池、电机、电控）具备高强度、高抗开裂、</w:t>
            </w:r>
            <w:r>
              <w:rPr>
                <w:rFonts w:ascii="Times New Roman" w:hAnsi="Times New Roman" w:eastAsia="宋体" w:cs="Times New Roman"/>
                <w:bCs/>
                <w:iCs/>
                <w:color w:val="000000"/>
                <w:kern w:val="0"/>
                <w:sz w:val="24"/>
                <w:szCs w:val="24"/>
              </w:rPr>
              <w:t>耐湿热老化性在双85老化测试中可保持高达500小时</w:t>
            </w:r>
            <w:r>
              <w:rPr>
                <w:rFonts w:hint="eastAsia" w:ascii="Times New Roman" w:hAnsi="Times New Roman" w:eastAsia="宋体" w:cs="Times New Roman"/>
                <w:bCs/>
                <w:iCs/>
                <w:color w:val="000000"/>
                <w:kern w:val="0"/>
                <w:sz w:val="24"/>
                <w:szCs w:val="24"/>
              </w:rPr>
              <w:t>、高导热、阻燃且能室温固化、高柔性；适合多种基材，包括不同金属/塑料粘接。具体应用包括：新能源电机的灌封保护，圆柱、方形、软包等各类电池的结构粘接与导热管理，以及电控单元内零部件的固定与密封。</w:t>
            </w:r>
          </w:p>
          <w:p w14:paraId="655529E2">
            <w:pPr>
              <w:widowControl/>
              <w:adjustRightInd w:val="0"/>
              <w:snapToGrid w:val="0"/>
              <w:spacing w:line="360" w:lineRule="auto"/>
              <w:ind w:firstLine="480" w:firstLineChars="20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在电子用胶领域，公司产品应用于为传感器等精密电子元器件的粘接、灌封、密封及导热需求提供保护。产品具有高抗开裂性、高密封性、阻燃特性，同时拉伸延伸率超过100%。结合低固化内应力与低线性膨胀系数的设计，能有效避免因温度变化或机械应力导致的封装失效。</w:t>
            </w:r>
          </w:p>
          <w:p w14:paraId="65A72AF5">
            <w:pPr>
              <w:widowControl/>
              <w:adjustRightInd w:val="0"/>
              <w:snapToGrid w:val="0"/>
              <w:spacing w:line="360" w:lineRule="auto"/>
              <w:ind w:firstLine="480" w:firstLineChars="20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其他通用工业胶产品线具有高强度、室温固化、高耐温、低粘度及高导热等特点，同样适配多种金属与塑料的粘接。应用于广泛服务于通信设备、汽车、船舶、轨道交通、路桥工程、医疗设备及一般工业制造等多个重要领域，具有横向拓展能力和市场适应性。</w:t>
            </w:r>
          </w:p>
          <w:p w14:paraId="22D0826F">
            <w:pPr>
              <w:widowControl/>
              <w:adjustRightInd w:val="0"/>
              <w:snapToGrid w:val="0"/>
              <w:spacing w:line="360" w:lineRule="auto"/>
              <w:rPr>
                <w:rFonts w:ascii="Times New Roman" w:hAnsi="Times New Roman" w:eastAsia="宋体" w:cs="Times New Roman"/>
                <w:b/>
                <w:iCs/>
                <w:color w:val="000000"/>
                <w:kern w:val="0"/>
                <w:sz w:val="24"/>
                <w:szCs w:val="24"/>
              </w:rPr>
            </w:pPr>
            <w:r>
              <w:rPr>
                <w:rFonts w:hint="eastAsia" w:ascii="Times New Roman" w:hAnsi="Times New Roman" w:eastAsia="宋体" w:cs="Times New Roman"/>
                <w:b/>
                <w:iCs/>
                <w:color w:val="000000"/>
                <w:kern w:val="0"/>
                <w:sz w:val="24"/>
                <w:szCs w:val="24"/>
              </w:rPr>
              <w:t>2、公司产能情况介绍</w:t>
            </w:r>
          </w:p>
          <w:p w14:paraId="2A575E4C">
            <w:pPr>
              <w:widowControl/>
              <w:adjustRightInd w:val="0"/>
              <w:snapToGrid w:val="0"/>
              <w:spacing w:line="360" w:lineRule="auto"/>
              <w:ind w:firstLine="480" w:firstLineChars="20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公司2025年上半年度：风电叶片用环氧树脂产能8.13万吨，产量7.91万吨，利用率97.30%；高性能风电结构胶产能0.91万吨，产量0.93万吨，利用率102.35%；新型复合材料用树脂产能1.41万吨，产量1.50万吨，利用率106.19%；新能源汽车及工业胶粘剂产能0.66万吨，产量0.47万吨，利用率71.33%。</w:t>
            </w:r>
          </w:p>
          <w:p w14:paraId="3DBF8C62">
            <w:pPr>
              <w:widowControl/>
              <w:adjustRightInd w:val="0"/>
              <w:snapToGrid w:val="0"/>
              <w:spacing w:line="360" w:lineRule="auto"/>
              <w:rPr>
                <w:rFonts w:ascii="Times New Roman" w:hAnsi="Times New Roman" w:eastAsia="宋体" w:cs="Times New Roman"/>
                <w:b/>
                <w:iCs/>
                <w:color w:val="000000"/>
                <w:kern w:val="0"/>
                <w:sz w:val="24"/>
                <w:szCs w:val="24"/>
              </w:rPr>
            </w:pPr>
            <w:r>
              <w:rPr>
                <w:rFonts w:hint="eastAsia" w:ascii="Times New Roman" w:hAnsi="Times New Roman" w:eastAsia="宋体" w:cs="Times New Roman"/>
                <w:b/>
                <w:iCs/>
                <w:color w:val="000000"/>
                <w:kern w:val="0"/>
                <w:sz w:val="24"/>
                <w:szCs w:val="24"/>
              </w:rPr>
              <w:t>3、公司产品销售的季节性</w:t>
            </w:r>
          </w:p>
          <w:p w14:paraId="78796510">
            <w:pPr>
              <w:widowControl/>
              <w:adjustRightInd w:val="0"/>
              <w:snapToGrid w:val="0"/>
              <w:spacing w:line="360" w:lineRule="auto"/>
              <w:ind w:firstLine="480" w:firstLineChars="20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在风电领域，由于改性树脂在不同温度下固化的速度和效率以及固化后的成品效果有所不同，且一般在低温下改性环氧树脂系统料的灌注难度较大，因而通常气温较低的一季度为淡季，而三至四季度为旺季。同时，我国风电场建设的周期通常是年初开工、年内建设、年底竣工投产，公司下半年业务量通常高于上半年。由于风电企业发运和吊装业务在三四季度比例较高且年底通常是风电场业主内部工程考核的时间节点，风电设备的生产周期及发货时点与风电场的建设有较高的相关性年底通常是风电场业主内部工程考核的时间节点，风电设备的生产周期及发货时点与风电场的建设具有较高相关性。</w:t>
            </w:r>
          </w:p>
          <w:p w14:paraId="6427125E">
            <w:pPr>
              <w:widowControl/>
              <w:adjustRightInd w:val="0"/>
              <w:snapToGrid w:val="0"/>
              <w:spacing w:line="360" w:lineRule="auto"/>
              <w:rPr>
                <w:rFonts w:ascii="Times New Roman" w:hAnsi="Times New Roman" w:eastAsia="宋体" w:cs="Times New Roman"/>
                <w:b/>
                <w:iCs/>
                <w:color w:val="000000"/>
                <w:kern w:val="0"/>
                <w:sz w:val="24"/>
                <w:szCs w:val="24"/>
              </w:rPr>
            </w:pPr>
            <w:bookmarkStart w:id="0" w:name="OLE_LINK1"/>
            <w:r>
              <w:rPr>
                <w:rFonts w:hint="eastAsia" w:ascii="Times New Roman" w:hAnsi="Times New Roman" w:eastAsia="宋体" w:cs="Times New Roman"/>
                <w:b/>
                <w:iCs/>
                <w:color w:val="000000"/>
                <w:kern w:val="0"/>
                <w:sz w:val="24"/>
                <w:szCs w:val="24"/>
              </w:rPr>
              <w:t>4、公司高性能电力材料产品介绍</w:t>
            </w:r>
          </w:p>
          <w:p w14:paraId="49F88E38">
            <w:pPr>
              <w:widowControl/>
              <w:adjustRightInd w:val="0"/>
              <w:snapToGrid w:val="0"/>
              <w:spacing w:line="360" w:lineRule="auto"/>
              <w:ind w:firstLine="480" w:firstLineChars="20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公司电力业务目前聚焦在高中低压绝缘件、一二次融合绝缘件、高压套管、中低压互感器线圈、高压电容器以及变压器线圈等核心产品，整体覆盖了电力装备产业链的重要环节。</w:t>
            </w:r>
          </w:p>
          <w:bookmarkEnd w:id="0"/>
          <w:p w14:paraId="5F74CDAA">
            <w:pPr>
              <w:widowControl/>
              <w:adjustRightInd w:val="0"/>
              <w:snapToGrid w:val="0"/>
              <w:spacing w:line="360" w:lineRule="auto"/>
              <w:rPr>
                <w:rFonts w:ascii="Times New Roman" w:hAnsi="Times New Roman" w:eastAsia="宋体" w:cs="Times New Roman"/>
                <w:b/>
                <w:iCs/>
                <w:color w:val="000000"/>
                <w:kern w:val="0"/>
                <w:sz w:val="24"/>
                <w:szCs w:val="24"/>
              </w:rPr>
            </w:pPr>
            <w:r>
              <w:rPr>
                <w:rFonts w:hint="eastAsia" w:ascii="Times New Roman" w:hAnsi="Times New Roman" w:eastAsia="宋体" w:cs="Times New Roman"/>
                <w:b/>
                <w:iCs/>
                <w:color w:val="000000"/>
                <w:kern w:val="0"/>
                <w:sz w:val="24"/>
                <w:szCs w:val="24"/>
              </w:rPr>
              <w:t>5、2025年国内风电与新能源汽车市场情况</w:t>
            </w:r>
          </w:p>
          <w:p w14:paraId="7857DE2C">
            <w:pPr>
              <w:widowControl/>
              <w:adjustRightInd w:val="0"/>
              <w:snapToGrid w:val="0"/>
              <w:spacing w:line="360" w:lineRule="auto"/>
              <w:ind w:firstLine="480" w:firstLineChars="200"/>
              <w:rPr>
                <w:rFonts w:hint="eastAsia"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根据公开信息，</w:t>
            </w:r>
            <w:r>
              <w:rPr>
                <w:rFonts w:ascii="Times New Roman" w:hAnsi="Times New Roman" w:eastAsia="宋体" w:cs="Times New Roman"/>
                <w:bCs/>
                <w:iCs/>
                <w:color w:val="000000"/>
                <w:kern w:val="0"/>
                <w:sz w:val="24"/>
                <w:szCs w:val="24"/>
              </w:rPr>
              <w:t>2025年1-9月，全国新增风电并网装机容量61.1GW，同比上升56.2%，截至2025年9月底，国内风电累计并网装机容量581.6GW，占电源总装机比例为15.6%</w:t>
            </w:r>
            <w:r>
              <w:rPr>
                <w:rFonts w:hint="eastAsia" w:ascii="Times New Roman" w:hAnsi="Times New Roman" w:eastAsia="宋体" w:cs="Times New Roman"/>
                <w:bCs/>
                <w:iCs/>
                <w:color w:val="000000"/>
                <w:kern w:val="0"/>
                <w:sz w:val="24"/>
                <w:szCs w:val="24"/>
              </w:rPr>
              <w:t>。</w:t>
            </w:r>
            <w:r>
              <w:rPr>
                <w:rFonts w:ascii="Times New Roman" w:hAnsi="Times New Roman" w:eastAsia="宋体" w:cs="Times New Roman"/>
                <w:bCs/>
                <w:iCs/>
                <w:color w:val="000000"/>
                <w:kern w:val="0"/>
                <w:sz w:val="24"/>
                <w:szCs w:val="24"/>
              </w:rPr>
              <w:t>2025年1-9月，</w:t>
            </w:r>
            <w:r>
              <w:rPr>
                <w:rFonts w:hint="eastAsia" w:ascii="Times New Roman" w:hAnsi="Times New Roman" w:eastAsia="宋体" w:cs="Times New Roman"/>
                <w:bCs/>
                <w:iCs/>
                <w:color w:val="000000"/>
                <w:kern w:val="0"/>
                <w:sz w:val="24"/>
                <w:szCs w:val="24"/>
              </w:rPr>
              <w:t>中国</w:t>
            </w:r>
            <w:r>
              <w:rPr>
                <w:rFonts w:ascii="Times New Roman" w:hAnsi="Times New Roman" w:eastAsia="宋体" w:cs="Times New Roman"/>
                <w:bCs/>
                <w:iCs/>
                <w:color w:val="000000"/>
                <w:kern w:val="0"/>
                <w:sz w:val="24"/>
                <w:szCs w:val="24"/>
              </w:rPr>
              <w:t>新能源汽车产销分别完成1124.3万辆和1122.8万辆，同比分别增长35.2%和34.9%，新能源汽车新车销量达到汽车新车总销量的46.1%。</w:t>
            </w:r>
          </w:p>
          <w:p w14:paraId="2A46F7E8">
            <w:pPr>
              <w:widowControl/>
              <w:adjustRightInd w:val="0"/>
              <w:snapToGrid w:val="0"/>
              <w:spacing w:line="360" w:lineRule="auto"/>
              <w:rPr>
                <w:rFonts w:ascii="Times New Roman" w:hAnsi="Times New Roman" w:eastAsia="宋体" w:cs="Times New Roman"/>
                <w:b/>
                <w:iCs/>
                <w:color w:val="000000"/>
                <w:kern w:val="0"/>
                <w:sz w:val="24"/>
                <w:szCs w:val="24"/>
              </w:rPr>
            </w:pPr>
            <w:r>
              <w:rPr>
                <w:rFonts w:hint="eastAsia" w:ascii="Times New Roman" w:hAnsi="Times New Roman" w:eastAsia="宋体" w:cs="Times New Roman"/>
                <w:b/>
                <w:iCs/>
                <w:color w:val="000000"/>
                <w:kern w:val="0"/>
                <w:sz w:val="24"/>
                <w:szCs w:val="24"/>
              </w:rPr>
              <w:t>6、未来新能源行业的发展前景？</w:t>
            </w:r>
          </w:p>
          <w:p w14:paraId="69951A48">
            <w:pPr>
              <w:widowControl/>
              <w:adjustRightInd w:val="0"/>
              <w:snapToGrid w:val="0"/>
              <w:spacing w:line="360" w:lineRule="auto"/>
              <w:ind w:firstLine="480" w:firstLineChars="20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我们认为风电发展前景依然广阔且充满潜力。国内风电装机容量保持稳步增长。随着电力领域相关政策调整，市场解读认为对风电而言反而潜在长期利好。</w:t>
            </w:r>
          </w:p>
          <w:p w14:paraId="181E1A45">
            <w:pPr>
              <w:widowControl/>
              <w:adjustRightInd w:val="0"/>
              <w:snapToGrid w:val="0"/>
              <w:spacing w:line="360" w:lineRule="auto"/>
              <w:ind w:firstLine="480" w:firstLineChars="20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过去几年，光伏装机规模显著高于风电。从最新上网电价政策看，预计未来3–5年内，两者增长关系可能发生逆转，风电有望成为新增装机的主力。</w:t>
            </w:r>
          </w:p>
          <w:p w14:paraId="310F45E4">
            <w:pPr>
              <w:widowControl/>
              <w:adjustRightInd w:val="0"/>
              <w:snapToGrid w:val="0"/>
              <w:spacing w:line="360" w:lineRule="auto"/>
              <w:ind w:firstLine="480" w:firstLineChars="200"/>
              <w:rPr>
                <w:rFonts w:ascii="Times New Roman" w:hAnsi="Times New Roman" w:eastAsia="宋体" w:cs="Times New Roman"/>
                <w:bCs/>
                <w:iCs/>
                <w:color w:val="000000"/>
                <w:kern w:val="0"/>
                <w:sz w:val="24"/>
                <w:szCs w:val="24"/>
              </w:rPr>
            </w:pPr>
            <w:r>
              <w:rPr>
                <w:rFonts w:hint="eastAsia" w:ascii="Times New Roman" w:hAnsi="Times New Roman" w:eastAsia="宋体" w:cs="Times New Roman"/>
                <w:bCs/>
                <w:iCs/>
                <w:color w:val="000000"/>
                <w:kern w:val="0"/>
                <w:sz w:val="24"/>
                <w:szCs w:val="24"/>
              </w:rPr>
              <w:t>目前电价竞标等机制对光伏项目带来一定压力，光伏行业也正通过整合产能、恢</w:t>
            </w:r>
            <w:bookmarkStart w:id="2" w:name="_GoBack"/>
            <w:bookmarkEnd w:id="2"/>
            <w:r>
              <w:rPr>
                <w:rFonts w:hint="eastAsia" w:ascii="Times New Roman" w:hAnsi="Times New Roman" w:eastAsia="宋体" w:cs="Times New Roman"/>
                <w:bCs/>
                <w:iCs/>
                <w:color w:val="000000"/>
                <w:kern w:val="0"/>
                <w:sz w:val="24"/>
                <w:szCs w:val="24"/>
              </w:rPr>
              <w:t>复组件价格等方式积极应对。但从源头来看，光伏新建项目数量呈减少趋势，行业整体面临调整。相比之下，风电在政策支持与技术进步双重驱动下，有望迎来更显著的发展窗口，公司也将持续关注政策与市场变化，把握行业增长机遇。</w:t>
            </w:r>
          </w:p>
          <w:p w14:paraId="65664B44">
            <w:pPr>
              <w:widowControl/>
              <w:adjustRightInd w:val="0"/>
              <w:snapToGrid w:val="0"/>
              <w:spacing w:line="360" w:lineRule="auto"/>
              <w:rPr>
                <w:rFonts w:ascii="Times New Roman" w:hAnsi="Times New Roman" w:eastAsia="宋体" w:cs="Times New Roman"/>
                <w:b/>
                <w:iCs/>
                <w:color w:val="000000"/>
                <w:kern w:val="0"/>
                <w:sz w:val="24"/>
                <w:szCs w:val="24"/>
              </w:rPr>
            </w:pPr>
            <w:r>
              <w:rPr>
                <w:rFonts w:hint="eastAsia" w:ascii="Times New Roman" w:hAnsi="Times New Roman" w:eastAsia="宋体" w:cs="Times New Roman"/>
                <w:b/>
                <w:iCs/>
                <w:color w:val="000000"/>
                <w:kern w:val="0"/>
                <w:sz w:val="24"/>
                <w:szCs w:val="24"/>
              </w:rPr>
              <w:t>7、中国风电整机厂出海的新趋势对公司的海外业务构成影响？</w:t>
            </w:r>
          </w:p>
          <w:p w14:paraId="193A814A">
            <w:pPr>
              <w:widowControl/>
              <w:adjustRightInd w:val="0"/>
              <w:snapToGrid w:val="0"/>
              <w:spacing w:line="360" w:lineRule="auto"/>
              <w:ind w:firstLine="480" w:firstLineChars="200"/>
              <w:rPr>
                <w:rFonts w:ascii="Times New Roman" w:hAnsi="Times New Roman" w:eastAsia="宋体" w:cs="Times New Roman"/>
                <w:bCs/>
                <w:iCs/>
                <w:color w:val="000000"/>
                <w:kern w:val="0"/>
                <w:sz w:val="24"/>
                <w:szCs w:val="24"/>
              </w:rPr>
            </w:pPr>
            <w:r>
              <w:rPr>
                <w:rFonts w:ascii="Times New Roman" w:hAnsi="Times New Roman" w:eastAsia="宋体" w:cs="Times New Roman"/>
                <w:bCs/>
                <w:iCs/>
                <w:color w:val="000000"/>
                <w:kern w:val="0"/>
                <w:sz w:val="24"/>
                <w:szCs w:val="24"/>
              </w:rPr>
              <w:t>面对中国整机厂出海带来的竞争格局变化，</w:t>
            </w:r>
            <w:r>
              <w:rPr>
                <w:rFonts w:hint="eastAsia" w:ascii="Times New Roman" w:hAnsi="Times New Roman" w:eastAsia="宋体" w:cs="Times New Roman"/>
                <w:bCs/>
                <w:iCs/>
                <w:color w:val="000000"/>
                <w:kern w:val="0"/>
                <w:sz w:val="24"/>
                <w:szCs w:val="24"/>
              </w:rPr>
              <w:t>公司</w:t>
            </w:r>
            <w:r>
              <w:rPr>
                <w:rFonts w:ascii="Times New Roman" w:hAnsi="Times New Roman" w:eastAsia="宋体" w:cs="Times New Roman"/>
                <w:bCs/>
                <w:iCs/>
                <w:color w:val="000000"/>
                <w:kern w:val="0"/>
                <w:sz w:val="24"/>
                <w:szCs w:val="24"/>
              </w:rPr>
              <w:t>策略是依据不同市场进行</w:t>
            </w:r>
            <w:r>
              <w:rPr>
                <w:rFonts w:hint="eastAsia" w:ascii="Times New Roman" w:hAnsi="Times New Roman" w:eastAsia="宋体" w:cs="Times New Roman"/>
                <w:bCs/>
                <w:iCs/>
                <w:color w:val="000000"/>
                <w:kern w:val="0"/>
                <w:sz w:val="24"/>
                <w:szCs w:val="24"/>
              </w:rPr>
              <w:t>不同</w:t>
            </w:r>
            <w:r>
              <w:rPr>
                <w:rFonts w:ascii="Times New Roman" w:hAnsi="Times New Roman" w:eastAsia="宋体" w:cs="Times New Roman"/>
                <w:bCs/>
                <w:iCs/>
                <w:color w:val="000000"/>
                <w:kern w:val="0"/>
                <w:sz w:val="24"/>
                <w:szCs w:val="24"/>
              </w:rPr>
              <w:t>应对。在欧美成熟市场</w:t>
            </w:r>
            <w:r>
              <w:rPr>
                <w:rFonts w:hint="eastAsia" w:ascii="Times New Roman" w:hAnsi="Times New Roman" w:eastAsia="宋体" w:cs="Times New Roman"/>
                <w:bCs/>
                <w:iCs/>
                <w:color w:val="000000"/>
                <w:kern w:val="0"/>
                <w:sz w:val="24"/>
                <w:szCs w:val="24"/>
              </w:rPr>
              <w:t>中，</w:t>
            </w:r>
            <w:r>
              <w:rPr>
                <w:rFonts w:ascii="Times New Roman" w:hAnsi="Times New Roman" w:eastAsia="宋体" w:cs="Times New Roman"/>
                <w:bCs/>
                <w:iCs/>
                <w:color w:val="000000"/>
                <w:kern w:val="0"/>
                <w:sz w:val="24"/>
                <w:szCs w:val="24"/>
              </w:rPr>
              <w:t>欧盟</w:t>
            </w:r>
            <w:bookmarkStart w:id="1" w:name="OLE_LINK2"/>
            <w:r>
              <w:rPr>
                <w:rFonts w:ascii="Times New Roman" w:hAnsi="Times New Roman" w:eastAsia="宋体" w:cs="Times New Roman"/>
                <w:bCs/>
                <w:iCs/>
                <w:color w:val="000000"/>
                <w:kern w:val="0"/>
                <w:sz w:val="24"/>
                <w:szCs w:val="24"/>
              </w:rPr>
              <w:t>《净零工业法案》</w:t>
            </w:r>
            <w:bookmarkEnd w:id="1"/>
            <w:r>
              <w:rPr>
                <w:rFonts w:ascii="Times New Roman" w:hAnsi="Times New Roman" w:eastAsia="宋体" w:cs="Times New Roman"/>
                <w:bCs/>
                <w:iCs/>
                <w:color w:val="000000"/>
                <w:kern w:val="0"/>
                <w:sz w:val="24"/>
                <w:szCs w:val="24"/>
              </w:rPr>
              <w:t>设定了风电等产品的本地含量目标，</w:t>
            </w:r>
            <w:r>
              <w:rPr>
                <w:rFonts w:hint="eastAsia" w:ascii="Times New Roman" w:hAnsi="Times New Roman" w:eastAsia="宋体" w:cs="Times New Roman"/>
                <w:bCs/>
                <w:iCs/>
                <w:color w:val="000000"/>
                <w:kern w:val="0"/>
                <w:sz w:val="24"/>
                <w:szCs w:val="24"/>
              </w:rPr>
              <w:t>其中</w:t>
            </w:r>
            <w:r>
              <w:rPr>
                <w:rFonts w:ascii="Times New Roman" w:hAnsi="Times New Roman" w:eastAsia="宋体" w:cs="Times New Roman"/>
                <w:bCs/>
                <w:iCs/>
                <w:color w:val="000000"/>
                <w:kern w:val="0"/>
                <w:sz w:val="24"/>
                <w:szCs w:val="24"/>
              </w:rPr>
              <w:t>“韧性贡献”要求直接限制了中国整机产品在招标中的使用比例。这些政策将市场竞争从价格维度转向了供应安全、</w:t>
            </w:r>
            <w:r>
              <w:rPr>
                <w:rFonts w:hint="eastAsia" w:ascii="Times New Roman" w:hAnsi="Times New Roman" w:eastAsia="宋体" w:cs="Times New Roman"/>
                <w:bCs/>
                <w:iCs/>
                <w:color w:val="000000"/>
                <w:kern w:val="0"/>
                <w:sz w:val="24"/>
                <w:szCs w:val="24"/>
              </w:rPr>
              <w:t>产品硬实力</w:t>
            </w:r>
            <w:r>
              <w:rPr>
                <w:rFonts w:ascii="Times New Roman" w:hAnsi="Times New Roman" w:eastAsia="宋体" w:cs="Times New Roman"/>
                <w:bCs/>
                <w:iCs/>
                <w:color w:val="000000"/>
                <w:kern w:val="0"/>
                <w:sz w:val="24"/>
                <w:szCs w:val="24"/>
              </w:rPr>
              <w:t>，我们作为已深</w:t>
            </w:r>
            <w:r>
              <w:rPr>
                <w:rFonts w:hint="eastAsia" w:ascii="Times New Roman" w:hAnsi="Times New Roman" w:eastAsia="宋体" w:cs="Times New Roman"/>
                <w:bCs/>
                <w:iCs/>
                <w:color w:val="000000"/>
                <w:kern w:val="0"/>
                <w:sz w:val="24"/>
                <w:szCs w:val="24"/>
              </w:rPr>
              <w:t>入当地</w:t>
            </w:r>
            <w:r>
              <w:rPr>
                <w:rFonts w:ascii="Times New Roman" w:hAnsi="Times New Roman" w:eastAsia="宋体" w:cs="Times New Roman"/>
                <w:bCs/>
                <w:iCs/>
                <w:color w:val="000000"/>
                <w:kern w:val="0"/>
                <w:sz w:val="24"/>
                <w:szCs w:val="24"/>
              </w:rPr>
              <w:t>供应链、产品经过长期严苛认证</w:t>
            </w:r>
            <w:r>
              <w:rPr>
                <w:rFonts w:hint="eastAsia" w:ascii="Times New Roman" w:hAnsi="Times New Roman" w:eastAsia="宋体" w:cs="Times New Roman"/>
                <w:bCs/>
                <w:iCs/>
                <w:color w:val="000000"/>
                <w:kern w:val="0"/>
                <w:sz w:val="24"/>
                <w:szCs w:val="24"/>
              </w:rPr>
              <w:t>的供应商优势明显</w:t>
            </w:r>
            <w:r>
              <w:rPr>
                <w:rFonts w:ascii="Times New Roman" w:hAnsi="Times New Roman" w:eastAsia="宋体" w:cs="Times New Roman"/>
                <w:bCs/>
                <w:iCs/>
                <w:color w:val="000000"/>
                <w:kern w:val="0"/>
                <w:sz w:val="24"/>
                <w:szCs w:val="24"/>
              </w:rPr>
              <w:t>。</w:t>
            </w:r>
            <w:r>
              <w:rPr>
                <w:rFonts w:hint="eastAsia" w:ascii="Times New Roman" w:hAnsi="Times New Roman" w:eastAsia="宋体" w:cs="Times New Roman"/>
                <w:bCs/>
                <w:iCs/>
                <w:color w:val="000000"/>
                <w:kern w:val="0"/>
                <w:sz w:val="24"/>
                <w:szCs w:val="24"/>
              </w:rPr>
              <w:t>另外</w:t>
            </w:r>
            <w:r>
              <w:rPr>
                <w:rFonts w:ascii="Times New Roman" w:hAnsi="Times New Roman" w:eastAsia="宋体" w:cs="Times New Roman"/>
                <w:bCs/>
                <w:iCs/>
                <w:color w:val="000000"/>
                <w:kern w:val="0"/>
                <w:sz w:val="24"/>
                <w:szCs w:val="24"/>
              </w:rPr>
              <w:t>，在东南亚、拉美等新兴市场，我们则采取灵活策略，积极适配中国整机厂的出海与本地化生产需求，</w:t>
            </w:r>
            <w:r>
              <w:rPr>
                <w:rFonts w:hint="eastAsia" w:ascii="Times New Roman" w:hAnsi="Times New Roman" w:eastAsia="宋体" w:cs="Times New Roman"/>
                <w:bCs/>
                <w:iCs/>
                <w:color w:val="000000"/>
                <w:kern w:val="0"/>
                <w:sz w:val="24"/>
                <w:szCs w:val="24"/>
              </w:rPr>
              <w:t>作为</w:t>
            </w:r>
            <w:r>
              <w:rPr>
                <w:rFonts w:ascii="Times New Roman" w:hAnsi="Times New Roman" w:eastAsia="宋体" w:cs="Times New Roman"/>
                <w:bCs/>
                <w:iCs/>
                <w:color w:val="000000"/>
                <w:kern w:val="0"/>
                <w:sz w:val="24"/>
                <w:szCs w:val="24"/>
              </w:rPr>
              <w:t>其海外的核心材料供应商</w:t>
            </w:r>
            <w:r>
              <w:rPr>
                <w:rFonts w:hint="eastAsia" w:ascii="Times New Roman" w:hAnsi="Times New Roman" w:eastAsia="宋体" w:cs="Times New Roman"/>
                <w:bCs/>
                <w:iCs/>
                <w:color w:val="000000"/>
                <w:kern w:val="0"/>
                <w:sz w:val="24"/>
                <w:szCs w:val="24"/>
              </w:rPr>
              <w:t>，</w:t>
            </w:r>
            <w:r>
              <w:rPr>
                <w:rFonts w:ascii="Times New Roman" w:hAnsi="Times New Roman" w:eastAsia="宋体" w:cs="Times New Roman"/>
                <w:bCs/>
                <w:iCs/>
                <w:color w:val="000000"/>
                <w:kern w:val="0"/>
                <w:sz w:val="24"/>
                <w:szCs w:val="24"/>
              </w:rPr>
              <w:t>把握全方位的增长机遇。</w:t>
            </w:r>
          </w:p>
        </w:tc>
      </w:tr>
      <w:tr w14:paraId="328E6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828" w:type="dxa"/>
            <w:vAlign w:val="center"/>
          </w:tcPr>
          <w:p w14:paraId="39CD6742">
            <w:pPr>
              <w:adjustRightInd w:val="0"/>
              <w:snapToGrid w:val="0"/>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附件清单</w:t>
            </w:r>
          </w:p>
        </w:tc>
        <w:tc>
          <w:tcPr>
            <w:tcW w:w="7371" w:type="dxa"/>
            <w:gridSpan w:val="4"/>
            <w:vAlign w:val="center"/>
          </w:tcPr>
          <w:p w14:paraId="17FF272C">
            <w:pPr>
              <w:adjustRightInd w:val="0"/>
              <w:snapToGrid w:val="0"/>
              <w:rPr>
                <w:rFonts w:ascii="Times New Roman" w:hAnsi="Times New Roman" w:eastAsia="宋体" w:cs="Times New Roman"/>
                <w:bCs/>
                <w:iCs/>
                <w:color w:val="000000"/>
                <w:kern w:val="0"/>
                <w:sz w:val="24"/>
                <w:szCs w:val="24"/>
              </w:rPr>
            </w:pPr>
            <w:r>
              <w:rPr>
                <w:rFonts w:ascii="Times New Roman" w:hAnsi="Times New Roman" w:eastAsia="宋体" w:cs="Times New Roman"/>
                <w:bCs/>
                <w:iCs/>
                <w:color w:val="000000"/>
                <w:kern w:val="0"/>
                <w:sz w:val="24"/>
                <w:szCs w:val="24"/>
              </w:rPr>
              <w:t>无</w:t>
            </w:r>
          </w:p>
        </w:tc>
      </w:tr>
    </w:tbl>
    <w:p w14:paraId="1D2FCC61">
      <w:pPr>
        <w:adjustRightInd w:val="0"/>
        <w:snapToGrid w:val="0"/>
        <w:rPr>
          <w:rFonts w:hint="eastAsia"/>
        </w:rPr>
      </w:pPr>
    </w:p>
    <w:p w14:paraId="6A25243D">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5D"/>
    <w:rsid w:val="000679BB"/>
    <w:rsid w:val="00081C73"/>
    <w:rsid w:val="000904DA"/>
    <w:rsid w:val="000C30B3"/>
    <w:rsid w:val="000D0A7A"/>
    <w:rsid w:val="000D5D9C"/>
    <w:rsid w:val="000D7CAD"/>
    <w:rsid w:val="000E1682"/>
    <w:rsid w:val="001214BD"/>
    <w:rsid w:val="0016044F"/>
    <w:rsid w:val="00164C53"/>
    <w:rsid w:val="00181E77"/>
    <w:rsid w:val="00194649"/>
    <w:rsid w:val="00194F11"/>
    <w:rsid w:val="00196762"/>
    <w:rsid w:val="001A5995"/>
    <w:rsid w:val="001B626D"/>
    <w:rsid w:val="001B7760"/>
    <w:rsid w:val="001C506A"/>
    <w:rsid w:val="001D0FDF"/>
    <w:rsid w:val="001F488D"/>
    <w:rsid w:val="0020089A"/>
    <w:rsid w:val="002032E6"/>
    <w:rsid w:val="00211B86"/>
    <w:rsid w:val="00232638"/>
    <w:rsid w:val="00253FA2"/>
    <w:rsid w:val="002551CA"/>
    <w:rsid w:val="00260D06"/>
    <w:rsid w:val="00271AC2"/>
    <w:rsid w:val="00281D76"/>
    <w:rsid w:val="00292949"/>
    <w:rsid w:val="002A02A8"/>
    <w:rsid w:val="002C38EE"/>
    <w:rsid w:val="002C4F29"/>
    <w:rsid w:val="002D2C3F"/>
    <w:rsid w:val="002D54F3"/>
    <w:rsid w:val="002D718D"/>
    <w:rsid w:val="002E5212"/>
    <w:rsid w:val="002F0F88"/>
    <w:rsid w:val="002F1777"/>
    <w:rsid w:val="003322E1"/>
    <w:rsid w:val="00346008"/>
    <w:rsid w:val="0037274D"/>
    <w:rsid w:val="00377258"/>
    <w:rsid w:val="0038238A"/>
    <w:rsid w:val="00387D55"/>
    <w:rsid w:val="003910D5"/>
    <w:rsid w:val="0039486B"/>
    <w:rsid w:val="003956BF"/>
    <w:rsid w:val="003A00A0"/>
    <w:rsid w:val="003A0611"/>
    <w:rsid w:val="003A52D6"/>
    <w:rsid w:val="003C53AB"/>
    <w:rsid w:val="003E02A7"/>
    <w:rsid w:val="003E2E7A"/>
    <w:rsid w:val="003E35D9"/>
    <w:rsid w:val="003E7506"/>
    <w:rsid w:val="003F1A5D"/>
    <w:rsid w:val="003F6BF4"/>
    <w:rsid w:val="00436E1A"/>
    <w:rsid w:val="00444A0D"/>
    <w:rsid w:val="00455181"/>
    <w:rsid w:val="004747B5"/>
    <w:rsid w:val="004C37A2"/>
    <w:rsid w:val="004C4412"/>
    <w:rsid w:val="004E0D04"/>
    <w:rsid w:val="004E4CC1"/>
    <w:rsid w:val="004F54F3"/>
    <w:rsid w:val="004F5570"/>
    <w:rsid w:val="00510985"/>
    <w:rsid w:val="00510B80"/>
    <w:rsid w:val="00532856"/>
    <w:rsid w:val="005912EB"/>
    <w:rsid w:val="005A0CAC"/>
    <w:rsid w:val="005B2BF7"/>
    <w:rsid w:val="005B71A0"/>
    <w:rsid w:val="005D7F00"/>
    <w:rsid w:val="005E3D70"/>
    <w:rsid w:val="005F7A1D"/>
    <w:rsid w:val="00612150"/>
    <w:rsid w:val="00636A25"/>
    <w:rsid w:val="00653559"/>
    <w:rsid w:val="00662EDE"/>
    <w:rsid w:val="0068083C"/>
    <w:rsid w:val="00681705"/>
    <w:rsid w:val="006D7187"/>
    <w:rsid w:val="006E05A0"/>
    <w:rsid w:val="006E1C3A"/>
    <w:rsid w:val="006E6A28"/>
    <w:rsid w:val="006F1B1C"/>
    <w:rsid w:val="00714705"/>
    <w:rsid w:val="00716DC1"/>
    <w:rsid w:val="00717562"/>
    <w:rsid w:val="00735676"/>
    <w:rsid w:val="00737A6A"/>
    <w:rsid w:val="00740AF6"/>
    <w:rsid w:val="0074503E"/>
    <w:rsid w:val="0075547C"/>
    <w:rsid w:val="00771A27"/>
    <w:rsid w:val="00772253"/>
    <w:rsid w:val="007801BF"/>
    <w:rsid w:val="00790FB2"/>
    <w:rsid w:val="00794C0B"/>
    <w:rsid w:val="00821B4B"/>
    <w:rsid w:val="00832E13"/>
    <w:rsid w:val="008339F4"/>
    <w:rsid w:val="0084240B"/>
    <w:rsid w:val="00865FF0"/>
    <w:rsid w:val="00875BBC"/>
    <w:rsid w:val="00895556"/>
    <w:rsid w:val="008969C0"/>
    <w:rsid w:val="008A5E28"/>
    <w:rsid w:val="008B5888"/>
    <w:rsid w:val="008D61A1"/>
    <w:rsid w:val="00901DC3"/>
    <w:rsid w:val="0091650E"/>
    <w:rsid w:val="00934968"/>
    <w:rsid w:val="00956FD7"/>
    <w:rsid w:val="00960D30"/>
    <w:rsid w:val="0097001E"/>
    <w:rsid w:val="009A0720"/>
    <w:rsid w:val="009A5579"/>
    <w:rsid w:val="009A61ED"/>
    <w:rsid w:val="009A7FE6"/>
    <w:rsid w:val="009E5FCB"/>
    <w:rsid w:val="009F3627"/>
    <w:rsid w:val="00A00107"/>
    <w:rsid w:val="00A008E2"/>
    <w:rsid w:val="00A16727"/>
    <w:rsid w:val="00A205ED"/>
    <w:rsid w:val="00A24FD7"/>
    <w:rsid w:val="00A2792A"/>
    <w:rsid w:val="00A27EAC"/>
    <w:rsid w:val="00A31558"/>
    <w:rsid w:val="00A43830"/>
    <w:rsid w:val="00A56726"/>
    <w:rsid w:val="00A733B9"/>
    <w:rsid w:val="00AC3E4E"/>
    <w:rsid w:val="00AF6BB1"/>
    <w:rsid w:val="00B02886"/>
    <w:rsid w:val="00B228E6"/>
    <w:rsid w:val="00B71D4E"/>
    <w:rsid w:val="00B7504D"/>
    <w:rsid w:val="00B7612D"/>
    <w:rsid w:val="00B76E32"/>
    <w:rsid w:val="00B77641"/>
    <w:rsid w:val="00B85AB6"/>
    <w:rsid w:val="00B9355D"/>
    <w:rsid w:val="00B97FF4"/>
    <w:rsid w:val="00BA0EC8"/>
    <w:rsid w:val="00BA4C6F"/>
    <w:rsid w:val="00BE21F7"/>
    <w:rsid w:val="00BF7CC2"/>
    <w:rsid w:val="00C027F8"/>
    <w:rsid w:val="00C10FB5"/>
    <w:rsid w:val="00C17081"/>
    <w:rsid w:val="00C179E1"/>
    <w:rsid w:val="00C24683"/>
    <w:rsid w:val="00C25562"/>
    <w:rsid w:val="00C3602C"/>
    <w:rsid w:val="00C57185"/>
    <w:rsid w:val="00C631BF"/>
    <w:rsid w:val="00C64474"/>
    <w:rsid w:val="00C662CA"/>
    <w:rsid w:val="00C80E0E"/>
    <w:rsid w:val="00C82BEE"/>
    <w:rsid w:val="00C92778"/>
    <w:rsid w:val="00C9522E"/>
    <w:rsid w:val="00CA7DBF"/>
    <w:rsid w:val="00CE7C6D"/>
    <w:rsid w:val="00CF2DC2"/>
    <w:rsid w:val="00D40CF9"/>
    <w:rsid w:val="00D43191"/>
    <w:rsid w:val="00D460F0"/>
    <w:rsid w:val="00D50CF8"/>
    <w:rsid w:val="00D5696F"/>
    <w:rsid w:val="00D60011"/>
    <w:rsid w:val="00D63173"/>
    <w:rsid w:val="00D84782"/>
    <w:rsid w:val="00D96CA6"/>
    <w:rsid w:val="00DB26D5"/>
    <w:rsid w:val="00DD7130"/>
    <w:rsid w:val="00DE0290"/>
    <w:rsid w:val="00DE1932"/>
    <w:rsid w:val="00DF0ADC"/>
    <w:rsid w:val="00E06D7A"/>
    <w:rsid w:val="00E23D0B"/>
    <w:rsid w:val="00E42157"/>
    <w:rsid w:val="00E56BAD"/>
    <w:rsid w:val="00E624EE"/>
    <w:rsid w:val="00E8042F"/>
    <w:rsid w:val="00E809E2"/>
    <w:rsid w:val="00EB4594"/>
    <w:rsid w:val="00EB595D"/>
    <w:rsid w:val="00EB69F9"/>
    <w:rsid w:val="00EE18E8"/>
    <w:rsid w:val="00EF56C6"/>
    <w:rsid w:val="00F111FE"/>
    <w:rsid w:val="00F15A8D"/>
    <w:rsid w:val="00F419FD"/>
    <w:rsid w:val="00F56B80"/>
    <w:rsid w:val="00F73AA1"/>
    <w:rsid w:val="00F77FB2"/>
    <w:rsid w:val="00F977A3"/>
    <w:rsid w:val="00FC1545"/>
    <w:rsid w:val="00FC4206"/>
    <w:rsid w:val="21D3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21"/>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2"/>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3"/>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4"/>
    <w:semiHidden/>
    <w:unhideWhenUsed/>
    <w:qFormat/>
    <w:uiPriority w:val="9"/>
    <w:pPr>
      <w:keepNext/>
      <w:keepLines/>
      <w:spacing w:before="80" w:after="40" w:line="278" w:lineRule="auto"/>
      <w:jc w:val="left"/>
      <w:outlineLvl w:val="3"/>
    </w:pPr>
    <w:rPr>
      <w:rFonts w:cstheme="majorBidi"/>
      <w:color w:val="104862" w:themeColor="accent1" w:themeShade="BF"/>
      <w:sz w:val="28"/>
      <w:szCs w:val="28"/>
      <w14:ligatures w14:val="standardContextual"/>
    </w:rPr>
  </w:style>
  <w:style w:type="paragraph" w:styleId="6">
    <w:name w:val="heading 5"/>
    <w:basedOn w:val="1"/>
    <w:next w:val="1"/>
    <w:link w:val="25"/>
    <w:semiHidden/>
    <w:unhideWhenUsed/>
    <w:qFormat/>
    <w:uiPriority w:val="9"/>
    <w:pPr>
      <w:keepNext/>
      <w:keepLines/>
      <w:spacing w:before="80" w:after="40" w:line="278" w:lineRule="auto"/>
      <w:jc w:val="left"/>
      <w:outlineLvl w:val="4"/>
    </w:pPr>
    <w:rPr>
      <w:rFonts w:cstheme="majorBidi"/>
      <w:color w:val="104862" w:themeColor="accent1" w:themeShade="BF"/>
      <w:sz w:val="24"/>
      <w:szCs w:val="24"/>
      <w14:ligatures w14:val="standardContextual"/>
    </w:rPr>
  </w:style>
  <w:style w:type="paragraph" w:styleId="7">
    <w:name w:val="heading 6"/>
    <w:basedOn w:val="1"/>
    <w:next w:val="1"/>
    <w:link w:val="26"/>
    <w:semiHidden/>
    <w:unhideWhenUsed/>
    <w:qFormat/>
    <w:uiPriority w:val="9"/>
    <w:pPr>
      <w:keepNext/>
      <w:keepLines/>
      <w:spacing w:before="40" w:line="278" w:lineRule="auto"/>
      <w:jc w:val="left"/>
      <w:outlineLvl w:val="5"/>
    </w:pPr>
    <w:rPr>
      <w:rFonts w:cstheme="majorBidi"/>
      <w:b/>
      <w:bCs/>
      <w:color w:val="104862" w:themeColor="accent1" w:themeShade="BF"/>
      <w:sz w:val="22"/>
      <w:szCs w:val="24"/>
      <w14:ligatures w14:val="standardContextual"/>
    </w:rPr>
  </w:style>
  <w:style w:type="paragraph" w:styleId="8">
    <w:name w:val="heading 7"/>
    <w:basedOn w:val="1"/>
    <w:next w:val="1"/>
    <w:link w:val="27"/>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8"/>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9"/>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unhideWhenUsed/>
    <w:uiPriority w:val="99"/>
    <w:pPr>
      <w:jc w:val="left"/>
    </w:pPr>
  </w:style>
  <w:style w:type="paragraph" w:styleId="12">
    <w:name w:val="footer"/>
    <w:basedOn w:val="1"/>
    <w:link w:val="40"/>
    <w:unhideWhenUsed/>
    <w:uiPriority w:val="99"/>
    <w:pPr>
      <w:tabs>
        <w:tab w:val="center" w:pos="4153"/>
        <w:tab w:val="right" w:pos="8306"/>
      </w:tabs>
      <w:snapToGrid w:val="0"/>
      <w:spacing w:after="160"/>
      <w:jc w:val="left"/>
    </w:pPr>
    <w:rPr>
      <w:sz w:val="18"/>
      <w:szCs w:val="18"/>
      <w14:ligatures w14:val="standardContextual"/>
    </w:rPr>
  </w:style>
  <w:style w:type="paragraph" w:styleId="13">
    <w:name w:val="header"/>
    <w:basedOn w:val="1"/>
    <w:link w:val="39"/>
    <w:unhideWhenUsed/>
    <w:qFormat/>
    <w:uiPriority w:val="99"/>
    <w:pPr>
      <w:tabs>
        <w:tab w:val="center" w:pos="4153"/>
        <w:tab w:val="right" w:pos="8306"/>
      </w:tabs>
      <w:snapToGrid w:val="0"/>
      <w:spacing w:after="160"/>
      <w:jc w:val="center"/>
    </w:pPr>
    <w:rPr>
      <w:sz w:val="18"/>
      <w:szCs w:val="18"/>
      <w14:ligatures w14:val="standardContextual"/>
    </w:rPr>
  </w:style>
  <w:style w:type="paragraph" w:styleId="14">
    <w:name w:val="Subtitle"/>
    <w:basedOn w:val="1"/>
    <w:next w:val="1"/>
    <w:link w:val="31"/>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16">
    <w:name w:val="annotation subject"/>
    <w:basedOn w:val="11"/>
    <w:next w:val="11"/>
    <w:link w:val="43"/>
    <w:semiHidden/>
    <w:unhideWhenUsed/>
    <w:qFormat/>
    <w:uiPriority w:val="99"/>
    <w:rPr>
      <w:b/>
      <w:bCs/>
    </w:rPr>
  </w:style>
  <w:style w:type="table" w:styleId="18">
    <w:name w:val="Table Grid"/>
    <w:basedOn w:val="1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uiPriority w:val="99"/>
    <w:rPr>
      <w:sz w:val="21"/>
      <w:szCs w:val="21"/>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rPr>
  </w:style>
  <w:style w:type="character" w:customStyle="1" w:styleId="26">
    <w:name w:val="标题 6 字符"/>
    <w:basedOn w:val="19"/>
    <w:link w:val="7"/>
    <w:semiHidden/>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5"/>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spacing w:after="160" w:line="278" w:lineRule="auto"/>
      <w:ind w:left="720"/>
      <w:contextualSpacing/>
      <w:jc w:val="left"/>
    </w:pPr>
    <w:rPr>
      <w:sz w:val="22"/>
      <w:szCs w:val="24"/>
      <w14:ligatures w14:val="standardContextual"/>
    </w:rPr>
  </w:style>
  <w:style w:type="character" w:customStyle="1" w:styleId="35">
    <w:name w:val="Intense Emphasis"/>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sz w:val="22"/>
      <w:szCs w:val="24"/>
      <w14:ligatures w14:val="standardContextual"/>
    </w:rPr>
  </w:style>
  <w:style w:type="character" w:customStyle="1" w:styleId="37">
    <w:name w:val="明显引用 字符"/>
    <w:basedOn w:val="19"/>
    <w:link w:val="36"/>
    <w:uiPriority w:val="30"/>
    <w:rPr>
      <w:i/>
      <w:iCs/>
      <w:color w:val="104862" w:themeColor="accent1" w:themeShade="BF"/>
    </w:rPr>
  </w:style>
  <w:style w:type="character" w:customStyle="1" w:styleId="38">
    <w:name w:val="Intense Reference"/>
    <w:basedOn w:val="19"/>
    <w:qFormat/>
    <w:uiPriority w:val="32"/>
    <w:rPr>
      <w:b/>
      <w:bCs/>
      <w:smallCaps/>
      <w:color w:val="104862" w:themeColor="accent1" w:themeShade="BF"/>
      <w:spacing w:val="5"/>
    </w:rPr>
  </w:style>
  <w:style w:type="character" w:customStyle="1" w:styleId="39">
    <w:name w:val="页眉 字符"/>
    <w:basedOn w:val="19"/>
    <w:link w:val="13"/>
    <w:uiPriority w:val="99"/>
    <w:rPr>
      <w:sz w:val="18"/>
      <w:szCs w:val="18"/>
    </w:rPr>
  </w:style>
  <w:style w:type="character" w:customStyle="1" w:styleId="40">
    <w:name w:val="页脚 字符"/>
    <w:basedOn w:val="19"/>
    <w:link w:val="12"/>
    <w:uiPriority w:val="99"/>
    <w:rPr>
      <w:sz w:val="18"/>
      <w:szCs w:val="18"/>
    </w:rPr>
  </w:style>
  <w:style w:type="table" w:customStyle="1" w:styleId="41">
    <w:name w:val="网格型1"/>
    <w:basedOn w:val="17"/>
    <w:uiPriority w:val="0"/>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批注文字 字符"/>
    <w:basedOn w:val="19"/>
    <w:link w:val="11"/>
    <w:uiPriority w:val="99"/>
    <w:rPr>
      <w:sz w:val="21"/>
      <w:szCs w:val="22"/>
      <w14:ligatures w14:val="none"/>
    </w:rPr>
  </w:style>
  <w:style w:type="character" w:customStyle="1" w:styleId="43">
    <w:name w:val="批注主题 字符"/>
    <w:basedOn w:val="42"/>
    <w:link w:val="16"/>
    <w:semiHidden/>
    <w:uiPriority w:val="99"/>
    <w:rPr>
      <w:b/>
      <w:bCs/>
      <w:sz w:val="21"/>
      <w:szCs w:val="22"/>
      <w14:ligatures w14:val="none"/>
    </w:rPr>
  </w:style>
  <w:style w:type="paragraph" w:customStyle="1" w:styleId="44">
    <w:name w:val="Revision"/>
    <w:hidden/>
    <w:semiHidden/>
    <w:uiPriority w:val="99"/>
    <w:pPr>
      <w:spacing w:after="0" w:line="240" w:lineRule="auto"/>
    </w:pPr>
    <w:rPr>
      <w:rFonts w:asciiTheme="minorHAnsi" w:hAnsiTheme="minorHAnsi" w:eastAsiaTheme="minorEastAsia" w:cstheme="minorBidi"/>
      <w:kern w:val="2"/>
      <w:sz w:val="21"/>
      <w:szCs w:val="22"/>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2076</Words>
  <Characters>2285</Characters>
  <Lines>18</Lines>
  <Paragraphs>5</Paragraphs>
  <TotalTime>46</TotalTime>
  <ScaleCrop>false</ScaleCrop>
  <LinksUpToDate>false</LinksUpToDate>
  <CharactersWithSpaces>2463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2025-12-30T04:31:00Z</dcterms:created>
  <dc:creator>Jiakun Zhang</dc:creator>
  <cp:lastModifiedBy>Grace Wan</cp:lastModifiedBy>
  <dcterms:modified xsi:type="dcterms:W3CDTF">2025-12-30T05:43:52Z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C223FBB5A15541299C28625806138B6F_13</vt:lpwstr>
  </property>
</Properties>
</file>