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829" w:rsidRPr="00B05CF0" w:rsidRDefault="000C1DFC">
      <w:pPr>
        <w:rPr>
          <w:rFonts w:ascii="方正仿宋_GBK" w:eastAsia="方正仿宋_GBK" w:hAnsiTheme="minorEastAsia"/>
          <w:color w:val="000000" w:themeColor="text1"/>
          <w:sz w:val="28"/>
          <w:szCs w:val="28"/>
        </w:rPr>
      </w:pPr>
      <w:r w:rsidRPr="00B05CF0">
        <w:rPr>
          <w:rFonts w:ascii="方正仿宋_GBK" w:eastAsia="方正仿宋_GBK" w:hAnsiTheme="minorEastAsia" w:hint="eastAsia"/>
          <w:color w:val="000000" w:themeColor="text1"/>
          <w:sz w:val="28"/>
          <w:szCs w:val="28"/>
        </w:rPr>
        <w:t>证券代码：600</w:t>
      </w:r>
      <w:r w:rsidR="00544814" w:rsidRPr="00B05CF0">
        <w:rPr>
          <w:rFonts w:ascii="方正仿宋_GBK" w:eastAsia="方正仿宋_GBK" w:hAnsiTheme="minorEastAsia" w:hint="eastAsia"/>
          <w:color w:val="000000" w:themeColor="text1"/>
          <w:sz w:val="28"/>
          <w:szCs w:val="28"/>
        </w:rPr>
        <w:t>279</w:t>
      </w:r>
      <w:r w:rsidRPr="00B05CF0">
        <w:rPr>
          <w:rFonts w:ascii="方正仿宋_GBK" w:eastAsia="方正仿宋_GBK" w:hAnsiTheme="minorEastAsia" w:hint="eastAsia"/>
          <w:color w:val="000000" w:themeColor="text1"/>
          <w:sz w:val="28"/>
          <w:szCs w:val="28"/>
        </w:rPr>
        <w:t xml:space="preserve">                         证券简称：</w:t>
      </w:r>
      <w:r w:rsidR="00544814" w:rsidRPr="00B05CF0">
        <w:rPr>
          <w:rFonts w:ascii="方正仿宋_GBK" w:eastAsia="方正仿宋_GBK" w:hAnsiTheme="minorEastAsia" w:hint="eastAsia"/>
          <w:color w:val="000000" w:themeColor="text1"/>
          <w:sz w:val="28"/>
          <w:szCs w:val="28"/>
        </w:rPr>
        <w:t>重庆港</w:t>
      </w:r>
    </w:p>
    <w:p w:rsidR="00124829" w:rsidRDefault="00544814" w:rsidP="00544814">
      <w:pPr>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重庆港</w:t>
      </w:r>
      <w:r w:rsidR="00257786">
        <w:rPr>
          <w:rFonts w:asciiTheme="minorEastAsia" w:hAnsiTheme="minorEastAsia" w:hint="eastAsia"/>
          <w:b/>
          <w:color w:val="000000" w:themeColor="text1"/>
          <w:sz w:val="32"/>
          <w:szCs w:val="32"/>
        </w:rPr>
        <w:t>股份有限公司投资者关系活动记录</w:t>
      </w:r>
    </w:p>
    <w:p w:rsidR="00124829" w:rsidRPr="00B05CF0" w:rsidRDefault="000C1DFC">
      <w:pPr>
        <w:jc w:val="right"/>
        <w:rPr>
          <w:rFonts w:ascii="方正仿宋_GBK" w:eastAsia="方正仿宋_GBK" w:hAnsiTheme="minorEastAsia"/>
          <w:color w:val="000000" w:themeColor="text1"/>
          <w:sz w:val="28"/>
          <w:szCs w:val="28"/>
        </w:rPr>
      </w:pPr>
      <w:r w:rsidRPr="00B05CF0">
        <w:rPr>
          <w:rFonts w:ascii="方正仿宋_GBK" w:eastAsia="方正仿宋_GBK" w:hAnsiTheme="minorEastAsia" w:hint="eastAsia"/>
          <w:color w:val="000000" w:themeColor="text1"/>
          <w:sz w:val="28"/>
          <w:szCs w:val="28"/>
        </w:rPr>
        <w:t>编号：202</w:t>
      </w:r>
      <w:r w:rsidR="00117973">
        <w:rPr>
          <w:rFonts w:ascii="方正仿宋_GBK" w:eastAsia="方正仿宋_GBK" w:hAnsiTheme="minorEastAsia" w:hint="eastAsia"/>
          <w:color w:val="000000" w:themeColor="text1"/>
          <w:sz w:val="28"/>
          <w:szCs w:val="28"/>
        </w:rPr>
        <w:t>5</w:t>
      </w:r>
      <w:r w:rsidRPr="00B05CF0">
        <w:rPr>
          <w:rFonts w:ascii="方正仿宋_GBK" w:eastAsia="方正仿宋_GBK" w:hAnsiTheme="minorEastAsia" w:hint="eastAsia"/>
          <w:color w:val="000000" w:themeColor="text1"/>
          <w:sz w:val="28"/>
          <w:szCs w:val="28"/>
        </w:rPr>
        <w:t>-0</w:t>
      </w:r>
      <w:r w:rsidR="00B730D2">
        <w:rPr>
          <w:rFonts w:ascii="方正仿宋_GBK" w:eastAsia="方正仿宋_GBK" w:hAnsiTheme="minorEastAsia"/>
          <w:color w:val="000000" w:themeColor="text1"/>
          <w:sz w:val="28"/>
          <w:szCs w:val="28"/>
        </w:rPr>
        <w:t>5</w:t>
      </w:r>
    </w:p>
    <w:tbl>
      <w:tblPr>
        <w:tblStyle w:val="11"/>
        <w:tblW w:w="9215" w:type="dxa"/>
        <w:jc w:val="center"/>
        <w:tblLayout w:type="fixed"/>
        <w:tblLook w:val="04A0" w:firstRow="1" w:lastRow="0" w:firstColumn="1" w:lastColumn="0" w:noHBand="0" w:noVBand="1"/>
      </w:tblPr>
      <w:tblGrid>
        <w:gridCol w:w="2552"/>
        <w:gridCol w:w="6663"/>
      </w:tblGrid>
      <w:tr w:rsidR="00BE55D0" w:rsidRPr="00BE55D0" w:rsidTr="00E9788F">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投资者关系</w:t>
            </w:r>
          </w:p>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活动类别</w:t>
            </w:r>
          </w:p>
        </w:tc>
        <w:tc>
          <w:tcPr>
            <w:tcW w:w="6663" w:type="dxa"/>
            <w:vAlign w:val="center"/>
          </w:tcPr>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√特定对象调研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□分析师会议</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□媒体采访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□业绩说明会（电话会议）</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□新闻发布会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□路演活动</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□现场参观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□其他</w:t>
            </w:r>
          </w:p>
        </w:tc>
      </w:tr>
      <w:tr w:rsidR="00BE55D0" w:rsidRPr="00BE55D0" w:rsidTr="00E9788F">
        <w:trPr>
          <w:jc w:val="center"/>
        </w:trPr>
        <w:tc>
          <w:tcPr>
            <w:tcW w:w="2552" w:type="dxa"/>
            <w:vAlign w:val="center"/>
          </w:tcPr>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参与单位名称</w:t>
            </w:r>
          </w:p>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及人员</w:t>
            </w:r>
            <w:r w:rsidRPr="00BE55D0">
              <w:rPr>
                <w:rFonts w:asciiTheme="minorEastAsia" w:hAnsiTheme="minorEastAsia" w:hint="eastAsia"/>
                <w:color w:val="000000" w:themeColor="text1"/>
                <w:sz w:val="28"/>
                <w:szCs w:val="28"/>
              </w:rPr>
              <w:t>姓名</w:t>
            </w:r>
          </w:p>
        </w:tc>
        <w:tc>
          <w:tcPr>
            <w:tcW w:w="6663" w:type="dxa"/>
            <w:vAlign w:val="center"/>
          </w:tcPr>
          <w:p w:rsidR="00BE55D0" w:rsidRPr="00BE55D0" w:rsidRDefault="00B730D2" w:rsidP="003E40C2">
            <w:pPr>
              <w:jc w:val="left"/>
              <w:rPr>
                <w:rFonts w:ascii="方正仿宋_GBK" w:eastAsia="方正仿宋_GBK" w:hAnsiTheme="minorEastAsia"/>
                <w:color w:val="000000" w:themeColor="text1"/>
                <w:sz w:val="28"/>
                <w:szCs w:val="28"/>
              </w:rPr>
            </w:pPr>
            <w:bookmarkStart w:id="0" w:name="OLE_LINK23"/>
            <w:r w:rsidRPr="00B730D2">
              <w:rPr>
                <w:rFonts w:ascii="方正仿宋_GBK" w:eastAsia="方正仿宋_GBK" w:hAnsiTheme="minorEastAsia" w:hint="eastAsia"/>
                <w:color w:val="000000" w:themeColor="text1"/>
                <w:sz w:val="28"/>
                <w:szCs w:val="28"/>
              </w:rPr>
              <w:t>中粮资本综合金融中心</w:t>
            </w:r>
            <w:bookmarkEnd w:id="0"/>
            <w:r w:rsidRPr="00B730D2">
              <w:rPr>
                <w:rFonts w:ascii="方正仿宋_GBK" w:eastAsia="方正仿宋_GBK" w:hAnsiTheme="minorEastAsia"/>
                <w:color w:val="000000" w:themeColor="text1"/>
                <w:sz w:val="28"/>
                <w:szCs w:val="28"/>
              </w:rPr>
              <w:t>赵若冰</w:t>
            </w:r>
            <w:r>
              <w:rPr>
                <w:rFonts w:ascii="方正仿宋_GBK" w:eastAsia="方正仿宋_GBK" w:hAnsiTheme="minorEastAsia" w:hint="eastAsia"/>
                <w:color w:val="000000" w:themeColor="text1"/>
                <w:sz w:val="28"/>
                <w:szCs w:val="28"/>
              </w:rPr>
              <w:t>、</w:t>
            </w:r>
            <w:r w:rsidRPr="00B730D2">
              <w:rPr>
                <w:rFonts w:ascii="方正仿宋_GBK" w:eastAsia="方正仿宋_GBK" w:hAnsiTheme="minorEastAsia"/>
                <w:color w:val="000000" w:themeColor="text1"/>
                <w:sz w:val="28"/>
                <w:szCs w:val="28"/>
              </w:rPr>
              <w:t>徐乾程</w:t>
            </w:r>
            <w:r>
              <w:rPr>
                <w:rFonts w:ascii="方正仿宋_GBK" w:eastAsia="方正仿宋_GBK" w:hAnsiTheme="minorEastAsia" w:hint="eastAsia"/>
                <w:color w:val="000000" w:themeColor="text1"/>
                <w:sz w:val="28"/>
                <w:szCs w:val="28"/>
              </w:rPr>
              <w:t>，</w:t>
            </w:r>
            <w:r w:rsidRPr="00B730D2">
              <w:rPr>
                <w:rFonts w:ascii="方正仿宋_GBK" w:eastAsia="方正仿宋_GBK" w:hAnsiTheme="minorEastAsia" w:hint="eastAsia"/>
                <w:color w:val="000000" w:themeColor="text1"/>
                <w:sz w:val="28"/>
                <w:szCs w:val="28"/>
              </w:rPr>
              <w:t>中粮资本风险管理专家</w:t>
            </w:r>
            <w:r w:rsidRPr="00B730D2">
              <w:rPr>
                <w:rFonts w:ascii="方正仿宋_GBK" w:eastAsia="方正仿宋_GBK" w:hAnsiTheme="minorEastAsia"/>
                <w:color w:val="000000" w:themeColor="text1"/>
                <w:sz w:val="28"/>
                <w:szCs w:val="28"/>
              </w:rPr>
              <w:t>袁勇</w:t>
            </w:r>
            <w:r>
              <w:rPr>
                <w:rFonts w:ascii="方正仿宋_GBK" w:eastAsia="方正仿宋_GBK" w:hAnsiTheme="minorEastAsia" w:hint="eastAsia"/>
                <w:color w:val="000000" w:themeColor="text1"/>
                <w:sz w:val="28"/>
                <w:szCs w:val="28"/>
              </w:rPr>
              <w:t>、</w:t>
            </w:r>
            <w:bookmarkStart w:id="1" w:name="OLE_LINK1"/>
            <w:bookmarkStart w:id="2" w:name="OLE_LINK3"/>
            <w:r w:rsidRPr="00B730D2">
              <w:rPr>
                <w:rFonts w:ascii="方正仿宋_GBK" w:eastAsia="方正仿宋_GBK" w:hAnsiTheme="minorEastAsia"/>
                <w:color w:val="000000" w:themeColor="text1"/>
                <w:sz w:val="28"/>
                <w:szCs w:val="28"/>
              </w:rPr>
              <w:t>曾志富</w:t>
            </w:r>
            <w:bookmarkEnd w:id="1"/>
            <w:bookmarkEnd w:id="2"/>
            <w:r w:rsidR="003E40C2">
              <w:rPr>
                <w:rFonts w:ascii="方正仿宋_GBK" w:eastAsia="方正仿宋_GBK" w:hAnsiTheme="minorEastAsia" w:hint="eastAsia"/>
                <w:color w:val="000000" w:themeColor="text1"/>
                <w:sz w:val="28"/>
                <w:szCs w:val="28"/>
              </w:rPr>
              <w:t>。</w:t>
            </w:r>
          </w:p>
        </w:tc>
      </w:tr>
      <w:tr w:rsidR="00BE55D0" w:rsidRPr="00BE55D0" w:rsidTr="00E9788F">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时</w:t>
            </w:r>
            <w:r w:rsidRPr="00BE55D0">
              <w:rPr>
                <w:rFonts w:asciiTheme="minorEastAsia" w:hAnsiTheme="minorEastAsia" w:hint="eastAsia"/>
                <w:color w:val="000000" w:themeColor="text1"/>
                <w:sz w:val="28"/>
                <w:szCs w:val="28"/>
              </w:rPr>
              <w:t xml:space="preserve">   </w:t>
            </w:r>
            <w:r w:rsidRPr="00BE55D0">
              <w:rPr>
                <w:rFonts w:asciiTheme="minorEastAsia" w:hAnsiTheme="minorEastAsia"/>
                <w:color w:val="000000" w:themeColor="text1"/>
                <w:sz w:val="28"/>
                <w:szCs w:val="28"/>
              </w:rPr>
              <w:t>间</w:t>
            </w:r>
          </w:p>
        </w:tc>
        <w:tc>
          <w:tcPr>
            <w:tcW w:w="6663" w:type="dxa"/>
            <w:vAlign w:val="center"/>
          </w:tcPr>
          <w:p w:rsidR="00BE55D0" w:rsidRPr="00BE55D0" w:rsidRDefault="00BE55D0" w:rsidP="00B730D2">
            <w:pPr>
              <w:jc w:val="left"/>
              <w:rPr>
                <w:rFonts w:ascii="方正仿宋_GBK" w:eastAsia="方正仿宋_GBK"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202</w:t>
            </w:r>
            <w:r w:rsidR="00117973">
              <w:rPr>
                <w:rFonts w:ascii="方正仿宋_GBK" w:eastAsia="方正仿宋_GBK" w:hAnsiTheme="minorEastAsia"/>
                <w:color w:val="000000" w:themeColor="text1"/>
                <w:sz w:val="28"/>
                <w:szCs w:val="28"/>
              </w:rPr>
              <w:t>5</w:t>
            </w:r>
            <w:r w:rsidRPr="00BE55D0">
              <w:rPr>
                <w:rFonts w:ascii="方正仿宋_GBK" w:eastAsia="方正仿宋_GBK" w:hAnsiTheme="minorEastAsia" w:hint="eastAsia"/>
                <w:color w:val="000000" w:themeColor="text1"/>
                <w:sz w:val="28"/>
                <w:szCs w:val="28"/>
              </w:rPr>
              <w:t>年</w:t>
            </w:r>
            <w:r w:rsidR="00C44E63">
              <w:rPr>
                <w:rFonts w:ascii="方正仿宋_GBK" w:eastAsia="方正仿宋_GBK" w:hAnsiTheme="minorEastAsia" w:hint="eastAsia"/>
                <w:color w:val="000000" w:themeColor="text1"/>
                <w:sz w:val="28"/>
                <w:szCs w:val="28"/>
              </w:rPr>
              <w:t>1</w:t>
            </w:r>
            <w:r w:rsidR="003E40C2">
              <w:rPr>
                <w:rFonts w:ascii="方正仿宋_GBK" w:eastAsia="方正仿宋_GBK" w:hAnsiTheme="minorEastAsia" w:hint="eastAsia"/>
                <w:color w:val="000000" w:themeColor="text1"/>
                <w:sz w:val="28"/>
                <w:szCs w:val="28"/>
              </w:rPr>
              <w:t>2</w:t>
            </w:r>
            <w:r w:rsidRPr="00BE55D0">
              <w:rPr>
                <w:rFonts w:ascii="方正仿宋_GBK" w:eastAsia="方正仿宋_GBK" w:hAnsiTheme="minorEastAsia" w:hint="eastAsia"/>
                <w:color w:val="000000" w:themeColor="text1"/>
                <w:sz w:val="28"/>
                <w:szCs w:val="28"/>
              </w:rPr>
              <w:t>月</w:t>
            </w:r>
            <w:r w:rsidR="00B730D2">
              <w:rPr>
                <w:rFonts w:ascii="方正仿宋_GBK" w:eastAsia="方正仿宋_GBK" w:hAnsiTheme="minorEastAsia"/>
                <w:color w:val="000000" w:themeColor="text1"/>
                <w:sz w:val="28"/>
                <w:szCs w:val="28"/>
              </w:rPr>
              <w:t>26</w:t>
            </w:r>
            <w:r w:rsidRPr="00BE55D0">
              <w:rPr>
                <w:rFonts w:ascii="方正仿宋_GBK" w:eastAsia="方正仿宋_GBK" w:hAnsiTheme="minorEastAsia" w:hint="eastAsia"/>
                <w:color w:val="000000" w:themeColor="text1"/>
                <w:sz w:val="28"/>
                <w:szCs w:val="28"/>
              </w:rPr>
              <w:t>日</w:t>
            </w:r>
          </w:p>
        </w:tc>
      </w:tr>
      <w:tr w:rsidR="00BE55D0" w:rsidRPr="00BE55D0" w:rsidTr="00E9788F">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地</w:t>
            </w:r>
            <w:r w:rsidRPr="00BE55D0">
              <w:rPr>
                <w:rFonts w:asciiTheme="minorEastAsia" w:hAnsiTheme="minorEastAsia" w:hint="eastAsia"/>
                <w:color w:val="000000" w:themeColor="text1"/>
                <w:sz w:val="28"/>
                <w:szCs w:val="28"/>
              </w:rPr>
              <w:t xml:space="preserve">   </w:t>
            </w:r>
            <w:r w:rsidRPr="00BE55D0">
              <w:rPr>
                <w:rFonts w:asciiTheme="minorEastAsia" w:hAnsiTheme="minorEastAsia"/>
                <w:color w:val="000000" w:themeColor="text1"/>
                <w:sz w:val="28"/>
                <w:szCs w:val="28"/>
              </w:rPr>
              <w:t>点</w:t>
            </w:r>
          </w:p>
        </w:tc>
        <w:tc>
          <w:tcPr>
            <w:tcW w:w="6663" w:type="dxa"/>
            <w:vAlign w:val="center"/>
          </w:tcPr>
          <w:p w:rsidR="00BE55D0" w:rsidRPr="00BE55D0" w:rsidRDefault="00BE55D0" w:rsidP="003E40C2">
            <w:pPr>
              <w:jc w:val="left"/>
              <w:rPr>
                <w:rFonts w:ascii="方正仿宋_GBK" w:eastAsia="方正仿宋_GBK"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重庆市江北区海尔路298号公司2</w:t>
            </w:r>
            <w:r w:rsidR="003E40C2">
              <w:rPr>
                <w:rFonts w:ascii="方正仿宋_GBK" w:eastAsia="方正仿宋_GBK" w:hAnsiTheme="minorEastAsia"/>
                <w:color w:val="000000" w:themeColor="text1"/>
                <w:sz w:val="28"/>
                <w:szCs w:val="28"/>
              </w:rPr>
              <w:t>0</w:t>
            </w:r>
            <w:r w:rsidRPr="00BE55D0">
              <w:rPr>
                <w:rFonts w:ascii="方正仿宋_GBK" w:eastAsia="方正仿宋_GBK" w:hAnsiTheme="minorEastAsia" w:hint="eastAsia"/>
                <w:color w:val="000000" w:themeColor="text1"/>
                <w:sz w:val="28"/>
                <w:szCs w:val="28"/>
              </w:rPr>
              <w:t>楼会议室</w:t>
            </w:r>
          </w:p>
        </w:tc>
      </w:tr>
      <w:tr w:rsidR="00BE55D0" w:rsidRPr="00BE55D0" w:rsidTr="00E9788F">
        <w:trPr>
          <w:jc w:val="center"/>
        </w:trPr>
        <w:tc>
          <w:tcPr>
            <w:tcW w:w="2552" w:type="dxa"/>
            <w:vAlign w:val="center"/>
          </w:tcPr>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上市公司</w:t>
            </w:r>
          </w:p>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接待人员名称</w:t>
            </w:r>
          </w:p>
        </w:tc>
        <w:tc>
          <w:tcPr>
            <w:tcW w:w="6663" w:type="dxa"/>
            <w:tcBorders>
              <w:bottom w:val="single" w:sz="4" w:space="0" w:color="auto"/>
            </w:tcBorders>
            <w:vAlign w:val="center"/>
          </w:tcPr>
          <w:p w:rsidR="00BE55D0" w:rsidRPr="00BE55D0" w:rsidRDefault="00B730D2" w:rsidP="003E40C2">
            <w:pPr>
              <w:tabs>
                <w:tab w:val="left" w:pos="2530"/>
              </w:tabs>
              <w:spacing w:line="500" w:lineRule="exact"/>
              <w:rPr>
                <w:rFonts w:ascii="方正仿宋_GBK" w:eastAsia="方正仿宋_GBK"/>
                <w:sz w:val="32"/>
                <w:szCs w:val="32"/>
              </w:rPr>
            </w:pPr>
            <w:r>
              <w:rPr>
                <w:rFonts w:ascii="方正仿宋_GBK" w:eastAsia="方正仿宋_GBK" w:hAnsiTheme="minorEastAsia" w:hint="eastAsia"/>
                <w:color w:val="000000" w:themeColor="text1"/>
                <w:sz w:val="28"/>
                <w:szCs w:val="28"/>
              </w:rPr>
              <w:t>副总经理任川</w:t>
            </w:r>
            <w:r w:rsidR="00BE55D0" w:rsidRPr="00BE55D0">
              <w:rPr>
                <w:rFonts w:ascii="方正仿宋_GBK" w:eastAsia="方正仿宋_GBK" w:hAnsiTheme="minorEastAsia" w:hint="eastAsia"/>
                <w:color w:val="000000" w:themeColor="text1"/>
                <w:sz w:val="28"/>
                <w:szCs w:val="28"/>
              </w:rPr>
              <w:t>，资产证券部</w:t>
            </w:r>
            <w:r>
              <w:rPr>
                <w:rFonts w:ascii="方正仿宋_GBK" w:eastAsia="方正仿宋_GBK" w:hAnsiTheme="minorEastAsia" w:hint="eastAsia"/>
                <w:color w:val="000000" w:themeColor="text1"/>
                <w:sz w:val="28"/>
                <w:szCs w:val="28"/>
              </w:rPr>
              <w:t>、</w:t>
            </w:r>
            <w:r>
              <w:rPr>
                <w:rFonts w:ascii="方正仿宋_GBK" w:eastAsia="方正仿宋_GBK" w:hAnsiTheme="minorEastAsia"/>
                <w:color w:val="000000" w:themeColor="text1"/>
                <w:sz w:val="28"/>
                <w:szCs w:val="28"/>
              </w:rPr>
              <w:t>财务部、贸易物流部</w:t>
            </w:r>
            <w:r w:rsidR="00BE55D0" w:rsidRPr="00BE55D0">
              <w:rPr>
                <w:rFonts w:ascii="方正仿宋_GBK" w:eastAsia="方正仿宋_GBK" w:hAnsiTheme="minorEastAsia" w:hint="eastAsia"/>
                <w:color w:val="000000" w:themeColor="text1"/>
                <w:sz w:val="28"/>
                <w:szCs w:val="28"/>
              </w:rPr>
              <w:t>相关</w:t>
            </w:r>
            <w:r w:rsidR="00BE55D0" w:rsidRPr="00BE55D0">
              <w:rPr>
                <w:rFonts w:ascii="方正仿宋_GBK" w:eastAsia="方正仿宋_GBK" w:hAnsiTheme="minorEastAsia"/>
                <w:color w:val="000000" w:themeColor="text1"/>
                <w:sz w:val="28"/>
                <w:szCs w:val="28"/>
              </w:rPr>
              <w:t>人员</w:t>
            </w:r>
            <w:r w:rsidR="00BE55D0" w:rsidRPr="00BE55D0">
              <w:rPr>
                <w:rFonts w:ascii="方正仿宋_GBK" w:eastAsia="方正仿宋_GBK" w:hAnsiTheme="minorEastAsia" w:hint="eastAsia"/>
                <w:color w:val="000000" w:themeColor="text1"/>
                <w:sz w:val="28"/>
                <w:szCs w:val="28"/>
              </w:rPr>
              <w:t>。</w:t>
            </w:r>
          </w:p>
        </w:tc>
      </w:tr>
      <w:tr w:rsidR="00BE55D0" w:rsidRPr="00BE55D0" w:rsidTr="00E9788F">
        <w:trPr>
          <w:trHeight w:val="630"/>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投资者关系活动主要内容介绍</w:t>
            </w:r>
          </w:p>
        </w:tc>
        <w:tc>
          <w:tcPr>
            <w:tcW w:w="6663" w:type="dxa"/>
            <w:vAlign w:val="center"/>
          </w:tcPr>
          <w:p w:rsidR="00BE55D0" w:rsidRPr="00BE55D0" w:rsidRDefault="00BE55D0" w:rsidP="00BE55D0">
            <w:pPr>
              <w:spacing w:line="440" w:lineRule="exact"/>
              <w:rPr>
                <w:rFonts w:asciiTheme="minorEastAsia"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调研</w:t>
            </w:r>
            <w:r w:rsidRPr="00BE55D0">
              <w:rPr>
                <w:rFonts w:ascii="方正仿宋_GBK" w:eastAsia="方正仿宋_GBK" w:hAnsiTheme="minorEastAsia"/>
                <w:color w:val="000000" w:themeColor="text1"/>
                <w:sz w:val="28"/>
                <w:szCs w:val="28"/>
              </w:rPr>
              <w:t>交流情况</w:t>
            </w:r>
            <w:r w:rsidRPr="00BE55D0">
              <w:rPr>
                <w:rFonts w:ascii="方正仿宋_GBK" w:eastAsia="方正仿宋_GBK" w:hAnsiTheme="minorEastAsia" w:hint="eastAsia"/>
                <w:color w:val="000000" w:themeColor="text1"/>
                <w:sz w:val="28"/>
                <w:szCs w:val="28"/>
              </w:rPr>
              <w:t>如下：</w:t>
            </w:r>
          </w:p>
          <w:p w:rsidR="00922500" w:rsidRPr="00922500" w:rsidRDefault="00922500" w:rsidP="00922500">
            <w:pPr>
              <w:widowControl/>
              <w:spacing w:line="440" w:lineRule="exact"/>
              <w:ind w:firstLineChars="200" w:firstLine="560"/>
              <w:rPr>
                <w:rFonts w:ascii="方正黑体_GBK" w:eastAsia="方正黑体_GBK" w:hAnsi="仿宋_GB2312" w:cs="仿宋_GB2312"/>
                <w:bCs/>
                <w:color w:val="000000"/>
                <w:kern w:val="0"/>
                <w:sz w:val="28"/>
                <w:szCs w:val="28"/>
              </w:rPr>
            </w:pPr>
            <w:r w:rsidRPr="00922500">
              <w:rPr>
                <w:rFonts w:ascii="方正黑体_GBK" w:eastAsia="方正黑体_GBK" w:hAnsi="仿宋_GB2312" w:cs="仿宋_GB2312" w:hint="eastAsia"/>
                <w:bCs/>
                <w:color w:val="000000"/>
                <w:kern w:val="0"/>
                <w:sz w:val="28"/>
                <w:szCs w:val="28"/>
              </w:rPr>
              <w:t>一、</w:t>
            </w:r>
            <w:r w:rsidR="001F6F87">
              <w:rPr>
                <w:rFonts w:ascii="方正黑体_GBK" w:eastAsia="方正黑体_GBK" w:hAnsi="仿宋_GB2312" w:cs="仿宋_GB2312" w:hint="eastAsia"/>
                <w:bCs/>
                <w:color w:val="000000"/>
                <w:kern w:val="0"/>
                <w:sz w:val="28"/>
                <w:szCs w:val="28"/>
              </w:rPr>
              <w:t>请</w:t>
            </w:r>
            <w:r w:rsidR="00B730D2" w:rsidRPr="00B730D2">
              <w:rPr>
                <w:rFonts w:ascii="方正黑体_GBK" w:eastAsia="方正黑体_GBK" w:hAnsi="仿宋_GB2312" w:cs="仿宋_GB2312" w:hint="eastAsia"/>
                <w:bCs/>
                <w:color w:val="000000"/>
                <w:kern w:val="0"/>
                <w:sz w:val="28"/>
                <w:szCs w:val="28"/>
              </w:rPr>
              <w:t>公司</w:t>
            </w:r>
            <w:r w:rsidR="001F6F87" w:rsidRPr="00B730D2">
              <w:rPr>
                <w:rFonts w:ascii="方正黑体_GBK" w:eastAsia="方正黑体_GBK" w:hAnsi="仿宋_GB2312" w:cs="仿宋_GB2312" w:hint="eastAsia"/>
                <w:bCs/>
                <w:color w:val="000000"/>
                <w:kern w:val="0"/>
                <w:sz w:val="28"/>
                <w:szCs w:val="28"/>
              </w:rPr>
              <w:t>介绍</w:t>
            </w:r>
            <w:r w:rsidR="001F6F87">
              <w:rPr>
                <w:rFonts w:ascii="方正黑体_GBK" w:eastAsia="方正黑体_GBK" w:hAnsi="仿宋_GB2312" w:cs="仿宋_GB2312" w:hint="eastAsia"/>
                <w:bCs/>
                <w:color w:val="000000"/>
                <w:kern w:val="0"/>
                <w:sz w:val="28"/>
                <w:szCs w:val="28"/>
              </w:rPr>
              <w:t>从事</w:t>
            </w:r>
            <w:r w:rsidR="001F6F87">
              <w:rPr>
                <w:rFonts w:ascii="方正黑体_GBK" w:eastAsia="方正黑体_GBK" w:hAnsi="仿宋_GB2312" w:cs="仿宋_GB2312"/>
                <w:bCs/>
                <w:color w:val="000000"/>
                <w:kern w:val="0"/>
                <w:sz w:val="28"/>
                <w:szCs w:val="28"/>
              </w:rPr>
              <w:t>的</w:t>
            </w:r>
            <w:bookmarkStart w:id="3" w:name="_GoBack"/>
            <w:bookmarkEnd w:id="3"/>
            <w:r w:rsidR="001F6F87">
              <w:rPr>
                <w:rFonts w:ascii="方正黑体_GBK" w:eastAsia="方正黑体_GBK" w:hAnsi="仿宋_GB2312" w:cs="仿宋_GB2312" w:hint="eastAsia"/>
                <w:bCs/>
                <w:color w:val="000000"/>
                <w:kern w:val="0"/>
                <w:sz w:val="28"/>
                <w:szCs w:val="28"/>
              </w:rPr>
              <w:t>业务</w:t>
            </w:r>
            <w:r w:rsidR="00B730D2" w:rsidRPr="00B730D2">
              <w:rPr>
                <w:rFonts w:ascii="方正黑体_GBK" w:eastAsia="方正黑体_GBK" w:hAnsi="仿宋_GB2312" w:cs="仿宋_GB2312" w:hint="eastAsia"/>
                <w:bCs/>
                <w:color w:val="000000"/>
                <w:kern w:val="0"/>
                <w:sz w:val="28"/>
                <w:szCs w:val="28"/>
              </w:rPr>
              <w:t>情况</w:t>
            </w:r>
            <w:r w:rsidR="001F6F87">
              <w:rPr>
                <w:rFonts w:ascii="方正黑体_GBK" w:eastAsia="方正黑体_GBK" w:hAnsi="仿宋_GB2312" w:cs="仿宋_GB2312" w:hint="eastAsia"/>
                <w:bCs/>
                <w:color w:val="000000"/>
                <w:kern w:val="0"/>
                <w:sz w:val="28"/>
                <w:szCs w:val="28"/>
              </w:rPr>
              <w:t>。</w:t>
            </w:r>
          </w:p>
          <w:p w:rsidR="00B730D2" w:rsidRPr="00B730D2" w:rsidRDefault="00B730D2" w:rsidP="00B730D2">
            <w:pPr>
              <w:widowControl/>
              <w:spacing w:line="440" w:lineRule="exact"/>
              <w:ind w:firstLineChars="200" w:firstLine="560"/>
              <w:rPr>
                <w:rFonts w:ascii="方正仿宋_GBK" w:eastAsia="方正仿宋_GBK" w:hAnsi="仿宋_GB2312" w:cs="仿宋_GB2312" w:hint="eastAsia"/>
                <w:bCs/>
                <w:color w:val="000000"/>
                <w:kern w:val="0"/>
                <w:sz w:val="28"/>
                <w:szCs w:val="28"/>
              </w:rPr>
            </w:pPr>
            <w:r w:rsidRPr="00B730D2">
              <w:rPr>
                <w:rFonts w:ascii="方正仿宋_GBK" w:eastAsia="方正仿宋_GBK" w:hAnsi="仿宋_GB2312" w:cs="仿宋_GB2312" w:hint="eastAsia"/>
                <w:bCs/>
                <w:color w:val="000000"/>
                <w:kern w:val="0"/>
                <w:sz w:val="28"/>
                <w:szCs w:val="28"/>
              </w:rPr>
              <w:t>重庆港于1999年1月经重庆市人民政府批准设立，于2000年7月31日在上海证券交易所挂牌上市，是国内第一家长江内河港口上市公司，全国5A级物流企业，中国西部地区具有重要地位的内河主枢纽港、集装箱吞吐港运营企业。公司业务主要包括港口货物中转运输及综合物流。</w:t>
            </w:r>
          </w:p>
          <w:p w:rsidR="00B730D2" w:rsidRPr="00B730D2" w:rsidRDefault="00B730D2" w:rsidP="00B730D2">
            <w:pPr>
              <w:widowControl/>
              <w:spacing w:line="440" w:lineRule="exact"/>
              <w:ind w:firstLineChars="200" w:firstLine="560"/>
              <w:rPr>
                <w:rFonts w:ascii="方正仿宋_GBK" w:eastAsia="方正仿宋_GBK" w:hAnsi="仿宋_GB2312" w:cs="仿宋_GB2312" w:hint="eastAsia"/>
                <w:bCs/>
                <w:color w:val="000000"/>
                <w:kern w:val="0"/>
                <w:sz w:val="28"/>
                <w:szCs w:val="28"/>
              </w:rPr>
            </w:pPr>
            <w:r w:rsidRPr="00B730D2">
              <w:rPr>
                <w:rFonts w:ascii="方正仿宋_GBK" w:eastAsia="方正仿宋_GBK" w:hAnsi="仿宋_GB2312" w:cs="仿宋_GB2312" w:hint="eastAsia"/>
                <w:bCs/>
                <w:color w:val="000000"/>
                <w:kern w:val="0"/>
                <w:sz w:val="28"/>
                <w:szCs w:val="28"/>
              </w:rPr>
              <w:t>1. 港口中转运输业务</w:t>
            </w:r>
          </w:p>
          <w:p w:rsidR="00B730D2" w:rsidRPr="00B730D2" w:rsidRDefault="00B730D2" w:rsidP="00B730D2">
            <w:pPr>
              <w:widowControl/>
              <w:spacing w:line="440" w:lineRule="exact"/>
              <w:ind w:firstLineChars="200" w:firstLine="560"/>
              <w:rPr>
                <w:rFonts w:ascii="方正仿宋_GBK" w:eastAsia="方正仿宋_GBK" w:hAnsi="仿宋_GB2312" w:cs="仿宋_GB2312" w:hint="eastAsia"/>
                <w:bCs/>
                <w:color w:val="000000"/>
                <w:kern w:val="0"/>
                <w:sz w:val="28"/>
                <w:szCs w:val="28"/>
              </w:rPr>
            </w:pPr>
            <w:r w:rsidRPr="00B730D2">
              <w:rPr>
                <w:rFonts w:ascii="方正仿宋_GBK" w:eastAsia="方正仿宋_GBK" w:hAnsi="仿宋_GB2312" w:cs="仿宋_GB2312" w:hint="eastAsia"/>
                <w:bCs/>
                <w:color w:val="000000"/>
                <w:kern w:val="0"/>
                <w:sz w:val="28"/>
                <w:szCs w:val="28"/>
              </w:rPr>
              <w:t>公司主要核心业务是港口码头货物的装卸、仓储、中转运输等，目前已形成集装箱、件杂散货、商品车和化工等现代化、专业化码头集群，年货物吞吐能力约8,176万吨、集装箱吞吐能力267万TEU；拥有果园港、万州红溪沟、江津兰家沱和珞璜港4个铁水联</w:t>
            </w:r>
            <w:r w:rsidRPr="00B730D2">
              <w:rPr>
                <w:rFonts w:ascii="方正仿宋_GBK" w:eastAsia="方正仿宋_GBK" w:hAnsi="仿宋_GB2312" w:cs="仿宋_GB2312" w:hint="eastAsia"/>
                <w:bCs/>
                <w:color w:val="000000"/>
                <w:kern w:val="0"/>
                <w:sz w:val="28"/>
                <w:szCs w:val="28"/>
              </w:rPr>
              <w:lastRenderedPageBreak/>
              <w:t>运港区，铁路专用线49公里，铁路年作业能力3,100万吨。</w:t>
            </w:r>
          </w:p>
          <w:p w:rsidR="00B730D2" w:rsidRPr="00B730D2" w:rsidRDefault="00B730D2" w:rsidP="00B730D2">
            <w:pPr>
              <w:widowControl/>
              <w:spacing w:line="440" w:lineRule="exact"/>
              <w:ind w:firstLineChars="200" w:firstLine="560"/>
              <w:rPr>
                <w:rFonts w:ascii="方正仿宋_GBK" w:eastAsia="方正仿宋_GBK" w:hAnsi="仿宋_GB2312" w:cs="仿宋_GB2312" w:hint="eastAsia"/>
                <w:bCs/>
                <w:color w:val="000000"/>
                <w:kern w:val="0"/>
                <w:sz w:val="28"/>
                <w:szCs w:val="28"/>
              </w:rPr>
            </w:pPr>
            <w:r w:rsidRPr="00B730D2">
              <w:rPr>
                <w:rFonts w:ascii="方正仿宋_GBK" w:eastAsia="方正仿宋_GBK" w:hAnsi="仿宋_GB2312" w:cs="仿宋_GB2312" w:hint="eastAsia"/>
                <w:bCs/>
                <w:color w:val="000000"/>
                <w:kern w:val="0"/>
                <w:sz w:val="28"/>
                <w:szCs w:val="28"/>
              </w:rPr>
              <w:t>2. 综合物流业务</w:t>
            </w:r>
          </w:p>
          <w:p w:rsidR="00180D21" w:rsidRDefault="00B730D2" w:rsidP="00B730D2">
            <w:pPr>
              <w:widowControl/>
              <w:spacing w:line="440" w:lineRule="exact"/>
              <w:ind w:firstLineChars="200" w:firstLine="560"/>
              <w:rPr>
                <w:rFonts w:ascii="方正仿宋_GBK" w:eastAsia="方正仿宋_GBK" w:hAnsi="仿宋_GB2312" w:cs="仿宋_GB2312"/>
                <w:bCs/>
                <w:color w:val="000000"/>
                <w:kern w:val="0"/>
                <w:sz w:val="28"/>
                <w:szCs w:val="28"/>
              </w:rPr>
            </w:pPr>
            <w:r w:rsidRPr="00B730D2">
              <w:rPr>
                <w:rFonts w:ascii="方正仿宋_GBK" w:eastAsia="方正仿宋_GBK" w:hAnsi="仿宋_GB2312" w:cs="仿宋_GB2312" w:hint="eastAsia"/>
                <w:bCs/>
                <w:color w:val="000000"/>
                <w:kern w:val="0"/>
                <w:sz w:val="28"/>
                <w:szCs w:val="28"/>
              </w:rPr>
              <w:t>公司以港口为依托，围绕铁、公、水多式联运，坚持大客户战略，充分整合仓储、航运、铁路、公路、口岸等物流要素资源，积极拓展贸易物流、供应链物流等业务。公司生产经营正逐步从传统单一的港口装卸模式向全程物流模式转变，服务价值链得到较大延伸，对港口物流市场的控制力明显增强，经营规模不断扩大，实现了港口经营模式的转型升级不断发展。</w:t>
            </w:r>
          </w:p>
          <w:p w:rsidR="003559BD" w:rsidRPr="003559BD" w:rsidRDefault="00922500" w:rsidP="003559BD">
            <w:pPr>
              <w:widowControl/>
              <w:spacing w:line="440" w:lineRule="exact"/>
              <w:ind w:firstLineChars="200" w:firstLine="560"/>
              <w:rPr>
                <w:rFonts w:ascii="方正黑体_GBK" w:eastAsia="方正黑体_GBK" w:hAnsi="仿宋_GB2312" w:cs="仿宋_GB2312"/>
                <w:bCs/>
                <w:color w:val="000000"/>
                <w:kern w:val="0"/>
                <w:sz w:val="28"/>
                <w:szCs w:val="28"/>
              </w:rPr>
            </w:pPr>
            <w:r w:rsidRPr="00922500">
              <w:rPr>
                <w:rFonts w:ascii="方正黑体_GBK" w:eastAsia="方正黑体_GBK" w:hAnsi="仿宋_GB2312" w:cs="仿宋_GB2312" w:hint="eastAsia"/>
                <w:bCs/>
                <w:color w:val="000000"/>
                <w:kern w:val="0"/>
                <w:sz w:val="28"/>
                <w:szCs w:val="28"/>
              </w:rPr>
              <w:t>二、</w:t>
            </w:r>
            <w:r w:rsidR="00B730D2">
              <w:rPr>
                <w:rFonts w:ascii="方正黑体_GBK" w:eastAsia="方正黑体_GBK" w:hAnsi="仿宋_GB2312" w:cs="仿宋_GB2312" w:hint="eastAsia"/>
                <w:bCs/>
                <w:color w:val="000000"/>
                <w:kern w:val="0"/>
                <w:sz w:val="28"/>
                <w:szCs w:val="28"/>
              </w:rPr>
              <w:t>公司客户</w:t>
            </w:r>
            <w:r w:rsidR="00B730D2">
              <w:rPr>
                <w:rFonts w:ascii="方正黑体_GBK" w:eastAsia="方正黑体_GBK" w:hAnsi="仿宋_GB2312" w:cs="仿宋_GB2312"/>
                <w:bCs/>
                <w:color w:val="000000"/>
                <w:kern w:val="0"/>
                <w:sz w:val="28"/>
                <w:szCs w:val="28"/>
              </w:rPr>
              <w:t>群体主要有哪些</w:t>
            </w:r>
            <w:r w:rsidR="003E40C2">
              <w:rPr>
                <w:rFonts w:ascii="方正黑体_GBK" w:eastAsia="方正黑体_GBK" w:hAnsi="仿宋_GB2312" w:cs="仿宋_GB2312" w:hint="eastAsia"/>
                <w:bCs/>
                <w:color w:val="000000"/>
                <w:kern w:val="0"/>
                <w:sz w:val="28"/>
                <w:szCs w:val="28"/>
              </w:rPr>
              <w:t>？</w:t>
            </w:r>
          </w:p>
          <w:p w:rsidR="00922500" w:rsidRPr="003E40C2" w:rsidRDefault="00162FC4" w:rsidP="003E40C2">
            <w:pPr>
              <w:widowControl/>
              <w:spacing w:line="440" w:lineRule="exact"/>
              <w:ind w:firstLineChars="200" w:firstLine="560"/>
              <w:rPr>
                <w:rFonts w:ascii="方正仿宋_GBK" w:eastAsia="方正仿宋_GBK" w:hAnsi="仿宋_GB2312" w:cs="仿宋_GB2312"/>
                <w:bCs/>
                <w:color w:val="000000"/>
                <w:kern w:val="0"/>
                <w:sz w:val="28"/>
                <w:szCs w:val="28"/>
              </w:rPr>
            </w:pPr>
            <w:bookmarkStart w:id="4" w:name="OLE_LINK5"/>
            <w:bookmarkStart w:id="5" w:name="OLE_LINK6"/>
            <w:r w:rsidRPr="00162FC4">
              <w:rPr>
                <w:rFonts w:ascii="方正仿宋_GBK" w:eastAsia="方正仿宋_GBK" w:hAnsi="仿宋_GB2312" w:cs="仿宋_GB2312"/>
                <w:bCs/>
                <w:color w:val="000000"/>
                <w:kern w:val="0"/>
                <w:sz w:val="28"/>
                <w:szCs w:val="28"/>
              </w:rPr>
              <w:t>公司</w:t>
            </w:r>
            <w:r w:rsidR="00B730D2">
              <w:rPr>
                <w:rFonts w:ascii="方正仿宋_GBK" w:eastAsia="方正仿宋_GBK" w:hAnsi="仿宋_GB2312" w:cs="仿宋_GB2312" w:hint="eastAsia"/>
                <w:bCs/>
                <w:color w:val="000000"/>
                <w:kern w:val="0"/>
                <w:sz w:val="28"/>
                <w:szCs w:val="28"/>
              </w:rPr>
              <w:t>客户群体</w:t>
            </w:r>
            <w:r w:rsidR="00B730D2" w:rsidRPr="00B730D2">
              <w:rPr>
                <w:rFonts w:ascii="方正仿宋_GBK" w:eastAsia="方正仿宋_GBK" w:hAnsi="仿宋_GB2312" w:cs="仿宋_GB2312" w:hint="eastAsia"/>
                <w:bCs/>
                <w:color w:val="000000"/>
                <w:kern w:val="0"/>
                <w:sz w:val="28"/>
                <w:szCs w:val="28"/>
              </w:rPr>
              <w:t>包括但不限于能源企业、制造企业、贸易企业、货代企业、物流企业以及钢铁厂等</w:t>
            </w:r>
            <w:r w:rsidRPr="003E40C2">
              <w:rPr>
                <w:rFonts w:ascii="方正仿宋_GBK" w:eastAsia="方正仿宋_GBK" w:hAnsi="仿宋_GB2312" w:cs="仿宋_GB2312" w:hint="eastAsia"/>
                <w:bCs/>
                <w:color w:val="000000"/>
                <w:kern w:val="0"/>
                <w:sz w:val="28"/>
                <w:szCs w:val="28"/>
              </w:rPr>
              <w:t>。</w:t>
            </w:r>
            <w:bookmarkEnd w:id="4"/>
            <w:bookmarkEnd w:id="5"/>
          </w:p>
          <w:p w:rsidR="003E40C2" w:rsidRPr="003E40C2" w:rsidRDefault="00922500" w:rsidP="003E40C2">
            <w:pPr>
              <w:spacing w:line="440" w:lineRule="exact"/>
              <w:ind w:firstLineChars="200" w:firstLine="560"/>
              <w:rPr>
                <w:rFonts w:ascii="方正黑体_GBK" w:eastAsia="方正黑体_GBK" w:hAnsi="仿宋_GB2312" w:cs="仿宋_GB2312"/>
                <w:bCs/>
                <w:color w:val="000000"/>
                <w:kern w:val="0"/>
                <w:sz w:val="28"/>
                <w:szCs w:val="28"/>
              </w:rPr>
            </w:pPr>
            <w:r w:rsidRPr="003E40C2">
              <w:rPr>
                <w:rFonts w:ascii="方正黑体_GBK" w:eastAsia="方正黑体_GBK" w:hAnsi="仿宋_GB2312" w:cs="仿宋_GB2312" w:hint="eastAsia"/>
                <w:bCs/>
                <w:color w:val="000000"/>
                <w:kern w:val="0"/>
                <w:sz w:val="28"/>
                <w:szCs w:val="28"/>
              </w:rPr>
              <w:t>三、</w:t>
            </w:r>
            <w:r w:rsidR="00B730D2">
              <w:rPr>
                <w:rFonts w:ascii="方正黑体_GBK" w:eastAsia="方正黑体_GBK" w:hAnsi="仿宋_GB2312" w:cs="仿宋_GB2312" w:hint="eastAsia"/>
                <w:bCs/>
                <w:color w:val="000000"/>
                <w:kern w:val="0"/>
                <w:sz w:val="28"/>
                <w:szCs w:val="28"/>
              </w:rPr>
              <w:t>公司</w:t>
            </w:r>
            <w:r w:rsidR="00B730D2" w:rsidRPr="00B730D2">
              <w:rPr>
                <w:rFonts w:ascii="方正黑体_GBK" w:eastAsia="方正黑体_GBK" w:hAnsi="仿宋_GB2312" w:cs="仿宋_GB2312" w:hint="eastAsia"/>
                <w:bCs/>
                <w:color w:val="000000"/>
                <w:kern w:val="0"/>
                <w:sz w:val="28"/>
                <w:szCs w:val="28"/>
              </w:rPr>
              <w:t>核心竞争力</w:t>
            </w:r>
            <w:r w:rsidR="00B730D2">
              <w:rPr>
                <w:rFonts w:ascii="方正黑体_GBK" w:eastAsia="方正黑体_GBK" w:hAnsi="仿宋_GB2312" w:cs="仿宋_GB2312" w:hint="eastAsia"/>
                <w:bCs/>
                <w:color w:val="000000"/>
                <w:kern w:val="0"/>
                <w:sz w:val="28"/>
                <w:szCs w:val="28"/>
              </w:rPr>
              <w:t>有哪些</w:t>
            </w:r>
            <w:r w:rsidR="003E40C2" w:rsidRPr="003E40C2">
              <w:rPr>
                <w:rFonts w:ascii="方正黑体_GBK" w:eastAsia="方正黑体_GBK" w:hAnsi="仿宋_GB2312" w:cs="仿宋_GB2312" w:hint="eastAsia"/>
                <w:bCs/>
                <w:color w:val="000000"/>
                <w:kern w:val="0"/>
                <w:sz w:val="28"/>
                <w:szCs w:val="28"/>
              </w:rPr>
              <w:t>？</w:t>
            </w:r>
          </w:p>
          <w:p w:rsidR="00B730D2" w:rsidRPr="00B730D2" w:rsidRDefault="00B730D2" w:rsidP="00B730D2">
            <w:pPr>
              <w:widowControl/>
              <w:spacing w:line="440" w:lineRule="exact"/>
              <w:ind w:firstLineChars="200" w:firstLine="560"/>
              <w:rPr>
                <w:rFonts w:ascii="方正仿宋_GBK" w:eastAsia="方正仿宋_GBK" w:hAnsi="Times New Roman" w:cs="Times New Roman" w:hint="eastAsia"/>
                <w:sz w:val="28"/>
                <w:szCs w:val="28"/>
              </w:rPr>
            </w:pPr>
            <w:r w:rsidRPr="00B730D2">
              <w:rPr>
                <w:rFonts w:ascii="方正仿宋_GBK" w:eastAsia="方正仿宋_GBK" w:hAnsi="Times New Roman" w:cs="Times New Roman" w:hint="eastAsia"/>
                <w:sz w:val="28"/>
                <w:szCs w:val="28"/>
              </w:rPr>
              <w:t>1. 区位优势卓越</w:t>
            </w:r>
          </w:p>
          <w:p w:rsidR="00B730D2" w:rsidRPr="00B730D2" w:rsidRDefault="00B730D2" w:rsidP="00B730D2">
            <w:pPr>
              <w:widowControl/>
              <w:spacing w:line="440" w:lineRule="exact"/>
              <w:ind w:firstLineChars="200" w:firstLine="560"/>
              <w:rPr>
                <w:rFonts w:ascii="方正仿宋_GBK" w:eastAsia="方正仿宋_GBK" w:hAnsi="Times New Roman" w:cs="Times New Roman" w:hint="eastAsia"/>
                <w:sz w:val="28"/>
                <w:szCs w:val="28"/>
              </w:rPr>
            </w:pPr>
            <w:r w:rsidRPr="00B730D2">
              <w:rPr>
                <w:rFonts w:ascii="方正仿宋_GBK" w:eastAsia="方正仿宋_GBK" w:hAnsi="Times New Roman" w:cs="Times New Roman" w:hint="eastAsia"/>
                <w:sz w:val="28"/>
                <w:szCs w:val="28"/>
              </w:rPr>
              <w:t>公司位于长江上游，承东启西、连接南北，是国家“一带一路”倡议和“长江经济带”战略互联互通的重要节点，所属果园港是长江上游最大的集装箱枢纽中心和件散货集散中心，也是西部陆海新通道、中欧班列等国际物流通道无缝衔接、互联互通重要港口，是重庆首个具备直接进口水果、粮食、肉类资质的口岸。</w:t>
            </w:r>
          </w:p>
          <w:p w:rsidR="00B730D2" w:rsidRPr="00B730D2" w:rsidRDefault="00B730D2" w:rsidP="00B730D2">
            <w:pPr>
              <w:widowControl/>
              <w:spacing w:line="440" w:lineRule="exact"/>
              <w:ind w:firstLineChars="200" w:firstLine="560"/>
              <w:rPr>
                <w:rFonts w:ascii="方正仿宋_GBK" w:eastAsia="方正仿宋_GBK" w:hAnsi="Times New Roman" w:cs="Times New Roman" w:hint="eastAsia"/>
                <w:sz w:val="28"/>
                <w:szCs w:val="28"/>
              </w:rPr>
            </w:pPr>
            <w:r w:rsidRPr="00B730D2">
              <w:rPr>
                <w:rFonts w:ascii="方正仿宋_GBK" w:eastAsia="方正仿宋_GBK" w:hAnsi="Times New Roman" w:cs="Times New Roman" w:hint="eastAsia"/>
                <w:sz w:val="28"/>
                <w:szCs w:val="28"/>
              </w:rPr>
              <w:t>2. 枢纽功能强大</w:t>
            </w:r>
          </w:p>
          <w:p w:rsidR="00B730D2" w:rsidRPr="00B730D2" w:rsidRDefault="00B730D2" w:rsidP="00B730D2">
            <w:pPr>
              <w:widowControl/>
              <w:spacing w:line="440" w:lineRule="exact"/>
              <w:ind w:firstLineChars="200" w:firstLine="560"/>
              <w:rPr>
                <w:rFonts w:ascii="方正仿宋_GBK" w:eastAsia="方正仿宋_GBK" w:hAnsi="Times New Roman" w:cs="Times New Roman" w:hint="eastAsia"/>
                <w:sz w:val="28"/>
                <w:szCs w:val="28"/>
              </w:rPr>
            </w:pPr>
            <w:r w:rsidRPr="00B730D2">
              <w:rPr>
                <w:rFonts w:ascii="方正仿宋_GBK" w:eastAsia="方正仿宋_GBK" w:hAnsi="Times New Roman" w:cs="Times New Roman" w:hint="eastAsia"/>
                <w:sz w:val="28"/>
                <w:szCs w:val="28"/>
              </w:rPr>
              <w:t>公司物流网络畅通高效。向东，经由长江黄金水道连接太平洋，覆盖全球190多条国际航线，可达200多个国家和地区；向西，通过中欧班列（重庆），经新疆连接中亚、欧洲地区；向南，通过国际陆海贸易新通道，经广西连接新加坡等东盟国家；向北，通过渝满俄国际铁路专列，辐射蒙古、俄罗斯。</w:t>
            </w:r>
          </w:p>
          <w:p w:rsidR="00B730D2" w:rsidRPr="00B730D2" w:rsidRDefault="00B730D2" w:rsidP="00B730D2">
            <w:pPr>
              <w:widowControl/>
              <w:spacing w:line="440" w:lineRule="exact"/>
              <w:ind w:firstLineChars="200" w:firstLine="560"/>
              <w:rPr>
                <w:rFonts w:ascii="方正仿宋_GBK" w:eastAsia="方正仿宋_GBK" w:hAnsi="Times New Roman" w:cs="Times New Roman" w:hint="eastAsia"/>
                <w:sz w:val="28"/>
                <w:szCs w:val="28"/>
              </w:rPr>
            </w:pPr>
            <w:r w:rsidRPr="00B730D2">
              <w:rPr>
                <w:rFonts w:ascii="方正仿宋_GBK" w:eastAsia="方正仿宋_GBK" w:hAnsi="Times New Roman" w:cs="Times New Roman" w:hint="eastAsia"/>
                <w:sz w:val="28"/>
                <w:szCs w:val="28"/>
              </w:rPr>
              <w:t>3. 铁水联运优势明显</w:t>
            </w:r>
          </w:p>
          <w:p w:rsidR="00B730D2" w:rsidRPr="00B730D2" w:rsidRDefault="00B730D2" w:rsidP="00B730D2">
            <w:pPr>
              <w:widowControl/>
              <w:spacing w:line="440" w:lineRule="exact"/>
              <w:ind w:firstLineChars="200" w:firstLine="560"/>
              <w:rPr>
                <w:rFonts w:ascii="方正仿宋_GBK" w:eastAsia="方正仿宋_GBK" w:hAnsi="Times New Roman" w:cs="Times New Roman" w:hint="eastAsia"/>
                <w:sz w:val="28"/>
                <w:szCs w:val="28"/>
              </w:rPr>
            </w:pPr>
            <w:r w:rsidRPr="00B730D2">
              <w:rPr>
                <w:rFonts w:ascii="方正仿宋_GBK" w:eastAsia="方正仿宋_GBK" w:hAnsi="Times New Roman" w:cs="Times New Roman" w:hint="eastAsia"/>
                <w:sz w:val="28"/>
                <w:szCs w:val="28"/>
              </w:rPr>
              <w:lastRenderedPageBreak/>
              <w:t>近年来，公司通过对港口码头建设投资及改（扩）建，目前已形成集装箱、件杂散货、商品车和化工等现代化、专业化码头集群，拥有果园港、万州红溪沟、江津兰家沱和珞璜港4个铁水联运港区，在铁水联运通过能力、协同机制、服务效能等方面在长江上游港口占绝对优势。</w:t>
            </w:r>
          </w:p>
          <w:p w:rsidR="00B730D2" w:rsidRPr="00B730D2" w:rsidRDefault="00B730D2" w:rsidP="00B730D2">
            <w:pPr>
              <w:widowControl/>
              <w:spacing w:line="440" w:lineRule="exact"/>
              <w:ind w:firstLineChars="200" w:firstLine="560"/>
              <w:rPr>
                <w:rFonts w:ascii="方正仿宋_GBK" w:eastAsia="方正仿宋_GBK" w:hAnsi="Times New Roman" w:cs="Times New Roman" w:hint="eastAsia"/>
                <w:sz w:val="28"/>
                <w:szCs w:val="28"/>
              </w:rPr>
            </w:pPr>
            <w:r w:rsidRPr="00B730D2">
              <w:rPr>
                <w:rFonts w:ascii="方正仿宋_GBK" w:eastAsia="方正仿宋_GBK" w:hAnsi="Times New Roman" w:cs="Times New Roman" w:hint="eastAsia"/>
                <w:sz w:val="28"/>
                <w:szCs w:val="28"/>
              </w:rPr>
              <w:t>4. 集装箱竞争优势显著</w:t>
            </w:r>
          </w:p>
          <w:p w:rsidR="00E36DF8" w:rsidRPr="00B730D2" w:rsidRDefault="00B730D2" w:rsidP="00B730D2">
            <w:pPr>
              <w:widowControl/>
              <w:spacing w:line="440" w:lineRule="exact"/>
              <w:ind w:firstLineChars="200" w:firstLine="560"/>
              <w:rPr>
                <w:rFonts w:ascii="方正仿宋_GBK" w:eastAsia="方正仿宋_GBK" w:hAnsi="仿宋_GB2312" w:cs="仿宋_GB2312"/>
                <w:bCs/>
                <w:color w:val="000000"/>
                <w:kern w:val="0"/>
                <w:sz w:val="28"/>
                <w:szCs w:val="28"/>
              </w:rPr>
            </w:pPr>
            <w:r w:rsidRPr="00B730D2">
              <w:rPr>
                <w:rFonts w:ascii="方正仿宋_GBK" w:eastAsia="方正仿宋_GBK" w:hAnsi="Times New Roman" w:cs="Times New Roman" w:hint="eastAsia"/>
                <w:sz w:val="28"/>
                <w:szCs w:val="28"/>
              </w:rPr>
              <w:t>公司拥有长江上游和西南地区规模最大、装卸工艺最先进、服务质量最优质的集装箱枢纽港，集装箱年吞吐量占重庆水路集装箱年吞吐量的90%以上。</w:t>
            </w:r>
          </w:p>
          <w:p w:rsidR="00922500" w:rsidRPr="003E40C2" w:rsidRDefault="00922500" w:rsidP="003E40C2">
            <w:pPr>
              <w:widowControl/>
              <w:spacing w:line="440" w:lineRule="exact"/>
              <w:ind w:firstLineChars="200" w:firstLine="560"/>
              <w:rPr>
                <w:rFonts w:ascii="方正黑体_GBK" w:eastAsia="方正黑体_GBK" w:hAnsi="仿宋_GB2312" w:cs="仿宋_GB2312"/>
                <w:bCs/>
                <w:color w:val="000000"/>
                <w:kern w:val="0"/>
                <w:sz w:val="28"/>
                <w:szCs w:val="28"/>
              </w:rPr>
            </w:pPr>
            <w:r w:rsidRPr="003E40C2">
              <w:rPr>
                <w:rFonts w:ascii="方正黑体_GBK" w:eastAsia="方正黑体_GBK" w:hAnsi="仿宋_GB2312" w:cs="仿宋_GB2312" w:hint="eastAsia"/>
                <w:bCs/>
                <w:color w:val="000000"/>
                <w:kern w:val="0"/>
                <w:sz w:val="28"/>
                <w:szCs w:val="28"/>
              </w:rPr>
              <w:t>四、</w:t>
            </w:r>
            <w:r w:rsidR="003E40C2" w:rsidRPr="003E40C2">
              <w:rPr>
                <w:rFonts w:ascii="方正黑体_GBK" w:eastAsia="方正黑体_GBK" w:hAnsi="仿宋_GB2312" w:cs="仿宋_GB2312" w:hint="eastAsia"/>
                <w:bCs/>
                <w:color w:val="000000"/>
                <w:kern w:val="0"/>
                <w:sz w:val="28"/>
                <w:szCs w:val="28"/>
              </w:rPr>
              <w:t>公司</w:t>
            </w:r>
            <w:r w:rsidR="00B730D2">
              <w:rPr>
                <w:rFonts w:ascii="方正黑体_GBK" w:eastAsia="方正黑体_GBK" w:hAnsi="仿宋_GB2312" w:cs="仿宋_GB2312" w:hint="eastAsia"/>
                <w:bCs/>
                <w:color w:val="000000"/>
                <w:kern w:val="0"/>
                <w:sz w:val="28"/>
                <w:szCs w:val="28"/>
              </w:rPr>
              <w:t>未来发展规划</w:t>
            </w:r>
            <w:r w:rsidR="00B730D2">
              <w:rPr>
                <w:rFonts w:ascii="方正黑体_GBK" w:eastAsia="方正黑体_GBK" w:hAnsi="仿宋_GB2312" w:cs="仿宋_GB2312"/>
                <w:bCs/>
                <w:color w:val="000000"/>
                <w:kern w:val="0"/>
                <w:sz w:val="28"/>
                <w:szCs w:val="28"/>
              </w:rPr>
              <w:t>有哪些</w:t>
            </w:r>
            <w:r w:rsidR="003E40C2" w:rsidRPr="003E40C2">
              <w:rPr>
                <w:rFonts w:ascii="方正黑体_GBK" w:eastAsia="方正黑体_GBK" w:hAnsi="仿宋_GB2312" w:cs="仿宋_GB2312" w:hint="eastAsia"/>
                <w:bCs/>
                <w:color w:val="000000"/>
                <w:kern w:val="0"/>
                <w:sz w:val="28"/>
                <w:szCs w:val="28"/>
              </w:rPr>
              <w:t>？</w:t>
            </w:r>
          </w:p>
          <w:p w:rsidR="00B730D2" w:rsidRPr="00B730D2" w:rsidRDefault="00B730D2" w:rsidP="00B730D2">
            <w:pPr>
              <w:widowControl/>
              <w:spacing w:line="440" w:lineRule="exact"/>
              <w:ind w:firstLineChars="200" w:firstLine="560"/>
              <w:rPr>
                <w:rFonts w:ascii="方正仿宋_GBK" w:eastAsia="方正仿宋_GBK" w:hAnsi="仿宋_GB2312" w:cs="仿宋_GB2312" w:hint="eastAsia"/>
                <w:bCs/>
                <w:color w:val="000000"/>
                <w:kern w:val="0"/>
                <w:sz w:val="28"/>
                <w:szCs w:val="28"/>
              </w:rPr>
            </w:pPr>
            <w:r w:rsidRPr="00B730D2">
              <w:rPr>
                <w:rFonts w:ascii="方正仿宋_GBK" w:eastAsia="方正仿宋_GBK" w:hAnsi="仿宋_GB2312" w:cs="仿宋_GB2312" w:hint="eastAsia"/>
                <w:bCs/>
                <w:color w:val="000000"/>
                <w:kern w:val="0"/>
                <w:sz w:val="28"/>
                <w:szCs w:val="28"/>
              </w:rPr>
              <w:t>重庆港将深化落实“三个好、四个一流、三个服务好”等重要指示要求，努力用好长江经济带、西部陆海新通道、成渝地区双城经济圈建设、新时代西部大开发等国家重大战略的叠加效应，加快完善现代化集疏运体系建设，积极打造更多重庆港标志性物流品牌项目，为区域经济高质量发展提供坚实的物流支撑。</w:t>
            </w:r>
          </w:p>
          <w:p w:rsidR="00B730D2" w:rsidRPr="00B730D2" w:rsidRDefault="00B730D2" w:rsidP="00B730D2">
            <w:pPr>
              <w:widowControl/>
              <w:spacing w:line="440" w:lineRule="exact"/>
              <w:ind w:firstLineChars="200" w:firstLine="560"/>
              <w:rPr>
                <w:rFonts w:ascii="方正仿宋_GBK" w:eastAsia="方正仿宋_GBK" w:hAnsi="仿宋_GB2312" w:cs="仿宋_GB2312" w:hint="eastAsia"/>
                <w:bCs/>
                <w:color w:val="000000"/>
                <w:kern w:val="0"/>
                <w:sz w:val="28"/>
                <w:szCs w:val="28"/>
              </w:rPr>
            </w:pPr>
            <w:r>
              <w:rPr>
                <w:rFonts w:ascii="方正仿宋_GBK" w:eastAsia="方正仿宋_GBK" w:hAnsi="仿宋_GB2312" w:cs="仿宋_GB2312" w:hint="eastAsia"/>
                <w:bCs/>
                <w:color w:val="000000"/>
                <w:kern w:val="0"/>
                <w:sz w:val="28"/>
                <w:szCs w:val="28"/>
              </w:rPr>
              <w:t>1</w:t>
            </w:r>
            <w:r>
              <w:rPr>
                <w:rFonts w:ascii="方正仿宋_GBK" w:eastAsia="方正仿宋_GBK" w:hAnsi="仿宋_GB2312" w:cs="仿宋_GB2312"/>
                <w:bCs/>
                <w:color w:val="000000"/>
                <w:kern w:val="0"/>
                <w:sz w:val="28"/>
                <w:szCs w:val="28"/>
              </w:rPr>
              <w:t xml:space="preserve">. </w:t>
            </w:r>
            <w:r w:rsidRPr="00B730D2">
              <w:rPr>
                <w:rFonts w:ascii="方正仿宋_GBK" w:eastAsia="方正仿宋_GBK" w:hAnsi="仿宋_GB2312" w:cs="仿宋_GB2312" w:hint="eastAsia"/>
                <w:bCs/>
                <w:color w:val="000000"/>
                <w:kern w:val="0"/>
                <w:sz w:val="28"/>
                <w:szCs w:val="28"/>
              </w:rPr>
              <w:t>加快释放港口集群效能。抢抓国家引导产业转移新机遇，以及全市“33618”现代制造业集群体系、“416”科技创新布局，深入挖掘腹地产业园区和重点制造业企业等物流需求，持续深化与央企</w:t>
            </w:r>
            <w:r>
              <w:rPr>
                <w:rFonts w:ascii="方正仿宋_GBK" w:eastAsia="方正仿宋_GBK" w:hAnsi="仿宋_GB2312" w:cs="仿宋_GB2312" w:hint="eastAsia"/>
                <w:bCs/>
                <w:color w:val="000000"/>
                <w:kern w:val="0"/>
                <w:sz w:val="28"/>
                <w:szCs w:val="28"/>
              </w:rPr>
              <w:t>、</w:t>
            </w:r>
            <w:r w:rsidRPr="00B730D2">
              <w:rPr>
                <w:rFonts w:ascii="方正仿宋_GBK" w:eastAsia="方正仿宋_GBK" w:hAnsi="仿宋_GB2312" w:cs="仿宋_GB2312" w:hint="eastAsia"/>
                <w:bCs/>
                <w:color w:val="000000"/>
                <w:kern w:val="0"/>
                <w:sz w:val="28"/>
                <w:szCs w:val="28"/>
              </w:rPr>
              <w:t>能源企业合作，争取引导更多货源在港口稳定中转。</w:t>
            </w:r>
          </w:p>
          <w:p w:rsidR="00B730D2" w:rsidRPr="00B730D2" w:rsidRDefault="00B730D2" w:rsidP="00B730D2">
            <w:pPr>
              <w:widowControl/>
              <w:spacing w:line="440" w:lineRule="exact"/>
              <w:ind w:firstLineChars="200" w:firstLine="560"/>
              <w:rPr>
                <w:rFonts w:ascii="方正仿宋_GBK" w:eastAsia="方正仿宋_GBK" w:hAnsi="仿宋_GB2312" w:cs="仿宋_GB2312" w:hint="eastAsia"/>
                <w:bCs/>
                <w:color w:val="000000"/>
                <w:kern w:val="0"/>
                <w:sz w:val="28"/>
                <w:szCs w:val="28"/>
              </w:rPr>
            </w:pPr>
            <w:r>
              <w:rPr>
                <w:rFonts w:ascii="方正仿宋_GBK" w:eastAsia="方正仿宋_GBK" w:hAnsi="仿宋_GB2312" w:cs="仿宋_GB2312" w:hint="eastAsia"/>
                <w:bCs/>
                <w:color w:val="000000"/>
                <w:kern w:val="0"/>
                <w:sz w:val="28"/>
                <w:szCs w:val="28"/>
              </w:rPr>
              <w:t>2</w:t>
            </w:r>
            <w:r>
              <w:rPr>
                <w:rFonts w:ascii="方正仿宋_GBK" w:eastAsia="方正仿宋_GBK" w:hAnsi="仿宋_GB2312" w:cs="仿宋_GB2312"/>
                <w:bCs/>
                <w:color w:val="000000"/>
                <w:kern w:val="0"/>
                <w:sz w:val="28"/>
                <w:szCs w:val="28"/>
              </w:rPr>
              <w:t xml:space="preserve">. </w:t>
            </w:r>
            <w:r w:rsidRPr="00B730D2">
              <w:rPr>
                <w:rFonts w:ascii="方正仿宋_GBK" w:eastAsia="方正仿宋_GBK" w:hAnsi="仿宋_GB2312" w:cs="仿宋_GB2312" w:hint="eastAsia"/>
                <w:bCs/>
                <w:color w:val="000000"/>
                <w:kern w:val="0"/>
                <w:sz w:val="28"/>
                <w:szCs w:val="28"/>
              </w:rPr>
              <w:t>打造更多标志性物流品牌。在稳定运行散改集、铁水联运项目、水水中转集装箱航线、沪渝直达快线、江海直达、千里轻舟项目的基础上，推动无水港项目提质增量，同步探索开发更多标志性物流项目，为区域产业发展创造便利物流条件。</w:t>
            </w:r>
          </w:p>
          <w:p w:rsidR="00B730D2" w:rsidRPr="00B730D2" w:rsidRDefault="00B730D2" w:rsidP="00B730D2">
            <w:pPr>
              <w:widowControl/>
              <w:spacing w:line="440" w:lineRule="exact"/>
              <w:ind w:firstLineChars="200" w:firstLine="560"/>
              <w:rPr>
                <w:rFonts w:ascii="方正仿宋_GBK" w:eastAsia="方正仿宋_GBK" w:hAnsi="仿宋_GB2312" w:cs="仿宋_GB2312" w:hint="eastAsia"/>
                <w:bCs/>
                <w:color w:val="000000"/>
                <w:kern w:val="0"/>
                <w:sz w:val="28"/>
                <w:szCs w:val="28"/>
              </w:rPr>
            </w:pPr>
            <w:r>
              <w:rPr>
                <w:rFonts w:ascii="方正仿宋_GBK" w:eastAsia="方正仿宋_GBK" w:hAnsi="仿宋_GB2312" w:cs="仿宋_GB2312" w:hint="eastAsia"/>
                <w:bCs/>
                <w:color w:val="000000"/>
                <w:kern w:val="0"/>
                <w:sz w:val="28"/>
                <w:szCs w:val="28"/>
              </w:rPr>
              <w:t>3</w:t>
            </w:r>
            <w:r>
              <w:rPr>
                <w:rFonts w:ascii="方正仿宋_GBK" w:eastAsia="方正仿宋_GBK" w:hAnsi="仿宋_GB2312" w:cs="仿宋_GB2312"/>
                <w:bCs/>
                <w:color w:val="000000"/>
                <w:kern w:val="0"/>
                <w:sz w:val="28"/>
                <w:szCs w:val="28"/>
              </w:rPr>
              <w:t xml:space="preserve">. </w:t>
            </w:r>
            <w:r w:rsidRPr="00B730D2">
              <w:rPr>
                <w:rFonts w:ascii="方正仿宋_GBK" w:eastAsia="方正仿宋_GBK" w:hAnsi="仿宋_GB2312" w:cs="仿宋_GB2312" w:hint="eastAsia"/>
                <w:bCs/>
                <w:color w:val="000000"/>
                <w:kern w:val="0"/>
                <w:sz w:val="28"/>
                <w:szCs w:val="28"/>
              </w:rPr>
              <w:t>促进物流与贸易融合发展。结合现代产业链、供应链运营模式，高度整合商流、物流、信息流、资金流，提升“物流+贸易+产业+科技”的综合服务能力，</w:t>
            </w:r>
            <w:r w:rsidRPr="00B730D2">
              <w:rPr>
                <w:rFonts w:ascii="方正仿宋_GBK" w:eastAsia="方正仿宋_GBK" w:hAnsi="仿宋_GB2312" w:cs="仿宋_GB2312" w:hint="eastAsia"/>
                <w:bCs/>
                <w:color w:val="000000"/>
                <w:kern w:val="0"/>
                <w:sz w:val="28"/>
                <w:szCs w:val="28"/>
              </w:rPr>
              <w:lastRenderedPageBreak/>
              <w:t>不断优化增值服务，实现产业链、供应链、价值链数字化转型延伸。</w:t>
            </w:r>
          </w:p>
          <w:p w:rsidR="00922500" w:rsidRPr="003E40C2" w:rsidRDefault="00B730D2" w:rsidP="00B730D2">
            <w:pPr>
              <w:widowControl/>
              <w:spacing w:line="440" w:lineRule="exact"/>
              <w:ind w:firstLineChars="200" w:firstLine="560"/>
              <w:rPr>
                <w:rFonts w:ascii="方正仿宋_GBK" w:eastAsia="方正仿宋_GBK" w:hAnsi="仿宋_GB2312" w:cs="仿宋_GB2312"/>
                <w:bCs/>
                <w:color w:val="000000"/>
                <w:kern w:val="0"/>
                <w:sz w:val="28"/>
                <w:szCs w:val="28"/>
              </w:rPr>
            </w:pPr>
            <w:r>
              <w:rPr>
                <w:rFonts w:ascii="方正仿宋_GBK" w:eastAsia="方正仿宋_GBK" w:hAnsi="仿宋_GB2312" w:cs="仿宋_GB2312" w:hint="eastAsia"/>
                <w:bCs/>
                <w:color w:val="000000"/>
                <w:kern w:val="0"/>
                <w:sz w:val="28"/>
                <w:szCs w:val="28"/>
              </w:rPr>
              <w:t>4</w:t>
            </w:r>
            <w:r>
              <w:rPr>
                <w:rFonts w:ascii="方正仿宋_GBK" w:eastAsia="方正仿宋_GBK" w:hAnsi="仿宋_GB2312" w:cs="仿宋_GB2312"/>
                <w:bCs/>
                <w:color w:val="000000"/>
                <w:kern w:val="0"/>
                <w:sz w:val="28"/>
                <w:szCs w:val="28"/>
              </w:rPr>
              <w:t xml:space="preserve">. </w:t>
            </w:r>
            <w:r w:rsidRPr="00B730D2">
              <w:rPr>
                <w:rFonts w:ascii="方正仿宋_GBK" w:eastAsia="方正仿宋_GBK" w:hAnsi="仿宋_GB2312" w:cs="仿宋_GB2312" w:hint="eastAsia"/>
                <w:bCs/>
                <w:color w:val="000000"/>
                <w:kern w:val="0"/>
                <w:sz w:val="28"/>
                <w:szCs w:val="28"/>
              </w:rPr>
              <w:t>有序推进现代化港口提档升级。持续推广电动机械设备、远程操控技改、无纸化信息平台等新能源、新技术在港口的场景应用，加快推进科技创新、数字赋能，提升港口生产效率。</w:t>
            </w:r>
          </w:p>
          <w:p w:rsidR="00922500" w:rsidRPr="00922500" w:rsidRDefault="00922500" w:rsidP="003E40C2">
            <w:pPr>
              <w:widowControl/>
              <w:spacing w:line="440" w:lineRule="exact"/>
              <w:ind w:firstLineChars="200" w:firstLine="560"/>
              <w:rPr>
                <w:rFonts w:ascii="方正黑体_GBK" w:eastAsia="方正黑体_GBK" w:hAnsi="仿宋_GB2312" w:cs="仿宋_GB2312"/>
                <w:bCs/>
                <w:color w:val="000000"/>
                <w:kern w:val="0"/>
                <w:sz w:val="28"/>
                <w:szCs w:val="28"/>
              </w:rPr>
            </w:pPr>
            <w:bookmarkStart w:id="6" w:name="OLE_LINK20"/>
            <w:r w:rsidRPr="003E40C2">
              <w:rPr>
                <w:rFonts w:ascii="方正黑体_GBK" w:eastAsia="方正黑体_GBK" w:hAnsi="仿宋_GB2312" w:cs="仿宋_GB2312" w:hint="eastAsia"/>
                <w:bCs/>
                <w:color w:val="000000"/>
                <w:kern w:val="0"/>
                <w:sz w:val="28"/>
                <w:szCs w:val="28"/>
              </w:rPr>
              <w:t>五、</w:t>
            </w:r>
            <w:r w:rsidR="001F6F87" w:rsidRPr="001F6F87">
              <w:rPr>
                <w:rFonts w:ascii="方正黑体_GBK" w:eastAsia="方正黑体_GBK" w:hAnsi="仿宋_GB2312" w:cs="仿宋_GB2312" w:hint="eastAsia"/>
                <w:bCs/>
                <w:color w:val="000000"/>
                <w:kern w:val="0"/>
                <w:sz w:val="28"/>
                <w:szCs w:val="28"/>
              </w:rPr>
              <w:t>公司风险管理体系的建立</w:t>
            </w:r>
            <w:r w:rsidR="001F6F87">
              <w:rPr>
                <w:rFonts w:ascii="方正黑体_GBK" w:eastAsia="方正黑体_GBK" w:hAnsi="仿宋_GB2312" w:cs="仿宋_GB2312" w:hint="eastAsia"/>
                <w:bCs/>
                <w:color w:val="000000"/>
                <w:kern w:val="0"/>
                <w:sz w:val="28"/>
                <w:szCs w:val="28"/>
              </w:rPr>
              <w:t>情况</w:t>
            </w:r>
            <w:r w:rsidR="001F6F87">
              <w:rPr>
                <w:rFonts w:ascii="方正黑体_GBK" w:eastAsia="方正黑体_GBK" w:hAnsi="仿宋_GB2312" w:cs="仿宋_GB2312"/>
                <w:bCs/>
                <w:color w:val="000000"/>
                <w:kern w:val="0"/>
                <w:sz w:val="28"/>
                <w:szCs w:val="28"/>
              </w:rPr>
              <w:t>如何</w:t>
            </w:r>
            <w:r w:rsidR="003E40C2" w:rsidRPr="003E40C2">
              <w:rPr>
                <w:rFonts w:ascii="方正黑体_GBK" w:eastAsia="方正黑体_GBK" w:hAnsi="仿宋_GB2312" w:cs="仿宋_GB2312" w:hint="eastAsia"/>
                <w:bCs/>
                <w:color w:val="000000"/>
                <w:kern w:val="0"/>
                <w:sz w:val="28"/>
                <w:szCs w:val="28"/>
              </w:rPr>
              <w:t>？</w:t>
            </w:r>
          </w:p>
          <w:p w:rsidR="00922500" w:rsidRPr="00922500" w:rsidRDefault="001F6F87" w:rsidP="00922500">
            <w:pPr>
              <w:widowControl/>
              <w:spacing w:line="440" w:lineRule="exact"/>
              <w:ind w:firstLineChars="200" w:firstLine="560"/>
              <w:rPr>
                <w:rFonts w:ascii="方正仿宋_GBK" w:eastAsia="方正仿宋_GBK" w:hAnsi="仿宋_GB2312" w:cs="仿宋_GB2312"/>
                <w:bCs/>
                <w:color w:val="000000"/>
                <w:kern w:val="0"/>
                <w:sz w:val="28"/>
                <w:szCs w:val="28"/>
              </w:rPr>
            </w:pPr>
            <w:r w:rsidRPr="001F6F87">
              <w:rPr>
                <w:rFonts w:ascii="方正仿宋_GBK" w:eastAsia="方正仿宋_GBK" w:hAnsi="仿宋_GB2312" w:cs="仿宋_GB2312" w:hint="eastAsia"/>
                <w:bCs/>
                <w:color w:val="000000"/>
                <w:kern w:val="0"/>
                <w:sz w:val="28"/>
                <w:szCs w:val="28"/>
              </w:rPr>
              <w:t>公司高度重视风控管理，主要按照两级风控管理机制执行，公司负责对所属企业开展业务作风险控制监督管理，所属企业是经营风险控制的责任主体。所属企业按照公司规定的风险控制管理基本原则及两级风险控制管理职责，结合企业经营实际及外部环境等因素，制定适合本企业的风险控制管理的具体细则，包括但不限于合同管理、资金管理、客户管理、预付款管理、保证金管理、仓储管理、物流运输监管、发出货物管理、货物质押管理等实施细则。</w:t>
            </w:r>
          </w:p>
          <w:bookmarkEnd w:id="6"/>
          <w:p w:rsidR="003B675A" w:rsidRPr="003B675A" w:rsidRDefault="0078250E" w:rsidP="003B675A">
            <w:pPr>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六</w:t>
            </w:r>
            <w:r w:rsidR="00922500" w:rsidRPr="00922500">
              <w:rPr>
                <w:rFonts w:ascii="方正黑体_GBK" w:eastAsia="方正黑体_GBK" w:hAnsi="仿宋_GB2312" w:cs="仿宋_GB2312" w:hint="eastAsia"/>
                <w:bCs/>
                <w:color w:val="000000"/>
                <w:kern w:val="0"/>
                <w:sz w:val="28"/>
                <w:szCs w:val="28"/>
              </w:rPr>
              <w:t>、</w:t>
            </w:r>
            <w:r w:rsidR="001F6F87">
              <w:rPr>
                <w:rFonts w:ascii="方正黑体_GBK" w:eastAsia="方正黑体_GBK" w:hAnsi="仿宋_GB2312" w:cs="仿宋_GB2312" w:hint="eastAsia"/>
                <w:bCs/>
                <w:color w:val="000000"/>
                <w:kern w:val="0"/>
                <w:sz w:val="28"/>
                <w:szCs w:val="28"/>
              </w:rPr>
              <w:t>重庆港</w:t>
            </w:r>
            <w:r w:rsidR="001F6F87" w:rsidRPr="001F6F87">
              <w:rPr>
                <w:rFonts w:ascii="方正黑体_GBK" w:eastAsia="方正黑体_GBK" w:hAnsi="仿宋_GB2312" w:cs="仿宋_GB2312" w:hint="eastAsia"/>
                <w:bCs/>
                <w:color w:val="000000"/>
                <w:kern w:val="0"/>
                <w:sz w:val="28"/>
                <w:szCs w:val="28"/>
              </w:rPr>
              <w:t>海外业务拓展</w:t>
            </w:r>
            <w:r w:rsidR="001F6F87">
              <w:rPr>
                <w:rFonts w:ascii="方正黑体_GBK" w:eastAsia="方正黑体_GBK" w:hAnsi="仿宋_GB2312" w:cs="仿宋_GB2312" w:hint="eastAsia"/>
                <w:bCs/>
                <w:color w:val="000000"/>
                <w:kern w:val="0"/>
                <w:sz w:val="28"/>
                <w:szCs w:val="28"/>
              </w:rPr>
              <w:t>情况</w:t>
            </w:r>
            <w:r w:rsidR="001F6F87">
              <w:rPr>
                <w:rFonts w:ascii="方正黑体_GBK" w:eastAsia="方正黑体_GBK" w:hAnsi="仿宋_GB2312" w:cs="仿宋_GB2312"/>
                <w:bCs/>
                <w:color w:val="000000"/>
                <w:kern w:val="0"/>
                <w:sz w:val="28"/>
                <w:szCs w:val="28"/>
              </w:rPr>
              <w:t>如何</w:t>
            </w:r>
            <w:r w:rsidR="003E40C2" w:rsidRPr="003E40C2">
              <w:rPr>
                <w:rFonts w:ascii="方正黑体_GBK" w:eastAsia="方正黑体_GBK" w:hAnsi="仿宋_GB2312" w:cs="仿宋_GB2312" w:hint="eastAsia"/>
                <w:bCs/>
                <w:color w:val="000000"/>
                <w:kern w:val="0"/>
                <w:sz w:val="28"/>
                <w:szCs w:val="28"/>
              </w:rPr>
              <w:t>？</w:t>
            </w:r>
          </w:p>
          <w:p w:rsidR="0054321D" w:rsidRPr="0054321D" w:rsidRDefault="001F6F87" w:rsidP="003E40C2">
            <w:pPr>
              <w:widowControl/>
              <w:spacing w:line="440" w:lineRule="exact"/>
              <w:ind w:firstLineChars="200" w:firstLine="560"/>
              <w:rPr>
                <w:rFonts w:ascii="方正仿宋_GBK" w:eastAsia="方正仿宋_GBK" w:hAnsi="仿宋_GB2312" w:cs="仿宋_GB2312"/>
                <w:bCs/>
                <w:color w:val="000000"/>
                <w:kern w:val="0"/>
                <w:sz w:val="28"/>
                <w:szCs w:val="28"/>
              </w:rPr>
            </w:pPr>
            <w:r w:rsidRPr="001F6F87">
              <w:rPr>
                <w:rFonts w:ascii="方正仿宋_GBK" w:eastAsia="方正仿宋_GBK" w:hAnsi="仿宋_GB2312" w:cs="仿宋_GB2312" w:hint="eastAsia"/>
                <w:bCs/>
                <w:color w:val="000000"/>
                <w:kern w:val="0"/>
                <w:sz w:val="28"/>
                <w:szCs w:val="28"/>
              </w:rPr>
              <w:t>目前重庆港无海外业务。</w:t>
            </w:r>
          </w:p>
        </w:tc>
      </w:tr>
      <w:tr w:rsidR="00AA3D57" w:rsidRPr="00BE55D0" w:rsidTr="00E9788F">
        <w:trPr>
          <w:trHeight w:val="630"/>
          <w:jc w:val="center"/>
        </w:trPr>
        <w:tc>
          <w:tcPr>
            <w:tcW w:w="2552" w:type="dxa"/>
            <w:vAlign w:val="center"/>
          </w:tcPr>
          <w:p w:rsidR="00AA3D57" w:rsidRDefault="00AA3D57" w:rsidP="00AA3D57">
            <w:pPr>
              <w:spacing w:line="400" w:lineRule="exact"/>
              <w:jc w:val="center"/>
              <w:rPr>
                <w:rFonts w:asciiTheme="minorEastAsia" w:hAnsiTheme="minorEastAsia"/>
                <w:color w:val="000000" w:themeColor="text1"/>
                <w:sz w:val="28"/>
                <w:szCs w:val="28"/>
              </w:rPr>
            </w:pPr>
            <w:r>
              <w:rPr>
                <w:rFonts w:asciiTheme="minorEastAsia" w:hAnsiTheme="minorEastAsia" w:hint="eastAsia"/>
                <w:color w:val="000000" w:themeColor="text1"/>
                <w:sz w:val="28"/>
                <w:szCs w:val="28"/>
              </w:rPr>
              <w:lastRenderedPageBreak/>
              <w:t>附件清单（如有）</w:t>
            </w:r>
          </w:p>
        </w:tc>
        <w:tc>
          <w:tcPr>
            <w:tcW w:w="6663" w:type="dxa"/>
            <w:vAlign w:val="center"/>
          </w:tcPr>
          <w:p w:rsidR="00AA3D57" w:rsidRPr="00584E7D" w:rsidRDefault="00AA3D57" w:rsidP="00AA3D57">
            <w:pPr>
              <w:jc w:val="left"/>
              <w:rPr>
                <w:rFonts w:ascii="宋体" w:eastAsia="宋体" w:hAnsi="宋体"/>
                <w:color w:val="000000" w:themeColor="text1"/>
                <w:sz w:val="28"/>
                <w:szCs w:val="28"/>
              </w:rPr>
            </w:pPr>
            <w:r w:rsidRPr="00584E7D">
              <w:rPr>
                <w:rFonts w:ascii="宋体" w:eastAsia="宋体" w:hAnsi="宋体"/>
                <w:color w:val="000000" w:themeColor="text1"/>
                <w:sz w:val="28"/>
                <w:szCs w:val="28"/>
              </w:rPr>
              <w:t>无</w:t>
            </w:r>
          </w:p>
        </w:tc>
      </w:tr>
    </w:tbl>
    <w:p w:rsidR="00124829" w:rsidRPr="00AA3D57" w:rsidRDefault="00124829" w:rsidP="00AA3D57">
      <w:pPr>
        <w:widowControl/>
        <w:jc w:val="left"/>
        <w:rPr>
          <w:color w:val="000000" w:themeColor="text1"/>
        </w:rPr>
      </w:pPr>
    </w:p>
    <w:sectPr w:rsidR="00124829" w:rsidRPr="00AA3D5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ECA" w:rsidRDefault="00443ECA">
      <w:r>
        <w:separator/>
      </w:r>
    </w:p>
  </w:endnote>
  <w:endnote w:type="continuationSeparator" w:id="0">
    <w:p w:rsidR="00443ECA" w:rsidRDefault="0044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ingfang sc">
    <w:altName w:val="Microsoft YaHei UI"/>
    <w:charset w:val="86"/>
    <w:family w:val="auto"/>
    <w:pitch w:val="default"/>
    <w:sig w:usb0="00000000" w:usb1="00000000" w:usb2="00000017" w:usb3="00000000" w:csb0="00040001" w:csb1="00000000"/>
  </w:font>
  <w:font w:name="Helvetica Neue">
    <w:altName w:val="Times New Roman"/>
    <w:charset w:val="00"/>
    <w:family w:val="auto"/>
    <w:pitch w:val="default"/>
    <w:sig w:usb0="00000000" w:usb1="00000000" w:usb2="00000010" w:usb3="00000000" w:csb0="0000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038838"/>
      <w:showingPlcHdr/>
    </w:sdtPr>
    <w:sdtEndPr/>
    <w:sdtContent>
      <w:p w:rsidR="00124829" w:rsidRDefault="00924FA1">
        <w:pPr>
          <w:pStyle w:val="a4"/>
          <w:jc w:val="center"/>
        </w:pPr>
        <w:r>
          <w:t xml:space="preserve">     </w:t>
        </w:r>
      </w:p>
    </w:sdtContent>
  </w:sdt>
  <w:p w:rsidR="00124829" w:rsidRDefault="001248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ECA" w:rsidRDefault="00443ECA">
      <w:r>
        <w:separator/>
      </w:r>
    </w:p>
  </w:footnote>
  <w:footnote w:type="continuationSeparator" w:id="0">
    <w:p w:rsidR="00443ECA" w:rsidRDefault="00443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93A9D15"/>
    <w:multiLevelType w:val="singleLevel"/>
    <w:tmpl w:val="E93A9D1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1YjU3Y2NjNjdjMmM2ZTg1ZDQ3ZTZjY2Y2NTQ1MTAifQ=="/>
  </w:docVars>
  <w:rsids>
    <w:rsidRoot w:val="00DD01C5"/>
    <w:rsid w:val="00003052"/>
    <w:rsid w:val="00004C21"/>
    <w:rsid w:val="0000578E"/>
    <w:rsid w:val="00006E25"/>
    <w:rsid w:val="000178CB"/>
    <w:rsid w:val="000217E3"/>
    <w:rsid w:val="0002775F"/>
    <w:rsid w:val="00040243"/>
    <w:rsid w:val="000432D8"/>
    <w:rsid w:val="000437FF"/>
    <w:rsid w:val="000447AE"/>
    <w:rsid w:val="00045F96"/>
    <w:rsid w:val="0004684F"/>
    <w:rsid w:val="00046ABF"/>
    <w:rsid w:val="00047B41"/>
    <w:rsid w:val="00047CC6"/>
    <w:rsid w:val="00052E32"/>
    <w:rsid w:val="00060C40"/>
    <w:rsid w:val="000642CB"/>
    <w:rsid w:val="00067A3B"/>
    <w:rsid w:val="00072F3D"/>
    <w:rsid w:val="00077D7E"/>
    <w:rsid w:val="000856CB"/>
    <w:rsid w:val="00086687"/>
    <w:rsid w:val="00092E36"/>
    <w:rsid w:val="000A6E8E"/>
    <w:rsid w:val="000A6F28"/>
    <w:rsid w:val="000B06A3"/>
    <w:rsid w:val="000C1DFC"/>
    <w:rsid w:val="000D3DD7"/>
    <w:rsid w:val="000D5EEC"/>
    <w:rsid w:val="000E5C81"/>
    <w:rsid w:val="000F7CBE"/>
    <w:rsid w:val="00112053"/>
    <w:rsid w:val="00113B24"/>
    <w:rsid w:val="00114601"/>
    <w:rsid w:val="00114978"/>
    <w:rsid w:val="00117973"/>
    <w:rsid w:val="00120D31"/>
    <w:rsid w:val="00121F50"/>
    <w:rsid w:val="00124829"/>
    <w:rsid w:val="0012601F"/>
    <w:rsid w:val="00126A56"/>
    <w:rsid w:val="00135EE8"/>
    <w:rsid w:val="00140198"/>
    <w:rsid w:val="001435CC"/>
    <w:rsid w:val="001565FC"/>
    <w:rsid w:val="00162408"/>
    <w:rsid w:val="00162FC4"/>
    <w:rsid w:val="00164862"/>
    <w:rsid w:val="00175C6D"/>
    <w:rsid w:val="00175EDC"/>
    <w:rsid w:val="001761C2"/>
    <w:rsid w:val="00180D21"/>
    <w:rsid w:val="00180D5E"/>
    <w:rsid w:val="00181F14"/>
    <w:rsid w:val="0018208C"/>
    <w:rsid w:val="001824F6"/>
    <w:rsid w:val="001920AE"/>
    <w:rsid w:val="0019242E"/>
    <w:rsid w:val="001947BE"/>
    <w:rsid w:val="00197D62"/>
    <w:rsid w:val="001A1871"/>
    <w:rsid w:val="001A1CC6"/>
    <w:rsid w:val="001A39A9"/>
    <w:rsid w:val="001A44FE"/>
    <w:rsid w:val="001A5043"/>
    <w:rsid w:val="001B1191"/>
    <w:rsid w:val="001B723E"/>
    <w:rsid w:val="001B7710"/>
    <w:rsid w:val="001C2A4B"/>
    <w:rsid w:val="001D44AE"/>
    <w:rsid w:val="001D664A"/>
    <w:rsid w:val="001E16A7"/>
    <w:rsid w:val="001E17B5"/>
    <w:rsid w:val="001E1E43"/>
    <w:rsid w:val="001E5631"/>
    <w:rsid w:val="001F5A2F"/>
    <w:rsid w:val="001F5E6C"/>
    <w:rsid w:val="001F6F87"/>
    <w:rsid w:val="00202745"/>
    <w:rsid w:val="00210B66"/>
    <w:rsid w:val="00214410"/>
    <w:rsid w:val="002208B7"/>
    <w:rsid w:val="002253B4"/>
    <w:rsid w:val="00226EC9"/>
    <w:rsid w:val="00234ACD"/>
    <w:rsid w:val="00247CF5"/>
    <w:rsid w:val="0025048A"/>
    <w:rsid w:val="00250FBA"/>
    <w:rsid w:val="00252913"/>
    <w:rsid w:val="00252B6A"/>
    <w:rsid w:val="00256B91"/>
    <w:rsid w:val="00257786"/>
    <w:rsid w:val="002622A5"/>
    <w:rsid w:val="00263C3B"/>
    <w:rsid w:val="00263F37"/>
    <w:rsid w:val="00265C2F"/>
    <w:rsid w:val="002717F7"/>
    <w:rsid w:val="00272102"/>
    <w:rsid w:val="00273A03"/>
    <w:rsid w:val="002974B9"/>
    <w:rsid w:val="002A5733"/>
    <w:rsid w:val="002B55CF"/>
    <w:rsid w:val="002C1955"/>
    <w:rsid w:val="002C4EB5"/>
    <w:rsid w:val="002C71A9"/>
    <w:rsid w:val="002D1C9E"/>
    <w:rsid w:val="002D2376"/>
    <w:rsid w:val="002D6E39"/>
    <w:rsid w:val="002D798E"/>
    <w:rsid w:val="002D7BF2"/>
    <w:rsid w:val="002E30FB"/>
    <w:rsid w:val="002E4DF7"/>
    <w:rsid w:val="00302C7F"/>
    <w:rsid w:val="00310890"/>
    <w:rsid w:val="00316D55"/>
    <w:rsid w:val="00326A08"/>
    <w:rsid w:val="003307FF"/>
    <w:rsid w:val="00334E01"/>
    <w:rsid w:val="00337D40"/>
    <w:rsid w:val="0034363F"/>
    <w:rsid w:val="00344FAB"/>
    <w:rsid w:val="003519F5"/>
    <w:rsid w:val="003559BD"/>
    <w:rsid w:val="00372377"/>
    <w:rsid w:val="003737DB"/>
    <w:rsid w:val="003758C0"/>
    <w:rsid w:val="00376AE7"/>
    <w:rsid w:val="00396C9D"/>
    <w:rsid w:val="00397A80"/>
    <w:rsid w:val="003A19A9"/>
    <w:rsid w:val="003A4828"/>
    <w:rsid w:val="003A56D7"/>
    <w:rsid w:val="003A6A5F"/>
    <w:rsid w:val="003B050E"/>
    <w:rsid w:val="003B675A"/>
    <w:rsid w:val="003C4053"/>
    <w:rsid w:val="003C5AB0"/>
    <w:rsid w:val="003C70CA"/>
    <w:rsid w:val="003E0602"/>
    <w:rsid w:val="003E1894"/>
    <w:rsid w:val="003E2D77"/>
    <w:rsid w:val="003E40C2"/>
    <w:rsid w:val="00403BA5"/>
    <w:rsid w:val="00405C63"/>
    <w:rsid w:val="004104AF"/>
    <w:rsid w:val="00410C2C"/>
    <w:rsid w:val="00413876"/>
    <w:rsid w:val="004236E6"/>
    <w:rsid w:val="00426A96"/>
    <w:rsid w:val="00431207"/>
    <w:rsid w:val="00432E9D"/>
    <w:rsid w:val="00443ECA"/>
    <w:rsid w:val="00451665"/>
    <w:rsid w:val="004526DF"/>
    <w:rsid w:val="00454FF6"/>
    <w:rsid w:val="00455B5B"/>
    <w:rsid w:val="00455FD4"/>
    <w:rsid w:val="0045766D"/>
    <w:rsid w:val="00462EB3"/>
    <w:rsid w:val="00466AF3"/>
    <w:rsid w:val="00472AD8"/>
    <w:rsid w:val="00474807"/>
    <w:rsid w:val="004754C5"/>
    <w:rsid w:val="00487FF2"/>
    <w:rsid w:val="004B0150"/>
    <w:rsid w:val="004C3C4D"/>
    <w:rsid w:val="004C57B5"/>
    <w:rsid w:val="004C7168"/>
    <w:rsid w:val="004D55E0"/>
    <w:rsid w:val="004E328D"/>
    <w:rsid w:val="004F1467"/>
    <w:rsid w:val="004F1F14"/>
    <w:rsid w:val="004F2E6B"/>
    <w:rsid w:val="004F6A3A"/>
    <w:rsid w:val="004F7315"/>
    <w:rsid w:val="0050191C"/>
    <w:rsid w:val="00501BD5"/>
    <w:rsid w:val="00506637"/>
    <w:rsid w:val="0050758A"/>
    <w:rsid w:val="0052081B"/>
    <w:rsid w:val="0052269B"/>
    <w:rsid w:val="00525A3F"/>
    <w:rsid w:val="005410D7"/>
    <w:rsid w:val="0054154B"/>
    <w:rsid w:val="00541D46"/>
    <w:rsid w:val="0054321D"/>
    <w:rsid w:val="005436F7"/>
    <w:rsid w:val="00544814"/>
    <w:rsid w:val="005466D9"/>
    <w:rsid w:val="005571F1"/>
    <w:rsid w:val="0056034C"/>
    <w:rsid w:val="00565C42"/>
    <w:rsid w:val="00574E39"/>
    <w:rsid w:val="005853D5"/>
    <w:rsid w:val="00586A8D"/>
    <w:rsid w:val="00590371"/>
    <w:rsid w:val="005941DC"/>
    <w:rsid w:val="005A2A33"/>
    <w:rsid w:val="005B0415"/>
    <w:rsid w:val="005B3DDA"/>
    <w:rsid w:val="005B55C1"/>
    <w:rsid w:val="005C4077"/>
    <w:rsid w:val="005D199D"/>
    <w:rsid w:val="005D1C48"/>
    <w:rsid w:val="005D24DE"/>
    <w:rsid w:val="005D5248"/>
    <w:rsid w:val="005D59A8"/>
    <w:rsid w:val="005E60C3"/>
    <w:rsid w:val="00620D56"/>
    <w:rsid w:val="006215AD"/>
    <w:rsid w:val="00631256"/>
    <w:rsid w:val="00643E13"/>
    <w:rsid w:val="00647B19"/>
    <w:rsid w:val="006511B6"/>
    <w:rsid w:val="00655538"/>
    <w:rsid w:val="0065575D"/>
    <w:rsid w:val="00656367"/>
    <w:rsid w:val="006567F8"/>
    <w:rsid w:val="00656E3F"/>
    <w:rsid w:val="006604C6"/>
    <w:rsid w:val="00663180"/>
    <w:rsid w:val="0066541D"/>
    <w:rsid w:val="0066656C"/>
    <w:rsid w:val="006768E7"/>
    <w:rsid w:val="00687AF0"/>
    <w:rsid w:val="006915BE"/>
    <w:rsid w:val="006A51CF"/>
    <w:rsid w:val="006A7638"/>
    <w:rsid w:val="006C0098"/>
    <w:rsid w:val="006C062C"/>
    <w:rsid w:val="006C1ABC"/>
    <w:rsid w:val="006C42F5"/>
    <w:rsid w:val="006D058F"/>
    <w:rsid w:val="006D369C"/>
    <w:rsid w:val="006D7972"/>
    <w:rsid w:val="006E035C"/>
    <w:rsid w:val="006E05C9"/>
    <w:rsid w:val="006E5BC3"/>
    <w:rsid w:val="006E7E23"/>
    <w:rsid w:val="006F1CDA"/>
    <w:rsid w:val="00707B25"/>
    <w:rsid w:val="00717754"/>
    <w:rsid w:val="00732F7F"/>
    <w:rsid w:val="00734F0D"/>
    <w:rsid w:val="00744071"/>
    <w:rsid w:val="00752F4A"/>
    <w:rsid w:val="0075509E"/>
    <w:rsid w:val="007641CD"/>
    <w:rsid w:val="00772F1C"/>
    <w:rsid w:val="00774384"/>
    <w:rsid w:val="0077507D"/>
    <w:rsid w:val="0078250E"/>
    <w:rsid w:val="0079047F"/>
    <w:rsid w:val="007912C6"/>
    <w:rsid w:val="0079389D"/>
    <w:rsid w:val="007A5BBD"/>
    <w:rsid w:val="007A6643"/>
    <w:rsid w:val="007B1AA9"/>
    <w:rsid w:val="007B4E25"/>
    <w:rsid w:val="007C6524"/>
    <w:rsid w:val="007D18F9"/>
    <w:rsid w:val="007D4F27"/>
    <w:rsid w:val="007D702A"/>
    <w:rsid w:val="007E36B2"/>
    <w:rsid w:val="007E6011"/>
    <w:rsid w:val="007F0B66"/>
    <w:rsid w:val="007F14CE"/>
    <w:rsid w:val="00800409"/>
    <w:rsid w:val="00803E9D"/>
    <w:rsid w:val="0080691A"/>
    <w:rsid w:val="0081571D"/>
    <w:rsid w:val="008254EC"/>
    <w:rsid w:val="0083148C"/>
    <w:rsid w:val="00832C5B"/>
    <w:rsid w:val="00833931"/>
    <w:rsid w:val="00835E78"/>
    <w:rsid w:val="008466C1"/>
    <w:rsid w:val="0085119E"/>
    <w:rsid w:val="00857770"/>
    <w:rsid w:val="008646BC"/>
    <w:rsid w:val="0086746D"/>
    <w:rsid w:val="00881CF9"/>
    <w:rsid w:val="00885ED2"/>
    <w:rsid w:val="008925D1"/>
    <w:rsid w:val="00895CF5"/>
    <w:rsid w:val="008A3B9A"/>
    <w:rsid w:val="008A6EC2"/>
    <w:rsid w:val="008B15F1"/>
    <w:rsid w:val="008B7802"/>
    <w:rsid w:val="008C17F5"/>
    <w:rsid w:val="008D1114"/>
    <w:rsid w:val="008D168C"/>
    <w:rsid w:val="008D53C2"/>
    <w:rsid w:val="008E3144"/>
    <w:rsid w:val="008F4A91"/>
    <w:rsid w:val="008F5158"/>
    <w:rsid w:val="00902082"/>
    <w:rsid w:val="0090376D"/>
    <w:rsid w:val="00910597"/>
    <w:rsid w:val="00912860"/>
    <w:rsid w:val="00912F25"/>
    <w:rsid w:val="00913B7D"/>
    <w:rsid w:val="00922500"/>
    <w:rsid w:val="00924332"/>
    <w:rsid w:val="00924FA1"/>
    <w:rsid w:val="00931362"/>
    <w:rsid w:val="00934CA0"/>
    <w:rsid w:val="009354EC"/>
    <w:rsid w:val="009536D0"/>
    <w:rsid w:val="00956EA8"/>
    <w:rsid w:val="0095710A"/>
    <w:rsid w:val="009577D8"/>
    <w:rsid w:val="00961D7E"/>
    <w:rsid w:val="00970910"/>
    <w:rsid w:val="00972C5E"/>
    <w:rsid w:val="009743F1"/>
    <w:rsid w:val="009862A3"/>
    <w:rsid w:val="009940C5"/>
    <w:rsid w:val="00995210"/>
    <w:rsid w:val="00995797"/>
    <w:rsid w:val="009A19E8"/>
    <w:rsid w:val="009A2694"/>
    <w:rsid w:val="009A5B91"/>
    <w:rsid w:val="009A7113"/>
    <w:rsid w:val="009B27D3"/>
    <w:rsid w:val="009C1C63"/>
    <w:rsid w:val="009D5DED"/>
    <w:rsid w:val="009E2BFE"/>
    <w:rsid w:val="009E767A"/>
    <w:rsid w:val="009E7BCB"/>
    <w:rsid w:val="00A0005B"/>
    <w:rsid w:val="00A0427D"/>
    <w:rsid w:val="00A1241B"/>
    <w:rsid w:val="00A177AB"/>
    <w:rsid w:val="00A17C92"/>
    <w:rsid w:val="00A23D38"/>
    <w:rsid w:val="00A24195"/>
    <w:rsid w:val="00A34F23"/>
    <w:rsid w:val="00A4073E"/>
    <w:rsid w:val="00A44346"/>
    <w:rsid w:val="00A60464"/>
    <w:rsid w:val="00A70D31"/>
    <w:rsid w:val="00A75FBE"/>
    <w:rsid w:val="00A838F1"/>
    <w:rsid w:val="00A83C02"/>
    <w:rsid w:val="00A842C0"/>
    <w:rsid w:val="00A8686C"/>
    <w:rsid w:val="00A90DC2"/>
    <w:rsid w:val="00A97EC5"/>
    <w:rsid w:val="00AA1B63"/>
    <w:rsid w:val="00AA31CB"/>
    <w:rsid w:val="00AA3D57"/>
    <w:rsid w:val="00AA6DEE"/>
    <w:rsid w:val="00AB0F33"/>
    <w:rsid w:val="00AB2A9E"/>
    <w:rsid w:val="00AB4927"/>
    <w:rsid w:val="00AC704D"/>
    <w:rsid w:val="00AD38C6"/>
    <w:rsid w:val="00AE7E21"/>
    <w:rsid w:val="00AF13B9"/>
    <w:rsid w:val="00AF14EF"/>
    <w:rsid w:val="00B00CEB"/>
    <w:rsid w:val="00B05CF0"/>
    <w:rsid w:val="00B074EE"/>
    <w:rsid w:val="00B17519"/>
    <w:rsid w:val="00B178FA"/>
    <w:rsid w:val="00B23C5B"/>
    <w:rsid w:val="00B31041"/>
    <w:rsid w:val="00B341E4"/>
    <w:rsid w:val="00B4267E"/>
    <w:rsid w:val="00B5041F"/>
    <w:rsid w:val="00B5153C"/>
    <w:rsid w:val="00B542C8"/>
    <w:rsid w:val="00B55D87"/>
    <w:rsid w:val="00B606F2"/>
    <w:rsid w:val="00B63949"/>
    <w:rsid w:val="00B6534F"/>
    <w:rsid w:val="00B7197F"/>
    <w:rsid w:val="00B730D2"/>
    <w:rsid w:val="00B763FA"/>
    <w:rsid w:val="00B7683B"/>
    <w:rsid w:val="00B90E59"/>
    <w:rsid w:val="00BA1132"/>
    <w:rsid w:val="00BA3717"/>
    <w:rsid w:val="00BA47EB"/>
    <w:rsid w:val="00BA4F95"/>
    <w:rsid w:val="00BB0592"/>
    <w:rsid w:val="00BB0882"/>
    <w:rsid w:val="00BC144C"/>
    <w:rsid w:val="00BD4B1B"/>
    <w:rsid w:val="00BE2665"/>
    <w:rsid w:val="00BE4394"/>
    <w:rsid w:val="00BE55D0"/>
    <w:rsid w:val="00BF4B68"/>
    <w:rsid w:val="00BF53F3"/>
    <w:rsid w:val="00C01EDD"/>
    <w:rsid w:val="00C01FB2"/>
    <w:rsid w:val="00C07F0D"/>
    <w:rsid w:val="00C1486C"/>
    <w:rsid w:val="00C256C0"/>
    <w:rsid w:val="00C358A0"/>
    <w:rsid w:val="00C405F6"/>
    <w:rsid w:val="00C44E63"/>
    <w:rsid w:val="00C46C7C"/>
    <w:rsid w:val="00C50748"/>
    <w:rsid w:val="00C509EA"/>
    <w:rsid w:val="00C540F4"/>
    <w:rsid w:val="00C54217"/>
    <w:rsid w:val="00C56D17"/>
    <w:rsid w:val="00C77462"/>
    <w:rsid w:val="00C80DDB"/>
    <w:rsid w:val="00C812E1"/>
    <w:rsid w:val="00C813AB"/>
    <w:rsid w:val="00C843CB"/>
    <w:rsid w:val="00C9095F"/>
    <w:rsid w:val="00C951B7"/>
    <w:rsid w:val="00C959F0"/>
    <w:rsid w:val="00C9749A"/>
    <w:rsid w:val="00C97C3B"/>
    <w:rsid w:val="00CA2E92"/>
    <w:rsid w:val="00CB1E4F"/>
    <w:rsid w:val="00CB1E82"/>
    <w:rsid w:val="00CB6D23"/>
    <w:rsid w:val="00CC0208"/>
    <w:rsid w:val="00CC2D5B"/>
    <w:rsid w:val="00CD0ED2"/>
    <w:rsid w:val="00CD3D2F"/>
    <w:rsid w:val="00CD562E"/>
    <w:rsid w:val="00CD70E5"/>
    <w:rsid w:val="00CE21B2"/>
    <w:rsid w:val="00CE5A79"/>
    <w:rsid w:val="00CF4645"/>
    <w:rsid w:val="00D01625"/>
    <w:rsid w:val="00D052BE"/>
    <w:rsid w:val="00D07FF8"/>
    <w:rsid w:val="00D14BCC"/>
    <w:rsid w:val="00D26695"/>
    <w:rsid w:val="00D53C1B"/>
    <w:rsid w:val="00D5464D"/>
    <w:rsid w:val="00D57325"/>
    <w:rsid w:val="00D7231B"/>
    <w:rsid w:val="00D7568A"/>
    <w:rsid w:val="00D76583"/>
    <w:rsid w:val="00D80364"/>
    <w:rsid w:val="00D83E9C"/>
    <w:rsid w:val="00D85BCC"/>
    <w:rsid w:val="00D87CA9"/>
    <w:rsid w:val="00D91D22"/>
    <w:rsid w:val="00D92A3B"/>
    <w:rsid w:val="00D93051"/>
    <w:rsid w:val="00D94C87"/>
    <w:rsid w:val="00D952B2"/>
    <w:rsid w:val="00D961E6"/>
    <w:rsid w:val="00DA05ED"/>
    <w:rsid w:val="00DA7262"/>
    <w:rsid w:val="00DB36F6"/>
    <w:rsid w:val="00DB6D04"/>
    <w:rsid w:val="00DC08F8"/>
    <w:rsid w:val="00DC54F0"/>
    <w:rsid w:val="00DC56CF"/>
    <w:rsid w:val="00DD01C5"/>
    <w:rsid w:val="00DE0D56"/>
    <w:rsid w:val="00DE549D"/>
    <w:rsid w:val="00DF30A8"/>
    <w:rsid w:val="00DF70C0"/>
    <w:rsid w:val="00E05DB4"/>
    <w:rsid w:val="00E06218"/>
    <w:rsid w:val="00E114BB"/>
    <w:rsid w:val="00E17088"/>
    <w:rsid w:val="00E17CA3"/>
    <w:rsid w:val="00E226D9"/>
    <w:rsid w:val="00E2566B"/>
    <w:rsid w:val="00E30BF6"/>
    <w:rsid w:val="00E36DF8"/>
    <w:rsid w:val="00E45417"/>
    <w:rsid w:val="00E51E50"/>
    <w:rsid w:val="00E57D5D"/>
    <w:rsid w:val="00E602BD"/>
    <w:rsid w:val="00E64ADB"/>
    <w:rsid w:val="00E64C74"/>
    <w:rsid w:val="00E65839"/>
    <w:rsid w:val="00E813AD"/>
    <w:rsid w:val="00E875DF"/>
    <w:rsid w:val="00E90279"/>
    <w:rsid w:val="00EC356B"/>
    <w:rsid w:val="00EC4B42"/>
    <w:rsid w:val="00ED0566"/>
    <w:rsid w:val="00EE078D"/>
    <w:rsid w:val="00EE3891"/>
    <w:rsid w:val="00EE546D"/>
    <w:rsid w:val="00EE6261"/>
    <w:rsid w:val="00EF001A"/>
    <w:rsid w:val="00EF0E5A"/>
    <w:rsid w:val="00EF230B"/>
    <w:rsid w:val="00EF35FA"/>
    <w:rsid w:val="00EF63BD"/>
    <w:rsid w:val="00F1335B"/>
    <w:rsid w:val="00F17DDC"/>
    <w:rsid w:val="00F21C7B"/>
    <w:rsid w:val="00F26913"/>
    <w:rsid w:val="00F27D7F"/>
    <w:rsid w:val="00F320D0"/>
    <w:rsid w:val="00F32123"/>
    <w:rsid w:val="00F47098"/>
    <w:rsid w:val="00F47A41"/>
    <w:rsid w:val="00F52A63"/>
    <w:rsid w:val="00F71DD6"/>
    <w:rsid w:val="00F725BD"/>
    <w:rsid w:val="00F8133C"/>
    <w:rsid w:val="00F86926"/>
    <w:rsid w:val="00F92355"/>
    <w:rsid w:val="00FA062E"/>
    <w:rsid w:val="00FA60E1"/>
    <w:rsid w:val="00FA67E1"/>
    <w:rsid w:val="00FB013D"/>
    <w:rsid w:val="00FB0EBC"/>
    <w:rsid w:val="00FB521A"/>
    <w:rsid w:val="00FB57E7"/>
    <w:rsid w:val="00FB6BFB"/>
    <w:rsid w:val="00FC3291"/>
    <w:rsid w:val="00FC7AB3"/>
    <w:rsid w:val="00FD08EE"/>
    <w:rsid w:val="00FD3F3B"/>
    <w:rsid w:val="00FD65D2"/>
    <w:rsid w:val="00FF0C20"/>
    <w:rsid w:val="00FF10D3"/>
    <w:rsid w:val="00FF5AD1"/>
    <w:rsid w:val="00FF7584"/>
    <w:rsid w:val="015A278C"/>
    <w:rsid w:val="01841AD9"/>
    <w:rsid w:val="01F42225"/>
    <w:rsid w:val="035D41B7"/>
    <w:rsid w:val="06380C2D"/>
    <w:rsid w:val="065546FA"/>
    <w:rsid w:val="065B0DB4"/>
    <w:rsid w:val="07FA6993"/>
    <w:rsid w:val="09784E53"/>
    <w:rsid w:val="0AE16324"/>
    <w:rsid w:val="0B0E051C"/>
    <w:rsid w:val="0B733CF6"/>
    <w:rsid w:val="0BC25540"/>
    <w:rsid w:val="0DAC1ABD"/>
    <w:rsid w:val="0EF3685E"/>
    <w:rsid w:val="0F586E52"/>
    <w:rsid w:val="1052374C"/>
    <w:rsid w:val="10EF1D90"/>
    <w:rsid w:val="1173042C"/>
    <w:rsid w:val="12503FC7"/>
    <w:rsid w:val="126604E0"/>
    <w:rsid w:val="133E0542"/>
    <w:rsid w:val="13496AD0"/>
    <w:rsid w:val="1606331B"/>
    <w:rsid w:val="1617568F"/>
    <w:rsid w:val="170840C9"/>
    <w:rsid w:val="17CC542D"/>
    <w:rsid w:val="18D71869"/>
    <w:rsid w:val="19033E95"/>
    <w:rsid w:val="1B824AF9"/>
    <w:rsid w:val="1BAE5FB6"/>
    <w:rsid w:val="1BD05EE4"/>
    <w:rsid w:val="1C485FCA"/>
    <w:rsid w:val="1C676ADD"/>
    <w:rsid w:val="1C9603CC"/>
    <w:rsid w:val="1E465D52"/>
    <w:rsid w:val="20980DD7"/>
    <w:rsid w:val="209E1BD1"/>
    <w:rsid w:val="20A06FFF"/>
    <w:rsid w:val="20D1684E"/>
    <w:rsid w:val="213A2E9A"/>
    <w:rsid w:val="21BE1799"/>
    <w:rsid w:val="22B71EAB"/>
    <w:rsid w:val="24FD1246"/>
    <w:rsid w:val="26317C2E"/>
    <w:rsid w:val="27036E0A"/>
    <w:rsid w:val="2A0C2A72"/>
    <w:rsid w:val="2A461F39"/>
    <w:rsid w:val="2E133D9A"/>
    <w:rsid w:val="2F7D7D2F"/>
    <w:rsid w:val="311F752F"/>
    <w:rsid w:val="321C0C74"/>
    <w:rsid w:val="33B006D5"/>
    <w:rsid w:val="34AD7C43"/>
    <w:rsid w:val="36445017"/>
    <w:rsid w:val="36F30723"/>
    <w:rsid w:val="391207AE"/>
    <w:rsid w:val="392C3965"/>
    <w:rsid w:val="3AF17846"/>
    <w:rsid w:val="3B062CE4"/>
    <w:rsid w:val="3B471872"/>
    <w:rsid w:val="3BA11C66"/>
    <w:rsid w:val="3C770EB3"/>
    <w:rsid w:val="3D0F315F"/>
    <w:rsid w:val="3D5F2A23"/>
    <w:rsid w:val="3E6A5786"/>
    <w:rsid w:val="3EB57BCB"/>
    <w:rsid w:val="3F161D6E"/>
    <w:rsid w:val="3F285F96"/>
    <w:rsid w:val="411A5BC1"/>
    <w:rsid w:val="41840B99"/>
    <w:rsid w:val="419F5DB5"/>
    <w:rsid w:val="41AA4870"/>
    <w:rsid w:val="43BB72E2"/>
    <w:rsid w:val="43F67429"/>
    <w:rsid w:val="441B32B1"/>
    <w:rsid w:val="44844C23"/>
    <w:rsid w:val="44EA4526"/>
    <w:rsid w:val="477E6CD0"/>
    <w:rsid w:val="47E43FFE"/>
    <w:rsid w:val="48175A4C"/>
    <w:rsid w:val="482D2B1B"/>
    <w:rsid w:val="493C6A78"/>
    <w:rsid w:val="4AA71836"/>
    <w:rsid w:val="4BE04E6C"/>
    <w:rsid w:val="4D382393"/>
    <w:rsid w:val="51DA5E53"/>
    <w:rsid w:val="523C5982"/>
    <w:rsid w:val="5256137D"/>
    <w:rsid w:val="52804889"/>
    <w:rsid w:val="533E6734"/>
    <w:rsid w:val="54C22117"/>
    <w:rsid w:val="56EE666F"/>
    <w:rsid w:val="57417094"/>
    <w:rsid w:val="57BD4A32"/>
    <w:rsid w:val="57CF2865"/>
    <w:rsid w:val="59013D38"/>
    <w:rsid w:val="5A4B1B2F"/>
    <w:rsid w:val="5B1C5E42"/>
    <w:rsid w:val="5CBE4F25"/>
    <w:rsid w:val="5D8B722E"/>
    <w:rsid w:val="5D953FE0"/>
    <w:rsid w:val="5E9A15CE"/>
    <w:rsid w:val="5FA559DA"/>
    <w:rsid w:val="5FDB2E14"/>
    <w:rsid w:val="606721D5"/>
    <w:rsid w:val="60A61921"/>
    <w:rsid w:val="611721D5"/>
    <w:rsid w:val="625E0A5E"/>
    <w:rsid w:val="62614F86"/>
    <w:rsid w:val="64DB03E4"/>
    <w:rsid w:val="654204C3"/>
    <w:rsid w:val="65DF45BB"/>
    <w:rsid w:val="660F53AE"/>
    <w:rsid w:val="668F7D8F"/>
    <w:rsid w:val="66DD25FD"/>
    <w:rsid w:val="67C7632F"/>
    <w:rsid w:val="680C4F78"/>
    <w:rsid w:val="697F5E1B"/>
    <w:rsid w:val="6981105B"/>
    <w:rsid w:val="6D182CDF"/>
    <w:rsid w:val="70F974A3"/>
    <w:rsid w:val="72B96C74"/>
    <w:rsid w:val="73E3171A"/>
    <w:rsid w:val="74E50F8A"/>
    <w:rsid w:val="753B103F"/>
    <w:rsid w:val="754C6CA4"/>
    <w:rsid w:val="758A5270"/>
    <w:rsid w:val="758D3AD9"/>
    <w:rsid w:val="76124C3A"/>
    <w:rsid w:val="767443E1"/>
    <w:rsid w:val="76845EAC"/>
    <w:rsid w:val="7BA80408"/>
    <w:rsid w:val="7C747128"/>
    <w:rsid w:val="7DEA02BE"/>
    <w:rsid w:val="7E206F3B"/>
    <w:rsid w:val="7F01246C"/>
    <w:rsid w:val="7F791E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F8D8B1-F29E-4834-881F-D45D54D6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jc w:val="left"/>
    </w:pPr>
    <w:rPr>
      <w:rFonts w:ascii="Calibri" w:eastAsia="宋体" w:hAnsi="Calibri" w:cs="Times New Roman"/>
      <w:kern w:val="0"/>
      <w:sz w:val="24"/>
      <w:szCs w:val="24"/>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8">
    <w:name w:val="List Paragraph"/>
    <w:basedOn w:val="a"/>
    <w:uiPriority w:val="34"/>
    <w:qFormat/>
    <w:pPr>
      <w:widowControl/>
      <w:ind w:firstLineChars="200" w:firstLine="420"/>
      <w:jc w:val="left"/>
    </w:pPr>
    <w:rPr>
      <w:rFonts w:ascii="宋体" w:eastAsia="宋体" w:hAnsi="宋体" w:cs="宋体"/>
      <w:kern w:val="0"/>
      <w:sz w:val="24"/>
      <w:szCs w:val="24"/>
    </w:rPr>
  </w:style>
  <w:style w:type="paragraph" w:customStyle="1" w:styleId="p1">
    <w:name w:val="p1"/>
    <w:basedOn w:val="a"/>
    <w:rsid w:val="00E226D9"/>
    <w:pPr>
      <w:jc w:val="left"/>
    </w:pPr>
    <w:rPr>
      <w:rFonts w:ascii="pingfang sc" w:eastAsia="pingfang sc" w:hAnsi="pingfang sc" w:cs="Times New Roman"/>
      <w:color w:val="000000"/>
      <w:kern w:val="0"/>
      <w:sz w:val="22"/>
    </w:rPr>
  </w:style>
  <w:style w:type="character" w:customStyle="1" w:styleId="s1">
    <w:name w:val="s1"/>
    <w:basedOn w:val="a0"/>
    <w:rsid w:val="00E226D9"/>
    <w:rPr>
      <w:rFonts w:ascii="Helvetica Neue" w:eastAsia="Helvetica Neue" w:hAnsi="Helvetica Neue" w:cs="Helvetica Neue"/>
      <w:sz w:val="22"/>
      <w:szCs w:val="22"/>
    </w:rPr>
  </w:style>
  <w:style w:type="table" w:customStyle="1" w:styleId="11">
    <w:name w:val="网格型1"/>
    <w:basedOn w:val="a1"/>
    <w:next w:val="a7"/>
    <w:uiPriority w:val="39"/>
    <w:qFormat/>
    <w:rsid w:val="00BE5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ingfang sc">
    <w:altName w:val="Microsoft YaHei UI"/>
    <w:charset w:val="86"/>
    <w:family w:val="auto"/>
    <w:pitch w:val="default"/>
    <w:sig w:usb0="00000000" w:usb1="00000000" w:usb2="00000017" w:usb3="00000000" w:csb0="00040001" w:csb1="00000000"/>
  </w:font>
  <w:font w:name="Helvetica Neue">
    <w:altName w:val="Times New Roman"/>
    <w:charset w:val="00"/>
    <w:family w:val="auto"/>
    <w:pitch w:val="default"/>
    <w:sig w:usb0="00000000" w:usb1="00000000" w:usb2="00000010" w:usb3="00000000" w:csb0="0000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5E"/>
    <w:rsid w:val="001D335E"/>
    <w:rsid w:val="00496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1D335E"/>
    <w:rPr>
      <w:color w:val="808080"/>
    </w:rPr>
  </w:style>
  <w:style w:type="paragraph" w:customStyle="1" w:styleId="A599CE6E5378420793276BD16A8982C1">
    <w:name w:val="A599CE6E5378420793276BD16A8982C1"/>
    <w:rsid w:val="001D335E"/>
    <w:pPr>
      <w:widowControl w:val="0"/>
      <w:jc w:val="both"/>
    </w:pPr>
  </w:style>
  <w:style w:type="paragraph" w:customStyle="1" w:styleId="8832BCED814C41349B99294EBFC07371">
    <w:name w:val="8832BCED814C41349B99294EBFC07371"/>
    <w:rsid w:val="001D335E"/>
    <w:pPr>
      <w:widowControl w:val="0"/>
      <w:jc w:val="both"/>
    </w:pPr>
  </w:style>
  <w:style w:type="paragraph" w:customStyle="1" w:styleId="03B6C8A42CB84FD4BEBA158F8887118C">
    <w:name w:val="03B6C8A42CB84FD4BEBA158F8887118C"/>
    <w:rsid w:val="001D335E"/>
    <w:pPr>
      <w:widowControl w:val="0"/>
      <w:jc w:val="both"/>
    </w:pPr>
  </w:style>
  <w:style w:type="paragraph" w:customStyle="1" w:styleId="74CB945E55B041AEA9880671793303DA">
    <w:name w:val="74CB945E55B041AEA9880671793303DA"/>
    <w:rsid w:val="001D335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333</Words>
  <Characters>1901</Characters>
  <Application>Microsoft Office Word</Application>
  <DocSecurity>0</DocSecurity>
  <Lines>15</Lines>
  <Paragraphs>4</Paragraphs>
  <ScaleCrop>false</ScaleCrop>
  <Company>tj.com</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林巧</dc:creator>
  <cp:lastModifiedBy>赵鑫</cp:lastModifiedBy>
  <cp:revision>3</cp:revision>
  <cp:lastPrinted>2025-12-09T03:44:00Z</cp:lastPrinted>
  <dcterms:created xsi:type="dcterms:W3CDTF">2025-12-09T07:15:00Z</dcterms:created>
  <dcterms:modified xsi:type="dcterms:W3CDTF">2025-12-29T02:14:00Z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E9CD4925F46E40BEB6D9D5D306452FF3</vt:lpwstr>
  </property>
</Properties>
</file>