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24829" w:rsidRPr="00B05CF0" w:rsidRDefault="000C1DFC">
      <w:pPr>
        <w:rPr>
          <w:rFonts w:ascii="方正仿宋_GBK" w:eastAsia="方正仿宋_GBK" w:hAnsiTheme="minorEastAsia"/>
          <w:color w:val="000000" w:themeColor="text1"/>
          <w:sz w:val="28"/>
          <w:szCs w:val="28"/>
        </w:rPr>
      </w:pPr>
      <w:r w:rsidRPr="00B05CF0">
        <w:rPr>
          <w:rFonts w:ascii="方正仿宋_GBK" w:eastAsia="方正仿宋_GBK" w:hAnsiTheme="minorEastAsia" w:hint="eastAsia"/>
          <w:color w:val="000000" w:themeColor="text1"/>
          <w:sz w:val="28"/>
          <w:szCs w:val="28"/>
        </w:rPr>
        <w:t>证券代码：600</w:t>
      </w:r>
      <w:r w:rsidR="00544814" w:rsidRPr="00B05CF0">
        <w:rPr>
          <w:rFonts w:ascii="方正仿宋_GBK" w:eastAsia="方正仿宋_GBK" w:hAnsiTheme="minorEastAsia" w:hint="eastAsia"/>
          <w:color w:val="000000" w:themeColor="text1"/>
          <w:sz w:val="28"/>
          <w:szCs w:val="28"/>
        </w:rPr>
        <w:t>279</w:t>
      </w:r>
      <w:r w:rsidRPr="00B05CF0">
        <w:rPr>
          <w:rFonts w:ascii="方正仿宋_GBK" w:eastAsia="方正仿宋_GBK" w:hAnsiTheme="minorEastAsia" w:hint="eastAsia"/>
          <w:color w:val="000000" w:themeColor="text1"/>
          <w:sz w:val="28"/>
          <w:szCs w:val="28"/>
        </w:rPr>
        <w:t xml:space="preserve">                         证券简称：</w:t>
      </w:r>
      <w:r w:rsidR="00544814" w:rsidRPr="00B05CF0">
        <w:rPr>
          <w:rFonts w:ascii="方正仿宋_GBK" w:eastAsia="方正仿宋_GBK" w:hAnsiTheme="minorEastAsia" w:hint="eastAsia"/>
          <w:color w:val="000000" w:themeColor="text1"/>
          <w:sz w:val="28"/>
          <w:szCs w:val="28"/>
        </w:rPr>
        <w:t>重庆港</w:t>
      </w:r>
    </w:p>
    <w:p w:rsidR="00124829" w:rsidRDefault="00544814" w:rsidP="00544814">
      <w:pPr>
        <w:jc w:val="center"/>
        <w:rPr>
          <w:rFonts w:asciiTheme="minorEastAsia" w:hAnsiTheme="minorEastAsia"/>
          <w:b/>
          <w:color w:val="000000" w:themeColor="text1"/>
          <w:sz w:val="32"/>
          <w:szCs w:val="32"/>
        </w:rPr>
      </w:pPr>
      <w:r>
        <w:rPr>
          <w:rFonts w:asciiTheme="minorEastAsia" w:hAnsiTheme="minorEastAsia" w:hint="eastAsia"/>
          <w:b/>
          <w:color w:val="000000" w:themeColor="text1"/>
          <w:sz w:val="32"/>
          <w:szCs w:val="32"/>
        </w:rPr>
        <w:t>重庆港</w:t>
      </w:r>
      <w:r w:rsidR="00257786">
        <w:rPr>
          <w:rFonts w:asciiTheme="minorEastAsia" w:hAnsiTheme="minorEastAsia" w:hint="eastAsia"/>
          <w:b/>
          <w:color w:val="000000" w:themeColor="text1"/>
          <w:sz w:val="32"/>
          <w:szCs w:val="32"/>
        </w:rPr>
        <w:t>股份有限公司投资者关系活动记录</w:t>
      </w:r>
    </w:p>
    <w:p w:rsidR="00124829" w:rsidRPr="00B05CF0" w:rsidRDefault="000C1DFC">
      <w:pPr>
        <w:jc w:val="right"/>
        <w:rPr>
          <w:rFonts w:ascii="方正仿宋_GBK" w:eastAsia="方正仿宋_GBK" w:hAnsiTheme="minorEastAsia"/>
          <w:color w:val="000000" w:themeColor="text1"/>
          <w:sz w:val="28"/>
          <w:szCs w:val="28"/>
        </w:rPr>
      </w:pPr>
      <w:r w:rsidRPr="00B05CF0">
        <w:rPr>
          <w:rFonts w:ascii="方正仿宋_GBK" w:eastAsia="方正仿宋_GBK" w:hAnsiTheme="minorEastAsia" w:hint="eastAsia"/>
          <w:color w:val="000000" w:themeColor="text1"/>
          <w:sz w:val="28"/>
          <w:szCs w:val="28"/>
        </w:rPr>
        <w:t>编号：202</w:t>
      </w:r>
      <w:r w:rsidR="00117973">
        <w:rPr>
          <w:rFonts w:ascii="方正仿宋_GBK" w:eastAsia="方正仿宋_GBK" w:hAnsiTheme="minorEastAsia" w:hint="eastAsia"/>
          <w:color w:val="000000" w:themeColor="text1"/>
          <w:sz w:val="28"/>
          <w:szCs w:val="28"/>
        </w:rPr>
        <w:t>5</w:t>
      </w:r>
      <w:r w:rsidRPr="00B05CF0">
        <w:rPr>
          <w:rFonts w:ascii="方正仿宋_GBK" w:eastAsia="方正仿宋_GBK" w:hAnsiTheme="minorEastAsia" w:hint="eastAsia"/>
          <w:color w:val="000000" w:themeColor="text1"/>
          <w:sz w:val="28"/>
          <w:szCs w:val="28"/>
        </w:rPr>
        <w:t>-0</w:t>
      </w:r>
      <w:r w:rsidR="0083522A">
        <w:rPr>
          <w:rFonts w:ascii="方正仿宋_GBK" w:eastAsia="方正仿宋_GBK" w:hAnsiTheme="minorEastAsia" w:hint="eastAsia"/>
          <w:color w:val="000000" w:themeColor="text1"/>
          <w:sz w:val="28"/>
          <w:szCs w:val="28"/>
        </w:rPr>
        <w:t>6</w:t>
      </w:r>
    </w:p>
    <w:tbl>
      <w:tblPr>
        <w:tblStyle w:val="11"/>
        <w:tblW w:w="9215" w:type="dxa"/>
        <w:jc w:val="center"/>
        <w:tblLayout w:type="fixed"/>
        <w:tblLook w:val="04A0" w:firstRow="1" w:lastRow="0" w:firstColumn="1" w:lastColumn="0" w:noHBand="0" w:noVBand="1"/>
      </w:tblPr>
      <w:tblGrid>
        <w:gridCol w:w="2552"/>
        <w:gridCol w:w="6663"/>
      </w:tblGrid>
      <w:tr w:rsidR="00BE55D0" w:rsidRPr="00BE55D0" w:rsidTr="00E9788F">
        <w:trPr>
          <w:jc w:val="center"/>
        </w:trPr>
        <w:tc>
          <w:tcPr>
            <w:tcW w:w="2552" w:type="dxa"/>
            <w:vAlign w:val="center"/>
          </w:tcPr>
          <w:p w:rsidR="00BE55D0" w:rsidRPr="00BE55D0" w:rsidRDefault="00BE55D0" w:rsidP="00BE55D0">
            <w:pPr>
              <w:jc w:val="center"/>
              <w:rPr>
                <w:rFonts w:asciiTheme="minorEastAsia" w:hAnsiTheme="minorEastAsia"/>
                <w:color w:val="000000" w:themeColor="text1"/>
                <w:sz w:val="28"/>
                <w:szCs w:val="28"/>
              </w:rPr>
            </w:pPr>
            <w:r w:rsidRPr="00BE55D0">
              <w:rPr>
                <w:rFonts w:asciiTheme="minorEastAsia" w:hAnsiTheme="minorEastAsia"/>
                <w:color w:val="000000" w:themeColor="text1"/>
                <w:sz w:val="28"/>
                <w:szCs w:val="28"/>
              </w:rPr>
              <w:t>投资者关系</w:t>
            </w:r>
          </w:p>
          <w:p w:rsidR="00BE55D0" w:rsidRPr="00BE55D0" w:rsidRDefault="00BE55D0" w:rsidP="00BE55D0">
            <w:pPr>
              <w:jc w:val="center"/>
              <w:rPr>
                <w:rFonts w:asciiTheme="minorEastAsia" w:hAnsiTheme="minorEastAsia"/>
                <w:color w:val="000000" w:themeColor="text1"/>
                <w:sz w:val="28"/>
                <w:szCs w:val="28"/>
              </w:rPr>
            </w:pPr>
            <w:r w:rsidRPr="00BE55D0">
              <w:rPr>
                <w:rFonts w:asciiTheme="minorEastAsia" w:hAnsiTheme="minorEastAsia"/>
                <w:color w:val="000000" w:themeColor="text1"/>
                <w:sz w:val="28"/>
                <w:szCs w:val="28"/>
              </w:rPr>
              <w:t>活动类别</w:t>
            </w:r>
          </w:p>
        </w:tc>
        <w:tc>
          <w:tcPr>
            <w:tcW w:w="6663" w:type="dxa"/>
            <w:vAlign w:val="center"/>
          </w:tcPr>
          <w:p w:rsidR="00BE55D0" w:rsidRPr="00BE55D0" w:rsidRDefault="00BE55D0" w:rsidP="00BE55D0">
            <w:pPr>
              <w:spacing w:line="500" w:lineRule="exact"/>
              <w:jc w:val="left"/>
              <w:rPr>
                <w:rFonts w:asciiTheme="minorEastAsia" w:hAnsiTheme="minorEastAsia"/>
                <w:color w:val="000000" w:themeColor="text1"/>
                <w:sz w:val="28"/>
                <w:szCs w:val="28"/>
              </w:rPr>
            </w:pPr>
            <w:r w:rsidRPr="00BE55D0">
              <w:rPr>
                <w:rFonts w:asciiTheme="minorEastAsia" w:hAnsiTheme="minorEastAsia" w:hint="eastAsia"/>
                <w:color w:val="000000" w:themeColor="text1"/>
                <w:sz w:val="28"/>
                <w:szCs w:val="28"/>
              </w:rPr>
              <w:t xml:space="preserve">√特定对象调研 </w:t>
            </w:r>
            <w:r w:rsidRPr="00BE55D0">
              <w:rPr>
                <w:rFonts w:asciiTheme="minorEastAsia" w:hAnsiTheme="minorEastAsia"/>
                <w:color w:val="000000" w:themeColor="text1"/>
                <w:sz w:val="28"/>
                <w:szCs w:val="28"/>
              </w:rPr>
              <w:t xml:space="preserve">       </w:t>
            </w:r>
            <w:r w:rsidRPr="00BE55D0">
              <w:rPr>
                <w:rFonts w:asciiTheme="minorEastAsia" w:hAnsiTheme="minorEastAsia" w:hint="eastAsia"/>
                <w:color w:val="000000" w:themeColor="text1"/>
                <w:sz w:val="28"/>
                <w:szCs w:val="28"/>
              </w:rPr>
              <w:t>□分析师会议</w:t>
            </w:r>
          </w:p>
          <w:p w:rsidR="00BE55D0" w:rsidRPr="00BE55D0" w:rsidRDefault="00BE55D0" w:rsidP="00BE55D0">
            <w:pPr>
              <w:spacing w:line="500" w:lineRule="exact"/>
              <w:jc w:val="left"/>
              <w:rPr>
                <w:rFonts w:asciiTheme="minorEastAsia" w:hAnsiTheme="minorEastAsia"/>
                <w:color w:val="000000" w:themeColor="text1"/>
                <w:sz w:val="28"/>
                <w:szCs w:val="28"/>
              </w:rPr>
            </w:pPr>
            <w:r w:rsidRPr="00BE55D0">
              <w:rPr>
                <w:rFonts w:asciiTheme="minorEastAsia" w:hAnsiTheme="minorEastAsia" w:hint="eastAsia"/>
                <w:color w:val="000000" w:themeColor="text1"/>
                <w:sz w:val="28"/>
                <w:szCs w:val="28"/>
              </w:rPr>
              <w:t xml:space="preserve">□媒体采访 </w:t>
            </w:r>
            <w:r w:rsidRPr="00BE55D0">
              <w:rPr>
                <w:rFonts w:asciiTheme="minorEastAsia" w:hAnsiTheme="minorEastAsia"/>
                <w:color w:val="000000" w:themeColor="text1"/>
                <w:sz w:val="28"/>
                <w:szCs w:val="28"/>
              </w:rPr>
              <w:t xml:space="preserve">          </w:t>
            </w:r>
            <w:r w:rsidRPr="00BE55D0">
              <w:rPr>
                <w:rFonts w:asciiTheme="minorEastAsia" w:hAnsiTheme="minorEastAsia" w:hint="eastAsia"/>
                <w:color w:val="000000" w:themeColor="text1"/>
                <w:sz w:val="28"/>
                <w:szCs w:val="28"/>
              </w:rPr>
              <w:t xml:space="preserve"> □业绩说明会（电话会议）</w:t>
            </w:r>
          </w:p>
          <w:p w:rsidR="00BE55D0" w:rsidRPr="00BE55D0" w:rsidRDefault="00BE55D0" w:rsidP="00BE55D0">
            <w:pPr>
              <w:spacing w:line="500" w:lineRule="exact"/>
              <w:jc w:val="left"/>
              <w:rPr>
                <w:rFonts w:asciiTheme="minorEastAsia" w:hAnsiTheme="minorEastAsia"/>
                <w:color w:val="000000" w:themeColor="text1"/>
                <w:sz w:val="28"/>
                <w:szCs w:val="28"/>
              </w:rPr>
            </w:pPr>
            <w:r w:rsidRPr="00BE55D0">
              <w:rPr>
                <w:rFonts w:asciiTheme="minorEastAsia" w:hAnsiTheme="minorEastAsia" w:hint="eastAsia"/>
                <w:color w:val="000000" w:themeColor="text1"/>
                <w:sz w:val="28"/>
                <w:szCs w:val="28"/>
              </w:rPr>
              <w:t xml:space="preserve">□新闻发布会 </w:t>
            </w:r>
            <w:r w:rsidRPr="00BE55D0">
              <w:rPr>
                <w:rFonts w:asciiTheme="minorEastAsia" w:hAnsiTheme="minorEastAsia"/>
                <w:color w:val="000000" w:themeColor="text1"/>
                <w:sz w:val="28"/>
                <w:szCs w:val="28"/>
              </w:rPr>
              <w:t xml:space="preserve">        </w:t>
            </w:r>
            <w:r w:rsidRPr="00BE55D0">
              <w:rPr>
                <w:rFonts w:asciiTheme="minorEastAsia" w:hAnsiTheme="minorEastAsia" w:hint="eastAsia"/>
                <w:color w:val="000000" w:themeColor="text1"/>
                <w:sz w:val="28"/>
                <w:szCs w:val="28"/>
              </w:rPr>
              <w:t xml:space="preserve"> □路演活动</w:t>
            </w:r>
          </w:p>
          <w:p w:rsidR="00BE55D0" w:rsidRPr="00BE55D0" w:rsidRDefault="00BE55D0" w:rsidP="00BE55D0">
            <w:pPr>
              <w:spacing w:line="500" w:lineRule="exact"/>
              <w:jc w:val="left"/>
              <w:rPr>
                <w:rFonts w:asciiTheme="minorEastAsia" w:hAnsiTheme="minorEastAsia"/>
                <w:color w:val="000000" w:themeColor="text1"/>
                <w:sz w:val="28"/>
                <w:szCs w:val="28"/>
              </w:rPr>
            </w:pPr>
            <w:r w:rsidRPr="00BE55D0">
              <w:rPr>
                <w:rFonts w:asciiTheme="minorEastAsia" w:hAnsiTheme="minorEastAsia" w:hint="eastAsia"/>
                <w:color w:val="000000" w:themeColor="text1"/>
                <w:sz w:val="28"/>
                <w:szCs w:val="28"/>
              </w:rPr>
              <w:t xml:space="preserve">□现场参观 </w:t>
            </w:r>
            <w:r w:rsidRPr="00BE55D0">
              <w:rPr>
                <w:rFonts w:asciiTheme="minorEastAsia" w:hAnsiTheme="minorEastAsia"/>
                <w:color w:val="000000" w:themeColor="text1"/>
                <w:sz w:val="28"/>
                <w:szCs w:val="28"/>
              </w:rPr>
              <w:t xml:space="preserve">          </w:t>
            </w:r>
            <w:r w:rsidRPr="00BE55D0">
              <w:rPr>
                <w:rFonts w:asciiTheme="minorEastAsia" w:hAnsiTheme="minorEastAsia" w:hint="eastAsia"/>
                <w:color w:val="000000" w:themeColor="text1"/>
                <w:sz w:val="28"/>
                <w:szCs w:val="28"/>
              </w:rPr>
              <w:t xml:space="preserve"> □其他</w:t>
            </w:r>
          </w:p>
        </w:tc>
      </w:tr>
      <w:tr w:rsidR="00BE55D0" w:rsidRPr="00BE55D0" w:rsidTr="00E9788F">
        <w:trPr>
          <w:jc w:val="center"/>
        </w:trPr>
        <w:tc>
          <w:tcPr>
            <w:tcW w:w="2552" w:type="dxa"/>
            <w:vAlign w:val="center"/>
          </w:tcPr>
          <w:p w:rsidR="00BE55D0" w:rsidRPr="00BE55D0" w:rsidRDefault="00BE55D0" w:rsidP="00BE55D0">
            <w:pPr>
              <w:spacing w:line="500" w:lineRule="exact"/>
              <w:jc w:val="center"/>
              <w:rPr>
                <w:rFonts w:asciiTheme="minorEastAsia" w:hAnsiTheme="minorEastAsia"/>
                <w:color w:val="000000" w:themeColor="text1"/>
                <w:sz w:val="28"/>
                <w:szCs w:val="28"/>
              </w:rPr>
            </w:pPr>
            <w:r w:rsidRPr="00BE55D0">
              <w:rPr>
                <w:rFonts w:asciiTheme="minorEastAsia" w:hAnsiTheme="minorEastAsia"/>
                <w:color w:val="000000" w:themeColor="text1"/>
                <w:sz w:val="28"/>
                <w:szCs w:val="28"/>
              </w:rPr>
              <w:t>参与单位名称</w:t>
            </w:r>
          </w:p>
          <w:p w:rsidR="00BE55D0" w:rsidRPr="00BE55D0" w:rsidRDefault="00BE55D0" w:rsidP="00BE55D0">
            <w:pPr>
              <w:spacing w:line="500" w:lineRule="exact"/>
              <w:jc w:val="center"/>
              <w:rPr>
                <w:rFonts w:asciiTheme="minorEastAsia" w:hAnsiTheme="minorEastAsia"/>
                <w:color w:val="000000" w:themeColor="text1"/>
                <w:sz w:val="28"/>
                <w:szCs w:val="28"/>
              </w:rPr>
            </w:pPr>
            <w:r w:rsidRPr="00BE55D0">
              <w:rPr>
                <w:rFonts w:asciiTheme="minorEastAsia" w:hAnsiTheme="minorEastAsia"/>
                <w:color w:val="000000" w:themeColor="text1"/>
                <w:sz w:val="28"/>
                <w:szCs w:val="28"/>
              </w:rPr>
              <w:t>及人员</w:t>
            </w:r>
            <w:r w:rsidRPr="00BE55D0">
              <w:rPr>
                <w:rFonts w:asciiTheme="minorEastAsia" w:hAnsiTheme="minorEastAsia" w:hint="eastAsia"/>
                <w:color w:val="000000" w:themeColor="text1"/>
                <w:sz w:val="28"/>
                <w:szCs w:val="28"/>
              </w:rPr>
              <w:t>姓名</w:t>
            </w:r>
          </w:p>
        </w:tc>
        <w:tc>
          <w:tcPr>
            <w:tcW w:w="6663" w:type="dxa"/>
            <w:vAlign w:val="center"/>
          </w:tcPr>
          <w:p w:rsidR="00BE55D0" w:rsidRPr="00BE55D0" w:rsidRDefault="0083522A" w:rsidP="003E40C2">
            <w:pPr>
              <w:jc w:val="left"/>
              <w:rPr>
                <w:rFonts w:ascii="方正仿宋_GBK" w:eastAsia="方正仿宋_GBK" w:hAnsiTheme="minorEastAsia"/>
                <w:color w:val="000000" w:themeColor="text1"/>
                <w:sz w:val="28"/>
                <w:szCs w:val="28"/>
              </w:rPr>
            </w:pPr>
            <w:r>
              <w:rPr>
                <w:rFonts w:ascii="方正仿宋_GBK" w:eastAsia="方正仿宋_GBK" w:hAnsiTheme="minorEastAsia" w:hint="eastAsia"/>
                <w:color w:val="000000" w:themeColor="text1"/>
                <w:sz w:val="28"/>
                <w:szCs w:val="28"/>
              </w:rPr>
              <w:t>银河证券研究院</w:t>
            </w:r>
            <w:r>
              <w:rPr>
                <w:rFonts w:ascii="方正仿宋_GBK" w:eastAsia="方正仿宋_GBK" w:hAnsiTheme="minorEastAsia"/>
                <w:color w:val="000000" w:themeColor="text1"/>
                <w:sz w:val="28"/>
                <w:szCs w:val="28"/>
              </w:rPr>
              <w:t>罗江南</w:t>
            </w:r>
            <w:r w:rsidR="003E40C2">
              <w:rPr>
                <w:rFonts w:ascii="方正仿宋_GBK" w:eastAsia="方正仿宋_GBK" w:hAnsiTheme="minorEastAsia" w:hint="eastAsia"/>
                <w:color w:val="000000" w:themeColor="text1"/>
                <w:sz w:val="28"/>
                <w:szCs w:val="28"/>
              </w:rPr>
              <w:t>。</w:t>
            </w:r>
          </w:p>
        </w:tc>
      </w:tr>
      <w:tr w:rsidR="00BE55D0" w:rsidRPr="00BE55D0" w:rsidTr="00E9788F">
        <w:trPr>
          <w:jc w:val="center"/>
        </w:trPr>
        <w:tc>
          <w:tcPr>
            <w:tcW w:w="2552" w:type="dxa"/>
            <w:vAlign w:val="center"/>
          </w:tcPr>
          <w:p w:rsidR="00BE55D0" w:rsidRPr="00BE55D0" w:rsidRDefault="00BE55D0" w:rsidP="00BE55D0">
            <w:pPr>
              <w:jc w:val="center"/>
              <w:rPr>
                <w:rFonts w:asciiTheme="minorEastAsia" w:hAnsiTheme="minorEastAsia"/>
                <w:color w:val="000000" w:themeColor="text1"/>
                <w:sz w:val="28"/>
                <w:szCs w:val="28"/>
              </w:rPr>
            </w:pPr>
            <w:r w:rsidRPr="00BE55D0">
              <w:rPr>
                <w:rFonts w:asciiTheme="minorEastAsia" w:hAnsiTheme="minorEastAsia"/>
                <w:color w:val="000000" w:themeColor="text1"/>
                <w:sz w:val="28"/>
                <w:szCs w:val="28"/>
              </w:rPr>
              <w:t>时</w:t>
            </w:r>
            <w:r w:rsidRPr="00BE55D0">
              <w:rPr>
                <w:rFonts w:asciiTheme="minorEastAsia" w:hAnsiTheme="minorEastAsia" w:hint="eastAsia"/>
                <w:color w:val="000000" w:themeColor="text1"/>
                <w:sz w:val="28"/>
                <w:szCs w:val="28"/>
              </w:rPr>
              <w:t xml:space="preserve">   </w:t>
            </w:r>
            <w:r w:rsidRPr="00BE55D0">
              <w:rPr>
                <w:rFonts w:asciiTheme="minorEastAsia" w:hAnsiTheme="minorEastAsia"/>
                <w:color w:val="000000" w:themeColor="text1"/>
                <w:sz w:val="28"/>
                <w:szCs w:val="28"/>
              </w:rPr>
              <w:t>间</w:t>
            </w:r>
          </w:p>
        </w:tc>
        <w:tc>
          <w:tcPr>
            <w:tcW w:w="6663" w:type="dxa"/>
            <w:vAlign w:val="center"/>
          </w:tcPr>
          <w:p w:rsidR="00BE55D0" w:rsidRPr="00BE55D0" w:rsidRDefault="00BE55D0" w:rsidP="0083522A">
            <w:pPr>
              <w:jc w:val="left"/>
              <w:rPr>
                <w:rFonts w:ascii="方正仿宋_GBK" w:eastAsia="方正仿宋_GBK" w:hAnsiTheme="minorEastAsia"/>
                <w:color w:val="000000" w:themeColor="text1"/>
                <w:sz w:val="28"/>
                <w:szCs w:val="28"/>
              </w:rPr>
            </w:pPr>
            <w:r w:rsidRPr="00BE55D0">
              <w:rPr>
                <w:rFonts w:ascii="方正仿宋_GBK" w:eastAsia="方正仿宋_GBK" w:hAnsiTheme="minorEastAsia" w:hint="eastAsia"/>
                <w:color w:val="000000" w:themeColor="text1"/>
                <w:sz w:val="28"/>
                <w:szCs w:val="28"/>
              </w:rPr>
              <w:t>202</w:t>
            </w:r>
            <w:r w:rsidR="00117973">
              <w:rPr>
                <w:rFonts w:ascii="方正仿宋_GBK" w:eastAsia="方正仿宋_GBK" w:hAnsiTheme="minorEastAsia"/>
                <w:color w:val="000000" w:themeColor="text1"/>
                <w:sz w:val="28"/>
                <w:szCs w:val="28"/>
              </w:rPr>
              <w:t>5</w:t>
            </w:r>
            <w:r w:rsidRPr="00BE55D0">
              <w:rPr>
                <w:rFonts w:ascii="方正仿宋_GBK" w:eastAsia="方正仿宋_GBK" w:hAnsiTheme="minorEastAsia" w:hint="eastAsia"/>
                <w:color w:val="000000" w:themeColor="text1"/>
                <w:sz w:val="28"/>
                <w:szCs w:val="28"/>
              </w:rPr>
              <w:t>年</w:t>
            </w:r>
            <w:r w:rsidR="00C44E63">
              <w:rPr>
                <w:rFonts w:ascii="方正仿宋_GBK" w:eastAsia="方正仿宋_GBK" w:hAnsiTheme="minorEastAsia" w:hint="eastAsia"/>
                <w:color w:val="000000" w:themeColor="text1"/>
                <w:sz w:val="28"/>
                <w:szCs w:val="28"/>
              </w:rPr>
              <w:t>1</w:t>
            </w:r>
            <w:r w:rsidR="003E40C2">
              <w:rPr>
                <w:rFonts w:ascii="方正仿宋_GBK" w:eastAsia="方正仿宋_GBK" w:hAnsiTheme="minorEastAsia" w:hint="eastAsia"/>
                <w:color w:val="000000" w:themeColor="text1"/>
                <w:sz w:val="28"/>
                <w:szCs w:val="28"/>
              </w:rPr>
              <w:t>2</w:t>
            </w:r>
            <w:r w:rsidRPr="00BE55D0">
              <w:rPr>
                <w:rFonts w:ascii="方正仿宋_GBK" w:eastAsia="方正仿宋_GBK" w:hAnsiTheme="minorEastAsia" w:hint="eastAsia"/>
                <w:color w:val="000000" w:themeColor="text1"/>
                <w:sz w:val="28"/>
                <w:szCs w:val="28"/>
              </w:rPr>
              <w:t>月</w:t>
            </w:r>
            <w:r w:rsidR="0083522A">
              <w:rPr>
                <w:rFonts w:ascii="方正仿宋_GBK" w:eastAsia="方正仿宋_GBK" w:hAnsiTheme="minorEastAsia"/>
                <w:color w:val="000000" w:themeColor="text1"/>
                <w:sz w:val="28"/>
                <w:szCs w:val="28"/>
              </w:rPr>
              <w:t>30</w:t>
            </w:r>
            <w:r w:rsidRPr="00BE55D0">
              <w:rPr>
                <w:rFonts w:ascii="方正仿宋_GBK" w:eastAsia="方正仿宋_GBK" w:hAnsiTheme="minorEastAsia" w:hint="eastAsia"/>
                <w:color w:val="000000" w:themeColor="text1"/>
                <w:sz w:val="28"/>
                <w:szCs w:val="28"/>
              </w:rPr>
              <w:t>日</w:t>
            </w:r>
          </w:p>
        </w:tc>
      </w:tr>
      <w:tr w:rsidR="00BE55D0" w:rsidRPr="00BE55D0" w:rsidTr="00E9788F">
        <w:trPr>
          <w:jc w:val="center"/>
        </w:trPr>
        <w:tc>
          <w:tcPr>
            <w:tcW w:w="2552" w:type="dxa"/>
            <w:vAlign w:val="center"/>
          </w:tcPr>
          <w:p w:rsidR="00BE55D0" w:rsidRPr="00BE55D0" w:rsidRDefault="00BE55D0" w:rsidP="00BE55D0">
            <w:pPr>
              <w:jc w:val="center"/>
              <w:rPr>
                <w:rFonts w:asciiTheme="minorEastAsia" w:hAnsiTheme="minorEastAsia"/>
                <w:color w:val="000000" w:themeColor="text1"/>
                <w:sz w:val="28"/>
                <w:szCs w:val="28"/>
              </w:rPr>
            </w:pPr>
            <w:r w:rsidRPr="00BE55D0">
              <w:rPr>
                <w:rFonts w:asciiTheme="minorEastAsia" w:hAnsiTheme="minorEastAsia"/>
                <w:color w:val="000000" w:themeColor="text1"/>
                <w:sz w:val="28"/>
                <w:szCs w:val="28"/>
              </w:rPr>
              <w:t>地</w:t>
            </w:r>
            <w:r w:rsidRPr="00BE55D0">
              <w:rPr>
                <w:rFonts w:asciiTheme="minorEastAsia" w:hAnsiTheme="minorEastAsia" w:hint="eastAsia"/>
                <w:color w:val="000000" w:themeColor="text1"/>
                <w:sz w:val="28"/>
                <w:szCs w:val="28"/>
              </w:rPr>
              <w:t xml:space="preserve">   </w:t>
            </w:r>
            <w:r w:rsidRPr="00BE55D0">
              <w:rPr>
                <w:rFonts w:asciiTheme="minorEastAsia" w:hAnsiTheme="minorEastAsia"/>
                <w:color w:val="000000" w:themeColor="text1"/>
                <w:sz w:val="28"/>
                <w:szCs w:val="28"/>
              </w:rPr>
              <w:t>点</w:t>
            </w:r>
          </w:p>
        </w:tc>
        <w:tc>
          <w:tcPr>
            <w:tcW w:w="6663" w:type="dxa"/>
            <w:vAlign w:val="center"/>
          </w:tcPr>
          <w:p w:rsidR="00BE55D0" w:rsidRPr="00BE55D0" w:rsidRDefault="00BE55D0" w:rsidP="003E40C2">
            <w:pPr>
              <w:jc w:val="left"/>
              <w:rPr>
                <w:rFonts w:ascii="方正仿宋_GBK" w:eastAsia="方正仿宋_GBK" w:hAnsiTheme="minorEastAsia"/>
                <w:color w:val="000000" w:themeColor="text1"/>
                <w:sz w:val="28"/>
                <w:szCs w:val="28"/>
              </w:rPr>
            </w:pPr>
            <w:r w:rsidRPr="00BE55D0">
              <w:rPr>
                <w:rFonts w:ascii="方正仿宋_GBK" w:eastAsia="方正仿宋_GBK" w:hAnsiTheme="minorEastAsia" w:hint="eastAsia"/>
                <w:color w:val="000000" w:themeColor="text1"/>
                <w:sz w:val="28"/>
                <w:szCs w:val="28"/>
              </w:rPr>
              <w:t>重庆市江北区海尔路298号公司2</w:t>
            </w:r>
            <w:r w:rsidR="003E40C2">
              <w:rPr>
                <w:rFonts w:ascii="方正仿宋_GBK" w:eastAsia="方正仿宋_GBK" w:hAnsiTheme="minorEastAsia"/>
                <w:color w:val="000000" w:themeColor="text1"/>
                <w:sz w:val="28"/>
                <w:szCs w:val="28"/>
              </w:rPr>
              <w:t>0</w:t>
            </w:r>
            <w:r w:rsidRPr="00BE55D0">
              <w:rPr>
                <w:rFonts w:ascii="方正仿宋_GBK" w:eastAsia="方正仿宋_GBK" w:hAnsiTheme="minorEastAsia" w:hint="eastAsia"/>
                <w:color w:val="000000" w:themeColor="text1"/>
                <w:sz w:val="28"/>
                <w:szCs w:val="28"/>
              </w:rPr>
              <w:t>楼会议室</w:t>
            </w:r>
          </w:p>
        </w:tc>
      </w:tr>
      <w:tr w:rsidR="00BE55D0" w:rsidRPr="00BE55D0" w:rsidTr="00E9788F">
        <w:trPr>
          <w:jc w:val="center"/>
        </w:trPr>
        <w:tc>
          <w:tcPr>
            <w:tcW w:w="2552" w:type="dxa"/>
            <w:vAlign w:val="center"/>
          </w:tcPr>
          <w:p w:rsidR="00BE55D0" w:rsidRPr="00BE55D0" w:rsidRDefault="00BE55D0" w:rsidP="00BE55D0">
            <w:pPr>
              <w:spacing w:line="500" w:lineRule="exact"/>
              <w:jc w:val="center"/>
              <w:rPr>
                <w:rFonts w:asciiTheme="minorEastAsia" w:hAnsiTheme="minorEastAsia"/>
                <w:color w:val="000000" w:themeColor="text1"/>
                <w:sz w:val="28"/>
                <w:szCs w:val="28"/>
              </w:rPr>
            </w:pPr>
            <w:r w:rsidRPr="00BE55D0">
              <w:rPr>
                <w:rFonts w:asciiTheme="minorEastAsia" w:hAnsiTheme="minorEastAsia"/>
                <w:color w:val="000000" w:themeColor="text1"/>
                <w:sz w:val="28"/>
                <w:szCs w:val="28"/>
              </w:rPr>
              <w:t>上市公司</w:t>
            </w:r>
          </w:p>
          <w:p w:rsidR="00BE55D0" w:rsidRPr="00BE55D0" w:rsidRDefault="00BE55D0" w:rsidP="00BE55D0">
            <w:pPr>
              <w:spacing w:line="500" w:lineRule="exact"/>
              <w:jc w:val="center"/>
              <w:rPr>
                <w:rFonts w:asciiTheme="minorEastAsia" w:hAnsiTheme="minorEastAsia"/>
                <w:color w:val="000000" w:themeColor="text1"/>
                <w:sz w:val="28"/>
                <w:szCs w:val="28"/>
              </w:rPr>
            </w:pPr>
            <w:r w:rsidRPr="00BE55D0">
              <w:rPr>
                <w:rFonts w:asciiTheme="minorEastAsia" w:hAnsiTheme="minorEastAsia"/>
                <w:color w:val="000000" w:themeColor="text1"/>
                <w:sz w:val="28"/>
                <w:szCs w:val="28"/>
              </w:rPr>
              <w:t>接待人员名称</w:t>
            </w:r>
          </w:p>
        </w:tc>
        <w:tc>
          <w:tcPr>
            <w:tcW w:w="6663" w:type="dxa"/>
            <w:tcBorders>
              <w:bottom w:val="single" w:sz="4" w:space="0" w:color="auto"/>
            </w:tcBorders>
            <w:vAlign w:val="center"/>
          </w:tcPr>
          <w:p w:rsidR="00BE55D0" w:rsidRPr="00BE55D0" w:rsidRDefault="0083522A" w:rsidP="003E40C2">
            <w:pPr>
              <w:tabs>
                <w:tab w:val="left" w:pos="2530"/>
              </w:tabs>
              <w:spacing w:line="500" w:lineRule="exact"/>
              <w:rPr>
                <w:rFonts w:ascii="方正仿宋_GBK" w:eastAsia="方正仿宋_GBK"/>
                <w:sz w:val="32"/>
                <w:szCs w:val="32"/>
              </w:rPr>
            </w:pPr>
            <w:r w:rsidRPr="0083522A">
              <w:rPr>
                <w:rFonts w:ascii="方正仿宋_GBK" w:eastAsia="方正仿宋_GBK" w:hAnsiTheme="minorEastAsia" w:hint="eastAsia"/>
                <w:color w:val="000000" w:themeColor="text1"/>
                <w:sz w:val="28"/>
                <w:szCs w:val="28"/>
              </w:rPr>
              <w:t>董事、财务总监、</w:t>
            </w:r>
            <w:r w:rsidRPr="0083522A">
              <w:rPr>
                <w:rFonts w:ascii="方正仿宋_GBK" w:eastAsia="方正仿宋_GBK" w:hAnsiTheme="minorEastAsia"/>
                <w:color w:val="000000" w:themeColor="text1"/>
                <w:sz w:val="28"/>
                <w:szCs w:val="28"/>
              </w:rPr>
              <w:t>董事会秘书</w:t>
            </w:r>
            <w:r w:rsidRPr="0083522A">
              <w:rPr>
                <w:rFonts w:ascii="方正仿宋_GBK" w:eastAsia="方正仿宋_GBK" w:hAnsiTheme="minorEastAsia" w:hint="eastAsia"/>
                <w:color w:val="000000" w:themeColor="text1"/>
                <w:sz w:val="28"/>
                <w:szCs w:val="28"/>
              </w:rPr>
              <w:t>刘红伟，资产证券部相关</w:t>
            </w:r>
            <w:r w:rsidRPr="0083522A">
              <w:rPr>
                <w:rFonts w:ascii="方正仿宋_GBK" w:eastAsia="方正仿宋_GBK" w:hAnsiTheme="minorEastAsia"/>
                <w:color w:val="000000" w:themeColor="text1"/>
                <w:sz w:val="28"/>
                <w:szCs w:val="28"/>
              </w:rPr>
              <w:t>人员</w:t>
            </w:r>
            <w:r w:rsidR="00BE55D0" w:rsidRPr="00BE55D0">
              <w:rPr>
                <w:rFonts w:ascii="方正仿宋_GBK" w:eastAsia="方正仿宋_GBK" w:hAnsiTheme="minorEastAsia" w:hint="eastAsia"/>
                <w:color w:val="000000" w:themeColor="text1"/>
                <w:sz w:val="28"/>
                <w:szCs w:val="28"/>
              </w:rPr>
              <w:t>。</w:t>
            </w:r>
          </w:p>
        </w:tc>
      </w:tr>
      <w:tr w:rsidR="00BE55D0" w:rsidRPr="00BE55D0" w:rsidTr="00E9788F">
        <w:trPr>
          <w:trHeight w:val="630"/>
          <w:jc w:val="center"/>
        </w:trPr>
        <w:tc>
          <w:tcPr>
            <w:tcW w:w="2552" w:type="dxa"/>
            <w:vAlign w:val="center"/>
          </w:tcPr>
          <w:p w:rsidR="00BE55D0" w:rsidRPr="00BE55D0" w:rsidRDefault="00BE55D0" w:rsidP="00BE55D0">
            <w:pPr>
              <w:jc w:val="center"/>
              <w:rPr>
                <w:rFonts w:asciiTheme="minorEastAsia" w:hAnsiTheme="minorEastAsia"/>
                <w:color w:val="000000" w:themeColor="text1"/>
                <w:sz w:val="28"/>
                <w:szCs w:val="28"/>
              </w:rPr>
            </w:pPr>
            <w:r w:rsidRPr="00BE55D0">
              <w:rPr>
                <w:rFonts w:asciiTheme="minorEastAsia" w:hAnsiTheme="minorEastAsia" w:hint="eastAsia"/>
                <w:color w:val="000000" w:themeColor="text1"/>
                <w:sz w:val="28"/>
                <w:szCs w:val="28"/>
              </w:rPr>
              <w:t>投资者关系活动主要内容介绍</w:t>
            </w:r>
          </w:p>
        </w:tc>
        <w:tc>
          <w:tcPr>
            <w:tcW w:w="6663" w:type="dxa"/>
            <w:vAlign w:val="center"/>
          </w:tcPr>
          <w:p w:rsidR="00BE55D0" w:rsidRPr="00BE55D0" w:rsidRDefault="00BE55D0" w:rsidP="00BE55D0">
            <w:pPr>
              <w:spacing w:line="440" w:lineRule="exact"/>
              <w:rPr>
                <w:rFonts w:asciiTheme="minorEastAsia" w:hAnsiTheme="minorEastAsia"/>
                <w:color w:val="000000" w:themeColor="text1"/>
                <w:sz w:val="28"/>
                <w:szCs w:val="28"/>
              </w:rPr>
            </w:pPr>
            <w:r w:rsidRPr="00BE55D0">
              <w:rPr>
                <w:rFonts w:ascii="方正仿宋_GBK" w:eastAsia="方正仿宋_GBK" w:hAnsiTheme="minorEastAsia" w:hint="eastAsia"/>
                <w:color w:val="000000" w:themeColor="text1"/>
                <w:sz w:val="28"/>
                <w:szCs w:val="28"/>
              </w:rPr>
              <w:t>调研</w:t>
            </w:r>
            <w:r w:rsidRPr="00BE55D0">
              <w:rPr>
                <w:rFonts w:ascii="方正仿宋_GBK" w:eastAsia="方正仿宋_GBK" w:hAnsiTheme="minorEastAsia"/>
                <w:color w:val="000000" w:themeColor="text1"/>
                <w:sz w:val="28"/>
                <w:szCs w:val="28"/>
              </w:rPr>
              <w:t>交流情况</w:t>
            </w:r>
            <w:r w:rsidRPr="00BE55D0">
              <w:rPr>
                <w:rFonts w:ascii="方正仿宋_GBK" w:eastAsia="方正仿宋_GBK" w:hAnsiTheme="minorEastAsia" w:hint="eastAsia"/>
                <w:color w:val="000000" w:themeColor="text1"/>
                <w:sz w:val="28"/>
                <w:szCs w:val="28"/>
              </w:rPr>
              <w:t>如下：</w:t>
            </w:r>
          </w:p>
          <w:p w:rsidR="0083522A" w:rsidRPr="0083522A" w:rsidRDefault="00922500" w:rsidP="0083522A">
            <w:pPr>
              <w:widowControl/>
              <w:spacing w:line="440" w:lineRule="exact"/>
              <w:ind w:firstLineChars="200" w:firstLine="560"/>
              <w:rPr>
                <w:rFonts w:ascii="方正黑体_GBK" w:eastAsia="方正黑体_GBK" w:hAnsi="仿宋_GB2312" w:cs="仿宋_GB2312"/>
                <w:bCs/>
                <w:color w:val="000000"/>
                <w:kern w:val="0"/>
                <w:sz w:val="28"/>
                <w:szCs w:val="28"/>
              </w:rPr>
            </w:pPr>
            <w:r w:rsidRPr="00922500">
              <w:rPr>
                <w:rFonts w:ascii="方正黑体_GBK" w:eastAsia="方正黑体_GBK" w:hAnsi="仿宋_GB2312" w:cs="仿宋_GB2312" w:hint="eastAsia"/>
                <w:bCs/>
                <w:color w:val="000000"/>
                <w:kern w:val="0"/>
                <w:sz w:val="28"/>
                <w:szCs w:val="28"/>
              </w:rPr>
              <w:t>一、</w:t>
            </w:r>
            <w:r w:rsidR="00ED6238" w:rsidRPr="0083522A">
              <w:rPr>
                <w:rFonts w:ascii="方正黑体_GBK" w:eastAsia="方正黑体_GBK" w:hAnsi="仿宋_GB2312" w:cs="仿宋_GB2312" w:hint="eastAsia"/>
                <w:bCs/>
                <w:color w:val="000000"/>
                <w:kern w:val="0"/>
                <w:sz w:val="28"/>
                <w:szCs w:val="28"/>
              </w:rPr>
              <w:t>目前</w:t>
            </w:r>
            <w:r w:rsidR="0083522A" w:rsidRPr="0083522A">
              <w:rPr>
                <w:rFonts w:ascii="方正黑体_GBK" w:eastAsia="方正黑体_GBK" w:hAnsi="仿宋_GB2312" w:cs="仿宋_GB2312" w:hint="eastAsia"/>
                <w:bCs/>
                <w:color w:val="000000"/>
                <w:kern w:val="0"/>
                <w:sz w:val="28"/>
                <w:szCs w:val="28"/>
              </w:rPr>
              <w:t>公司的营收和利润中，与港口收费相关的和物流相关的比例分别是多少？</w:t>
            </w:r>
          </w:p>
          <w:p w:rsidR="00180D21" w:rsidRDefault="0083522A" w:rsidP="0083522A">
            <w:pPr>
              <w:widowControl/>
              <w:spacing w:line="440" w:lineRule="exact"/>
              <w:ind w:firstLineChars="200" w:firstLine="560"/>
              <w:rPr>
                <w:rFonts w:ascii="方正仿宋_GBK" w:eastAsia="方正仿宋_GBK" w:hAnsi="仿宋_GB2312" w:cs="仿宋_GB2312"/>
                <w:bCs/>
                <w:color w:val="000000"/>
                <w:kern w:val="0"/>
                <w:sz w:val="28"/>
                <w:szCs w:val="28"/>
              </w:rPr>
            </w:pPr>
            <w:r w:rsidRPr="0083522A">
              <w:rPr>
                <w:rFonts w:ascii="方正仿宋_GBK" w:eastAsia="方正仿宋_GBK" w:hAnsi="仿宋_GB2312" w:cs="仿宋_GB2312" w:hint="eastAsia"/>
                <w:bCs/>
                <w:color w:val="000000"/>
                <w:kern w:val="0"/>
                <w:sz w:val="28"/>
                <w:szCs w:val="28"/>
              </w:rPr>
              <w:t>重庆港2025年1-3季度的营收和利润中，“装卸及客货代理业务”收入占比33.69%、毛利占比83.21%;“综合物流业务”收入占比9.20%、毛利占比5.48%。</w:t>
            </w:r>
          </w:p>
          <w:p w:rsidR="003E40C2" w:rsidRPr="003E40C2" w:rsidRDefault="00922500" w:rsidP="008C6E82">
            <w:pPr>
              <w:widowControl/>
              <w:spacing w:line="440" w:lineRule="exact"/>
              <w:ind w:firstLineChars="200" w:firstLine="560"/>
              <w:rPr>
                <w:rFonts w:ascii="方正黑体_GBK" w:eastAsia="方正黑体_GBK" w:hAnsi="仿宋_GB2312" w:cs="仿宋_GB2312"/>
                <w:bCs/>
                <w:color w:val="000000"/>
                <w:kern w:val="0"/>
                <w:sz w:val="28"/>
                <w:szCs w:val="28"/>
              </w:rPr>
            </w:pPr>
            <w:r w:rsidRPr="00922500">
              <w:rPr>
                <w:rFonts w:ascii="方正黑体_GBK" w:eastAsia="方正黑体_GBK" w:hAnsi="仿宋_GB2312" w:cs="仿宋_GB2312" w:hint="eastAsia"/>
                <w:bCs/>
                <w:color w:val="000000"/>
                <w:kern w:val="0"/>
                <w:sz w:val="28"/>
                <w:szCs w:val="28"/>
              </w:rPr>
              <w:t>二、</w:t>
            </w:r>
            <w:r w:rsidR="0083522A" w:rsidRPr="0083522A">
              <w:rPr>
                <w:rFonts w:ascii="方正黑体_GBK" w:eastAsia="方正黑体_GBK" w:hAnsi="仿宋_GB2312" w:cs="仿宋_GB2312" w:hint="eastAsia"/>
                <w:bCs/>
                <w:color w:val="000000"/>
                <w:kern w:val="0"/>
                <w:sz w:val="28"/>
                <w:szCs w:val="28"/>
              </w:rPr>
              <w:t>果园港、万州红溪沟、江津兰家沱和珞璜港4个港区的区位和分工分别是什么？</w:t>
            </w:r>
          </w:p>
          <w:p w:rsidR="0083522A" w:rsidRPr="0083522A" w:rsidRDefault="0083522A" w:rsidP="0083522A">
            <w:pPr>
              <w:widowControl/>
              <w:spacing w:line="440" w:lineRule="exact"/>
              <w:ind w:firstLineChars="200" w:firstLine="560"/>
              <w:rPr>
                <w:rFonts w:ascii="方正仿宋_GBK" w:eastAsia="方正仿宋_GBK" w:hAnsi="Times New Roman" w:cs="Times New Roman"/>
                <w:sz w:val="28"/>
                <w:szCs w:val="28"/>
              </w:rPr>
            </w:pPr>
            <w:r w:rsidRPr="0083522A">
              <w:rPr>
                <w:rFonts w:ascii="方正仿宋_GBK" w:eastAsia="方正仿宋_GBK" w:hAnsi="Times New Roman" w:cs="Times New Roman" w:hint="eastAsia"/>
                <w:sz w:val="28"/>
                <w:szCs w:val="28"/>
              </w:rPr>
              <w:t>（1）江津兰家沱港。江津兰家沱港位于江津区德感境内长江北岸，毗邻江津区德感工业园区，周边紧邻重庆绕城、重庆三环、成渝、渝黔、江习、合璧津、江泸北线等多条高速公路干线。主要经济腹地为我国西北、川西、攀西、云南、贵州、川东南、德感园区，目前最主要货种是粮食、煤炭。</w:t>
            </w:r>
          </w:p>
          <w:p w:rsidR="0083522A" w:rsidRPr="0083522A" w:rsidRDefault="0083522A" w:rsidP="0083522A">
            <w:pPr>
              <w:widowControl/>
              <w:spacing w:line="440" w:lineRule="exact"/>
              <w:ind w:firstLineChars="200" w:firstLine="560"/>
              <w:rPr>
                <w:rFonts w:ascii="方正仿宋_GBK" w:eastAsia="方正仿宋_GBK" w:hAnsi="Times New Roman" w:cs="Times New Roman"/>
                <w:sz w:val="28"/>
                <w:szCs w:val="28"/>
              </w:rPr>
            </w:pPr>
            <w:r w:rsidRPr="0083522A">
              <w:rPr>
                <w:rFonts w:ascii="方正仿宋_GBK" w:eastAsia="方正仿宋_GBK" w:hAnsi="Times New Roman" w:cs="Times New Roman" w:hint="eastAsia"/>
                <w:sz w:val="28"/>
                <w:szCs w:val="28"/>
              </w:rPr>
              <w:lastRenderedPageBreak/>
              <w:t>（2）珞璜港。珞璜港上距四川宜宾港335公里，下离重庆朝天门50公里，紧邻重庆江津综合保税区，与渝黔铁路小南垭车站接轨，连接重庆G5001绕城高速公路，连通渝邻、渝黔、渝万、成渝等高速公路。主要经济腹地为陕西、新疆、兰州、贵州、云南、广西，目前最主要的货种是煤炭、磷矿石。</w:t>
            </w:r>
          </w:p>
          <w:p w:rsidR="0083522A" w:rsidRPr="0083522A" w:rsidRDefault="0083522A" w:rsidP="0083522A">
            <w:pPr>
              <w:widowControl/>
              <w:spacing w:line="440" w:lineRule="exact"/>
              <w:ind w:firstLineChars="200" w:firstLine="560"/>
              <w:rPr>
                <w:rFonts w:ascii="方正仿宋_GBK" w:eastAsia="方正仿宋_GBK" w:hAnsi="Times New Roman" w:cs="Times New Roman"/>
                <w:sz w:val="28"/>
                <w:szCs w:val="28"/>
              </w:rPr>
            </w:pPr>
            <w:r w:rsidRPr="0083522A">
              <w:rPr>
                <w:rFonts w:ascii="方正仿宋_GBK" w:eastAsia="方正仿宋_GBK" w:hAnsi="Times New Roman" w:cs="Times New Roman" w:hint="eastAsia"/>
                <w:sz w:val="28"/>
                <w:szCs w:val="28"/>
              </w:rPr>
              <w:t>（3）果园港。果园港位于重庆市两江新区核心区，溯长江而上距朝天门30公里,处于连接长江经济带和“一带一路”铁水联运的关键节点,是国家级水、公、铁多式联运物流枢纽港。主要经济腹地为陕西、新疆、四川、贵州、长江沿线，目前最主要的货种是煤炭、金属矿石、钢材。</w:t>
            </w:r>
          </w:p>
          <w:p w:rsidR="00E36DF8" w:rsidRPr="00B730D2" w:rsidRDefault="0083522A" w:rsidP="0083522A">
            <w:pPr>
              <w:widowControl/>
              <w:spacing w:line="440" w:lineRule="exact"/>
              <w:ind w:firstLineChars="200" w:firstLine="560"/>
              <w:rPr>
                <w:rFonts w:ascii="方正仿宋_GBK" w:eastAsia="方正仿宋_GBK" w:hAnsi="仿宋_GB2312" w:cs="仿宋_GB2312"/>
                <w:bCs/>
                <w:color w:val="000000"/>
                <w:kern w:val="0"/>
                <w:sz w:val="28"/>
                <w:szCs w:val="28"/>
              </w:rPr>
            </w:pPr>
            <w:r w:rsidRPr="0083522A">
              <w:rPr>
                <w:rFonts w:ascii="方正仿宋_GBK" w:eastAsia="方正仿宋_GBK" w:hAnsi="Times New Roman" w:cs="Times New Roman" w:hint="eastAsia"/>
                <w:sz w:val="28"/>
                <w:szCs w:val="28"/>
              </w:rPr>
              <w:t>（4）万州红溪沟港。万州红溪沟港位于长江中上游地区结合部，地处重庆东北部、三峡库区腹心地带，是渝东北、鄂西、四川、陕西、甘肃、宁夏、新疆和内蒙等地区重要的物资出海通道，是“一带一路”和长江经济带建设的重要物流节点，物流网络畅通高效、通达全球。主要经济腹地为陕西、新疆、长江下游，目前最主要的货种是煤炭、铝土矿、金矿。</w:t>
            </w:r>
          </w:p>
          <w:p w:rsidR="00922500" w:rsidRPr="003E40C2" w:rsidRDefault="008C6E82" w:rsidP="003E40C2">
            <w:pPr>
              <w:widowControl/>
              <w:spacing w:line="440" w:lineRule="exact"/>
              <w:ind w:firstLineChars="200" w:firstLine="560"/>
              <w:rPr>
                <w:rFonts w:ascii="方正黑体_GBK" w:eastAsia="方正黑体_GBK" w:hAnsi="仿宋_GB2312" w:cs="仿宋_GB2312"/>
                <w:bCs/>
                <w:color w:val="000000"/>
                <w:kern w:val="0"/>
                <w:sz w:val="28"/>
                <w:szCs w:val="28"/>
              </w:rPr>
            </w:pPr>
            <w:r>
              <w:rPr>
                <w:rFonts w:ascii="方正黑体_GBK" w:eastAsia="方正黑体_GBK" w:hAnsi="仿宋_GB2312" w:cs="仿宋_GB2312" w:hint="eastAsia"/>
                <w:bCs/>
                <w:color w:val="000000"/>
                <w:kern w:val="0"/>
                <w:sz w:val="28"/>
                <w:szCs w:val="28"/>
              </w:rPr>
              <w:t>三</w:t>
            </w:r>
            <w:r w:rsidR="00922500" w:rsidRPr="003E40C2">
              <w:rPr>
                <w:rFonts w:ascii="方正黑体_GBK" w:eastAsia="方正黑体_GBK" w:hAnsi="仿宋_GB2312" w:cs="仿宋_GB2312" w:hint="eastAsia"/>
                <w:bCs/>
                <w:color w:val="000000"/>
                <w:kern w:val="0"/>
                <w:sz w:val="28"/>
                <w:szCs w:val="28"/>
              </w:rPr>
              <w:t>、</w:t>
            </w:r>
            <w:r w:rsidR="00C17749" w:rsidRPr="00C17749">
              <w:rPr>
                <w:rFonts w:ascii="方正黑体_GBK" w:eastAsia="方正黑体_GBK" w:hAnsi="仿宋_GB2312" w:cs="仿宋_GB2312" w:hint="eastAsia"/>
                <w:bCs/>
                <w:color w:val="000000"/>
                <w:kern w:val="0"/>
                <w:sz w:val="28"/>
                <w:szCs w:val="28"/>
              </w:rPr>
              <w:t>内河港口的区位相比于沿海港口优势不大，怎么去差异化发展？</w:t>
            </w:r>
          </w:p>
          <w:p w:rsidR="00922500" w:rsidRPr="003E40C2" w:rsidRDefault="00C17749" w:rsidP="00B730D2">
            <w:pPr>
              <w:widowControl/>
              <w:spacing w:line="440" w:lineRule="exact"/>
              <w:ind w:firstLineChars="200" w:firstLine="560"/>
              <w:rPr>
                <w:rFonts w:ascii="方正仿宋_GBK" w:eastAsia="方正仿宋_GBK" w:hAnsi="仿宋_GB2312" w:cs="仿宋_GB2312"/>
                <w:bCs/>
                <w:color w:val="000000"/>
                <w:kern w:val="0"/>
                <w:sz w:val="28"/>
                <w:szCs w:val="28"/>
              </w:rPr>
            </w:pPr>
            <w:r w:rsidRPr="00C17749">
              <w:rPr>
                <w:rFonts w:ascii="方正仿宋_GBK" w:eastAsia="方正仿宋_GBK" w:hAnsi="仿宋_GB2312" w:cs="仿宋_GB2312" w:hint="eastAsia"/>
                <w:bCs/>
                <w:color w:val="000000"/>
                <w:kern w:val="0"/>
                <w:sz w:val="28"/>
                <w:szCs w:val="28"/>
              </w:rPr>
              <w:t>内河港口和沿海港口经济腹地不同，服务对象不同、战略属性不同、规模不同、设施工艺不同，目前不存在差异化发展的问题，对于进出口货物而言，通过江海联运的方式通江达海，更多是供应链上下游关系，相互合作的关系。</w:t>
            </w:r>
          </w:p>
          <w:p w:rsidR="00C17749" w:rsidRPr="00C17749" w:rsidRDefault="008C6E82" w:rsidP="00C17749">
            <w:pPr>
              <w:widowControl/>
              <w:spacing w:line="440" w:lineRule="exact"/>
              <w:ind w:firstLineChars="200" w:firstLine="560"/>
              <w:rPr>
                <w:rFonts w:ascii="方正黑体_GBK" w:eastAsia="方正黑体_GBK" w:hAnsi="仿宋_GB2312" w:cs="仿宋_GB2312"/>
                <w:bCs/>
                <w:color w:val="000000"/>
                <w:kern w:val="0"/>
                <w:sz w:val="28"/>
                <w:szCs w:val="28"/>
              </w:rPr>
            </w:pPr>
            <w:bookmarkStart w:id="0" w:name="OLE_LINK20"/>
            <w:r>
              <w:rPr>
                <w:rFonts w:ascii="方正黑体_GBK" w:eastAsia="方正黑体_GBK" w:hAnsi="仿宋_GB2312" w:cs="仿宋_GB2312" w:hint="eastAsia"/>
                <w:bCs/>
                <w:color w:val="000000"/>
                <w:kern w:val="0"/>
                <w:sz w:val="28"/>
                <w:szCs w:val="28"/>
              </w:rPr>
              <w:t>四</w:t>
            </w:r>
            <w:r w:rsidR="00922500" w:rsidRPr="003E40C2">
              <w:rPr>
                <w:rFonts w:ascii="方正黑体_GBK" w:eastAsia="方正黑体_GBK" w:hAnsi="仿宋_GB2312" w:cs="仿宋_GB2312" w:hint="eastAsia"/>
                <w:bCs/>
                <w:color w:val="000000"/>
                <w:kern w:val="0"/>
                <w:sz w:val="28"/>
                <w:szCs w:val="28"/>
              </w:rPr>
              <w:t>、</w:t>
            </w:r>
            <w:r w:rsidR="00C17749" w:rsidRPr="00C17749">
              <w:rPr>
                <w:rFonts w:ascii="方正黑体_GBK" w:eastAsia="方正黑体_GBK" w:hAnsi="仿宋_GB2312" w:cs="仿宋_GB2312" w:hint="eastAsia"/>
                <w:bCs/>
                <w:color w:val="000000"/>
                <w:kern w:val="0"/>
                <w:sz w:val="28"/>
                <w:szCs w:val="28"/>
              </w:rPr>
              <w:t>铁水联运是内河港口的优势之一，和广汇能源合作疆煤外运，也是</w:t>
            </w:r>
            <w:r w:rsidR="00ED6238">
              <w:rPr>
                <w:rFonts w:ascii="方正黑体_GBK" w:eastAsia="方正黑体_GBK" w:hAnsi="仿宋_GB2312" w:cs="仿宋_GB2312" w:hint="eastAsia"/>
                <w:bCs/>
                <w:color w:val="000000"/>
                <w:kern w:val="0"/>
                <w:sz w:val="28"/>
                <w:szCs w:val="28"/>
              </w:rPr>
              <w:t>公司</w:t>
            </w:r>
            <w:r w:rsidR="00C17749" w:rsidRPr="00C17749">
              <w:rPr>
                <w:rFonts w:ascii="方正黑体_GBK" w:eastAsia="方正黑体_GBK" w:hAnsi="仿宋_GB2312" w:cs="仿宋_GB2312" w:hint="eastAsia"/>
                <w:bCs/>
                <w:color w:val="000000"/>
                <w:kern w:val="0"/>
                <w:sz w:val="28"/>
                <w:szCs w:val="28"/>
              </w:rPr>
              <w:t>的亮点之一，多式联运物流部分</w:t>
            </w:r>
            <w:r w:rsidR="00ED6238">
              <w:rPr>
                <w:rFonts w:ascii="方正黑体_GBK" w:eastAsia="方正黑体_GBK" w:hAnsi="仿宋_GB2312" w:cs="仿宋_GB2312" w:hint="eastAsia"/>
                <w:bCs/>
                <w:color w:val="000000"/>
                <w:kern w:val="0"/>
                <w:sz w:val="28"/>
                <w:szCs w:val="28"/>
              </w:rPr>
              <w:t>公司</w:t>
            </w:r>
            <w:r w:rsidR="00C17749" w:rsidRPr="00C17749">
              <w:rPr>
                <w:rFonts w:ascii="方正黑体_GBK" w:eastAsia="方正黑体_GBK" w:hAnsi="仿宋_GB2312" w:cs="仿宋_GB2312" w:hint="eastAsia"/>
                <w:bCs/>
                <w:color w:val="000000"/>
                <w:kern w:val="0"/>
                <w:sz w:val="28"/>
                <w:szCs w:val="28"/>
              </w:rPr>
              <w:t>怎么去挖潜？</w:t>
            </w:r>
          </w:p>
          <w:p w:rsidR="00C17749" w:rsidRPr="00C17749" w:rsidRDefault="00C17749" w:rsidP="00C17749">
            <w:pPr>
              <w:widowControl/>
              <w:spacing w:line="440" w:lineRule="exact"/>
              <w:ind w:firstLineChars="200" w:firstLine="560"/>
              <w:rPr>
                <w:rFonts w:ascii="方正仿宋_GBK" w:eastAsia="方正仿宋_GBK" w:hAnsi="仿宋_GB2312" w:cs="仿宋_GB2312"/>
                <w:bCs/>
                <w:color w:val="000000"/>
                <w:kern w:val="0"/>
                <w:sz w:val="28"/>
                <w:szCs w:val="28"/>
              </w:rPr>
            </w:pPr>
            <w:r w:rsidRPr="00C17749">
              <w:rPr>
                <w:rFonts w:ascii="方正仿宋_GBK" w:eastAsia="方正仿宋_GBK" w:hAnsi="仿宋_GB2312" w:cs="仿宋_GB2312" w:hint="eastAsia"/>
                <w:bCs/>
                <w:color w:val="000000"/>
                <w:kern w:val="0"/>
                <w:sz w:val="28"/>
                <w:szCs w:val="28"/>
              </w:rPr>
              <w:t>2025年以来，在疆渝两地政府战略合作，铁路乌局、兰局运价下浮，重庆港支持“疆煤入渝”制定临</w:t>
            </w:r>
            <w:r w:rsidRPr="00C17749">
              <w:rPr>
                <w:rFonts w:ascii="方正仿宋_GBK" w:eastAsia="方正仿宋_GBK" w:hAnsi="仿宋_GB2312" w:cs="仿宋_GB2312" w:hint="eastAsia"/>
                <w:bCs/>
                <w:color w:val="000000"/>
                <w:kern w:val="0"/>
                <w:sz w:val="28"/>
                <w:szCs w:val="28"/>
              </w:rPr>
              <w:lastRenderedPageBreak/>
              <w:t>时优价政策等多方共同努力下，重庆港疆煤到港量得到突破性发展。今年10月，为全面落实大客户战略，重庆港再次组队赴新疆，先后拜访了新疆能源集团、广汇能源、天池能源等大客户和中铁乌鲁木齐局集团，就建立长期合作机制、加强产能对接、优化通道服务等方面达成多项共识，并与三家大客户签署了战略合作协议。11月，与铁路乌鲁木齐局签署2025-2026年物流总包协议，持续推动疆煤提质放量。</w:t>
            </w:r>
          </w:p>
          <w:p w:rsidR="00922500" w:rsidRPr="00922500" w:rsidRDefault="00C17749" w:rsidP="00C17749">
            <w:pPr>
              <w:widowControl/>
              <w:spacing w:line="440" w:lineRule="exact"/>
              <w:ind w:firstLineChars="200" w:firstLine="560"/>
              <w:rPr>
                <w:rFonts w:ascii="方正仿宋_GBK" w:eastAsia="方正仿宋_GBK" w:hAnsi="仿宋_GB2312" w:cs="仿宋_GB2312"/>
                <w:bCs/>
                <w:color w:val="000000"/>
                <w:kern w:val="0"/>
                <w:sz w:val="28"/>
                <w:szCs w:val="28"/>
              </w:rPr>
            </w:pPr>
            <w:r w:rsidRPr="00C17749">
              <w:rPr>
                <w:rFonts w:ascii="方正仿宋_GBK" w:eastAsia="方正仿宋_GBK" w:hAnsi="仿宋_GB2312" w:cs="仿宋_GB2312" w:hint="eastAsia"/>
                <w:bCs/>
                <w:color w:val="000000"/>
                <w:kern w:val="0"/>
                <w:sz w:val="28"/>
                <w:szCs w:val="28"/>
              </w:rPr>
              <w:t>下一步，重庆港将以与乌鲁木齐铁路局年度物流总包合作为契机，进一步加强与乌鲁木齐铁路局的运营协同，拓宽合作领域，不断提升疆煤供应的灵活性与及时性，持续提升新疆天池能源、新疆能源、广汇能源等疆煤大客户服务质量，定制量价挂钩的优价政策，同时积极协助大客户拓展下游“两湖两江”终端用煤市场，力争2026年疆煤到港</w:t>
            </w:r>
            <w:r>
              <w:rPr>
                <w:rFonts w:ascii="方正仿宋_GBK" w:eastAsia="方正仿宋_GBK" w:hAnsi="仿宋_GB2312" w:cs="仿宋_GB2312" w:hint="eastAsia"/>
                <w:bCs/>
                <w:color w:val="000000"/>
                <w:kern w:val="0"/>
                <w:sz w:val="28"/>
                <w:szCs w:val="28"/>
              </w:rPr>
              <w:t>实现</w:t>
            </w:r>
            <w:r>
              <w:rPr>
                <w:rFonts w:ascii="方正仿宋_GBK" w:eastAsia="方正仿宋_GBK" w:hAnsi="仿宋_GB2312" w:cs="仿宋_GB2312"/>
                <w:bCs/>
                <w:color w:val="000000"/>
                <w:kern w:val="0"/>
                <w:sz w:val="28"/>
                <w:szCs w:val="28"/>
              </w:rPr>
              <w:t>新</w:t>
            </w:r>
            <w:r w:rsidRPr="00C17749">
              <w:rPr>
                <w:rFonts w:ascii="方正仿宋_GBK" w:eastAsia="方正仿宋_GBK" w:hAnsi="仿宋_GB2312" w:cs="仿宋_GB2312" w:hint="eastAsia"/>
                <w:bCs/>
                <w:color w:val="000000"/>
                <w:kern w:val="0"/>
                <w:sz w:val="28"/>
                <w:szCs w:val="28"/>
              </w:rPr>
              <w:t>突破。</w:t>
            </w:r>
          </w:p>
          <w:bookmarkEnd w:id="0"/>
          <w:p w:rsidR="003B675A" w:rsidRPr="003B675A" w:rsidRDefault="008C6E82" w:rsidP="003B675A">
            <w:pPr>
              <w:spacing w:line="440" w:lineRule="exact"/>
              <w:ind w:firstLineChars="200" w:firstLine="560"/>
              <w:rPr>
                <w:rFonts w:ascii="方正黑体_GBK" w:eastAsia="方正黑体_GBK" w:hAnsi="仿宋_GB2312" w:cs="仿宋_GB2312"/>
                <w:bCs/>
                <w:color w:val="000000"/>
                <w:kern w:val="0"/>
                <w:sz w:val="28"/>
                <w:szCs w:val="28"/>
              </w:rPr>
            </w:pPr>
            <w:r>
              <w:rPr>
                <w:rFonts w:ascii="方正黑体_GBK" w:eastAsia="方正黑体_GBK" w:hAnsi="仿宋_GB2312" w:cs="仿宋_GB2312" w:hint="eastAsia"/>
                <w:bCs/>
                <w:color w:val="000000"/>
                <w:kern w:val="0"/>
                <w:sz w:val="28"/>
                <w:szCs w:val="28"/>
              </w:rPr>
              <w:t>五</w:t>
            </w:r>
            <w:r w:rsidR="00922500" w:rsidRPr="00922500">
              <w:rPr>
                <w:rFonts w:ascii="方正黑体_GBK" w:eastAsia="方正黑体_GBK" w:hAnsi="仿宋_GB2312" w:cs="仿宋_GB2312" w:hint="eastAsia"/>
                <w:bCs/>
                <w:color w:val="000000"/>
                <w:kern w:val="0"/>
                <w:sz w:val="28"/>
                <w:szCs w:val="28"/>
              </w:rPr>
              <w:t>、</w:t>
            </w:r>
            <w:r w:rsidR="00C17749" w:rsidRPr="00C17749">
              <w:rPr>
                <w:rFonts w:ascii="方正黑体_GBK" w:eastAsia="方正黑体_GBK" w:hAnsi="仿宋_GB2312" w:cs="仿宋_GB2312" w:hint="eastAsia"/>
                <w:bCs/>
                <w:color w:val="000000"/>
                <w:kern w:val="0"/>
                <w:sz w:val="28"/>
                <w:szCs w:val="28"/>
              </w:rPr>
              <w:t>新建的江津港和化工码头进度以及资本开支转固时间？</w:t>
            </w:r>
          </w:p>
          <w:p w:rsidR="0054321D" w:rsidRDefault="00C17749" w:rsidP="003E40C2">
            <w:pPr>
              <w:widowControl/>
              <w:spacing w:line="440" w:lineRule="exact"/>
              <w:ind w:firstLineChars="200" w:firstLine="560"/>
              <w:rPr>
                <w:rFonts w:ascii="方正仿宋_GBK" w:eastAsia="方正仿宋_GBK" w:hAnsi="仿宋_GB2312" w:cs="仿宋_GB2312"/>
                <w:bCs/>
                <w:color w:val="000000"/>
                <w:kern w:val="0"/>
                <w:sz w:val="28"/>
                <w:szCs w:val="28"/>
              </w:rPr>
            </w:pPr>
            <w:r w:rsidRPr="00C17749">
              <w:rPr>
                <w:rFonts w:ascii="方正仿宋_GBK" w:eastAsia="方正仿宋_GBK" w:hAnsi="仿宋_GB2312" w:cs="仿宋_GB2312" w:hint="eastAsia"/>
                <w:bCs/>
                <w:color w:val="000000"/>
                <w:kern w:val="0"/>
                <w:sz w:val="28"/>
                <w:szCs w:val="28"/>
              </w:rPr>
              <w:t>重庆港江津港区兰家沱作业区一期改建工程于2025年2月竣工验收并转固；重庆港长寿冯家湾作业区化工码头二期工程于2024年9月竣工验收并转固。</w:t>
            </w:r>
          </w:p>
          <w:p w:rsidR="00C17749" w:rsidRPr="00C17749" w:rsidRDefault="008C6E82" w:rsidP="00C17749">
            <w:pPr>
              <w:widowControl/>
              <w:spacing w:line="440" w:lineRule="exact"/>
              <w:ind w:firstLineChars="200" w:firstLine="560"/>
              <w:rPr>
                <w:rFonts w:ascii="方正黑体_GBK" w:eastAsia="方正黑体_GBK" w:hAnsi="仿宋_GB2312" w:cs="仿宋_GB2312"/>
                <w:bCs/>
                <w:color w:val="000000"/>
                <w:kern w:val="0"/>
                <w:sz w:val="28"/>
                <w:szCs w:val="28"/>
              </w:rPr>
            </w:pPr>
            <w:r>
              <w:rPr>
                <w:rFonts w:ascii="方正黑体_GBK" w:eastAsia="方正黑体_GBK" w:hAnsi="仿宋_GB2312" w:cs="仿宋_GB2312" w:hint="eastAsia"/>
                <w:bCs/>
                <w:color w:val="000000"/>
                <w:kern w:val="0"/>
                <w:sz w:val="28"/>
                <w:szCs w:val="28"/>
              </w:rPr>
              <w:t>六</w:t>
            </w:r>
            <w:r w:rsidR="00C17749">
              <w:rPr>
                <w:rFonts w:ascii="方正黑体_GBK" w:eastAsia="方正黑体_GBK" w:hAnsi="仿宋_GB2312" w:cs="仿宋_GB2312" w:hint="eastAsia"/>
                <w:bCs/>
                <w:color w:val="000000"/>
                <w:kern w:val="0"/>
                <w:sz w:val="28"/>
                <w:szCs w:val="28"/>
              </w:rPr>
              <w:t>、</w:t>
            </w:r>
            <w:r w:rsidR="00ED6238">
              <w:rPr>
                <w:rFonts w:ascii="方正黑体_GBK" w:eastAsia="方正黑体_GBK" w:hAnsi="仿宋_GB2312" w:cs="仿宋_GB2312" w:hint="eastAsia"/>
                <w:bCs/>
                <w:color w:val="000000"/>
                <w:kern w:val="0"/>
                <w:sz w:val="28"/>
                <w:szCs w:val="28"/>
              </w:rPr>
              <w:t>公司</w:t>
            </w:r>
            <w:r w:rsidR="00C17749" w:rsidRPr="00C17749">
              <w:rPr>
                <w:rFonts w:ascii="方正黑体_GBK" w:eastAsia="方正黑体_GBK" w:hAnsi="仿宋_GB2312" w:cs="仿宋_GB2312" w:hint="eastAsia"/>
                <w:bCs/>
                <w:color w:val="000000"/>
                <w:kern w:val="0"/>
                <w:sz w:val="28"/>
                <w:szCs w:val="28"/>
              </w:rPr>
              <w:t>股价长期破净，市值管理规划？</w:t>
            </w:r>
          </w:p>
          <w:p w:rsidR="00C17749" w:rsidRPr="00C17749" w:rsidRDefault="00C17749" w:rsidP="00C17749">
            <w:pPr>
              <w:widowControl/>
              <w:spacing w:line="440" w:lineRule="exact"/>
              <w:ind w:firstLineChars="200" w:firstLine="560"/>
              <w:rPr>
                <w:rFonts w:ascii="方正仿宋_GBK" w:eastAsia="方正仿宋_GBK" w:hAnsi="仿宋_GB2312" w:cs="仿宋_GB2312"/>
                <w:bCs/>
                <w:color w:val="000000"/>
                <w:kern w:val="0"/>
                <w:sz w:val="28"/>
                <w:szCs w:val="28"/>
              </w:rPr>
            </w:pPr>
            <w:r w:rsidRPr="00C17749">
              <w:rPr>
                <w:rFonts w:ascii="方正仿宋_GBK" w:eastAsia="方正仿宋_GBK" w:hAnsi="仿宋_GB2312" w:cs="仿宋_GB2312" w:hint="eastAsia"/>
                <w:bCs/>
                <w:color w:val="000000"/>
                <w:kern w:val="0"/>
                <w:sz w:val="28"/>
                <w:szCs w:val="28"/>
              </w:rPr>
              <w:t>二级市场的股价受宏观经济、市场形势、投资者情绪等多种因素影响，具有不确定性，还请注意投资风险。</w:t>
            </w:r>
          </w:p>
          <w:p w:rsidR="00C17749" w:rsidRDefault="00C17749" w:rsidP="00C17749">
            <w:pPr>
              <w:widowControl/>
              <w:spacing w:line="440" w:lineRule="exact"/>
              <w:ind w:firstLineChars="200" w:firstLine="560"/>
              <w:rPr>
                <w:rFonts w:ascii="方正仿宋_GBK" w:eastAsia="方正仿宋_GBK" w:hAnsi="仿宋_GB2312" w:cs="仿宋_GB2312"/>
                <w:bCs/>
                <w:color w:val="000000"/>
                <w:kern w:val="0"/>
                <w:sz w:val="28"/>
                <w:szCs w:val="28"/>
              </w:rPr>
            </w:pPr>
            <w:r w:rsidRPr="00C17749">
              <w:rPr>
                <w:rFonts w:ascii="方正仿宋_GBK" w:eastAsia="方正仿宋_GBK" w:hAnsi="仿宋_GB2312" w:cs="仿宋_GB2312" w:hint="eastAsia"/>
                <w:bCs/>
                <w:color w:val="000000"/>
                <w:kern w:val="0"/>
                <w:sz w:val="28"/>
                <w:szCs w:val="28"/>
              </w:rPr>
              <w:t>公司高度重视市值管理，一方面将持续做优做强主业，提升公司经营效益；另一方面公司将加强与资本市场的沟通，通过业绩说明会、接待机构投资者调研等方式持续传递公司价值，增进投资者对公司价值的认同。</w:t>
            </w:r>
          </w:p>
          <w:p w:rsidR="00ED6238" w:rsidRPr="00ED6238" w:rsidRDefault="008C6E82" w:rsidP="00ED6238">
            <w:pPr>
              <w:widowControl/>
              <w:spacing w:line="440" w:lineRule="exact"/>
              <w:ind w:firstLineChars="200" w:firstLine="560"/>
              <w:rPr>
                <w:rFonts w:ascii="方正黑体_GBK" w:eastAsia="方正黑体_GBK" w:hAnsi="仿宋_GB2312" w:cs="仿宋_GB2312"/>
                <w:bCs/>
                <w:color w:val="000000"/>
                <w:kern w:val="0"/>
                <w:sz w:val="28"/>
                <w:szCs w:val="28"/>
              </w:rPr>
            </w:pPr>
            <w:r>
              <w:rPr>
                <w:rFonts w:ascii="方正黑体_GBK" w:eastAsia="方正黑体_GBK" w:hAnsi="仿宋_GB2312" w:cs="仿宋_GB2312" w:hint="eastAsia"/>
                <w:bCs/>
                <w:color w:val="000000"/>
                <w:kern w:val="0"/>
                <w:sz w:val="28"/>
                <w:szCs w:val="28"/>
              </w:rPr>
              <w:t>七</w:t>
            </w:r>
            <w:bookmarkStart w:id="1" w:name="_GoBack"/>
            <w:bookmarkEnd w:id="1"/>
            <w:r w:rsidR="00ED6238" w:rsidRPr="00ED6238">
              <w:rPr>
                <w:rFonts w:ascii="方正黑体_GBK" w:eastAsia="方正黑体_GBK" w:hAnsi="仿宋_GB2312" w:cs="仿宋_GB2312"/>
                <w:bCs/>
                <w:color w:val="000000"/>
                <w:kern w:val="0"/>
                <w:sz w:val="28"/>
                <w:szCs w:val="28"/>
              </w:rPr>
              <w:t>、</w:t>
            </w:r>
            <w:r w:rsidR="00ED6238" w:rsidRPr="00ED6238">
              <w:rPr>
                <w:rFonts w:ascii="方正黑体_GBK" w:eastAsia="方正黑体_GBK" w:hAnsi="仿宋_GB2312" w:cs="仿宋_GB2312" w:hint="eastAsia"/>
                <w:bCs/>
                <w:color w:val="000000"/>
                <w:kern w:val="0"/>
                <w:sz w:val="28"/>
                <w:szCs w:val="28"/>
              </w:rPr>
              <w:t>重庆物流集团</w:t>
            </w:r>
            <w:r w:rsidR="00ED6238" w:rsidRPr="00ED6238">
              <w:rPr>
                <w:rFonts w:ascii="方正黑体_GBK" w:eastAsia="方正黑体_GBK" w:hAnsi="仿宋_GB2312" w:cs="仿宋_GB2312"/>
                <w:bCs/>
                <w:color w:val="000000"/>
                <w:kern w:val="0"/>
                <w:sz w:val="28"/>
                <w:szCs w:val="28"/>
              </w:rPr>
              <w:t>与</w:t>
            </w:r>
            <w:r w:rsidR="00ED6238" w:rsidRPr="00ED6238">
              <w:rPr>
                <w:rFonts w:ascii="方正黑体_GBK" w:eastAsia="方正黑体_GBK" w:hAnsi="仿宋_GB2312" w:cs="仿宋_GB2312" w:hint="eastAsia"/>
                <w:bCs/>
                <w:color w:val="000000"/>
                <w:kern w:val="0"/>
                <w:sz w:val="28"/>
                <w:szCs w:val="28"/>
              </w:rPr>
              <w:t>中国物流集团合作的相关事宜，</w:t>
            </w:r>
            <w:r w:rsidR="00ED6238" w:rsidRPr="00ED6238">
              <w:rPr>
                <w:rFonts w:ascii="方正黑体_GBK" w:eastAsia="方正黑体_GBK" w:hAnsi="仿宋_GB2312" w:cs="仿宋_GB2312"/>
                <w:bCs/>
                <w:color w:val="000000"/>
                <w:kern w:val="0"/>
                <w:sz w:val="28"/>
                <w:szCs w:val="28"/>
              </w:rPr>
              <w:t>进展如何</w:t>
            </w:r>
            <w:r w:rsidR="00ED6238" w:rsidRPr="00ED6238">
              <w:rPr>
                <w:rFonts w:ascii="方正黑体_GBK" w:eastAsia="方正黑体_GBK" w:hAnsi="仿宋_GB2312" w:cs="仿宋_GB2312" w:hint="eastAsia"/>
                <w:bCs/>
                <w:color w:val="000000"/>
                <w:kern w:val="0"/>
                <w:sz w:val="28"/>
                <w:szCs w:val="28"/>
              </w:rPr>
              <w:t>？</w:t>
            </w:r>
          </w:p>
          <w:p w:rsidR="00ED6238" w:rsidRPr="0054321D" w:rsidRDefault="00ED6238" w:rsidP="00ED6238">
            <w:pPr>
              <w:widowControl/>
              <w:spacing w:line="440" w:lineRule="exact"/>
              <w:ind w:firstLineChars="200" w:firstLine="560"/>
              <w:rPr>
                <w:rFonts w:ascii="方正仿宋_GBK" w:eastAsia="方正仿宋_GBK" w:hAnsi="仿宋_GB2312" w:cs="仿宋_GB2312"/>
                <w:bCs/>
                <w:color w:val="000000"/>
                <w:kern w:val="0"/>
                <w:sz w:val="28"/>
                <w:szCs w:val="28"/>
              </w:rPr>
            </w:pPr>
            <w:r w:rsidRPr="00ED6238">
              <w:rPr>
                <w:rFonts w:ascii="方正仿宋_GBK" w:eastAsia="方正仿宋_GBK" w:hAnsi="仿宋_GB2312" w:cs="仿宋_GB2312" w:hint="eastAsia"/>
                <w:bCs/>
                <w:color w:val="000000"/>
                <w:kern w:val="0"/>
                <w:sz w:val="28"/>
                <w:szCs w:val="28"/>
              </w:rPr>
              <w:lastRenderedPageBreak/>
              <w:t>中国物流集团和重庆物流集团战略整合或将导致重庆港控股股东和实际控制人发生变更，公司将严格按照信息披露相关规定及时履行信息披露义务，请关注公司后续公告。</w:t>
            </w:r>
          </w:p>
        </w:tc>
      </w:tr>
      <w:tr w:rsidR="00AA3D57" w:rsidRPr="00BE55D0" w:rsidTr="00E9788F">
        <w:trPr>
          <w:trHeight w:val="630"/>
          <w:jc w:val="center"/>
        </w:trPr>
        <w:tc>
          <w:tcPr>
            <w:tcW w:w="2552" w:type="dxa"/>
            <w:vAlign w:val="center"/>
          </w:tcPr>
          <w:p w:rsidR="00AA3D57" w:rsidRDefault="00AA3D57" w:rsidP="00AA3D57">
            <w:pPr>
              <w:spacing w:line="400" w:lineRule="exact"/>
              <w:jc w:val="center"/>
              <w:rPr>
                <w:rFonts w:asciiTheme="minorEastAsia" w:hAnsiTheme="minorEastAsia"/>
                <w:color w:val="000000" w:themeColor="text1"/>
                <w:sz w:val="28"/>
                <w:szCs w:val="28"/>
              </w:rPr>
            </w:pPr>
            <w:r>
              <w:rPr>
                <w:rFonts w:asciiTheme="minorEastAsia" w:hAnsiTheme="minorEastAsia" w:hint="eastAsia"/>
                <w:color w:val="000000" w:themeColor="text1"/>
                <w:sz w:val="28"/>
                <w:szCs w:val="28"/>
              </w:rPr>
              <w:lastRenderedPageBreak/>
              <w:t>附件清单（如有）</w:t>
            </w:r>
          </w:p>
        </w:tc>
        <w:tc>
          <w:tcPr>
            <w:tcW w:w="6663" w:type="dxa"/>
            <w:vAlign w:val="center"/>
          </w:tcPr>
          <w:p w:rsidR="00AA3D57" w:rsidRPr="00584E7D" w:rsidRDefault="00AA3D57" w:rsidP="00AA3D57">
            <w:pPr>
              <w:jc w:val="left"/>
              <w:rPr>
                <w:rFonts w:ascii="宋体" w:eastAsia="宋体" w:hAnsi="宋体"/>
                <w:color w:val="000000" w:themeColor="text1"/>
                <w:sz w:val="28"/>
                <w:szCs w:val="28"/>
              </w:rPr>
            </w:pPr>
            <w:r w:rsidRPr="00584E7D">
              <w:rPr>
                <w:rFonts w:ascii="宋体" w:eastAsia="宋体" w:hAnsi="宋体"/>
                <w:color w:val="000000" w:themeColor="text1"/>
                <w:sz w:val="28"/>
                <w:szCs w:val="28"/>
              </w:rPr>
              <w:t>无</w:t>
            </w:r>
          </w:p>
        </w:tc>
      </w:tr>
    </w:tbl>
    <w:p w:rsidR="00124829" w:rsidRPr="00AA3D57" w:rsidRDefault="00124829" w:rsidP="00AA3D57">
      <w:pPr>
        <w:widowControl/>
        <w:jc w:val="left"/>
        <w:rPr>
          <w:color w:val="000000" w:themeColor="text1"/>
        </w:rPr>
      </w:pPr>
    </w:p>
    <w:sectPr w:rsidR="00124829" w:rsidRPr="00AA3D57">
      <w:footerReference w:type="default" r:id="rId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214AE" w:rsidRDefault="004214AE">
      <w:r>
        <w:separator/>
      </w:r>
    </w:p>
  </w:endnote>
  <w:endnote w:type="continuationSeparator" w:id="0">
    <w:p w:rsidR="004214AE" w:rsidRDefault="004214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pingfang sc">
    <w:altName w:val="Microsoft YaHei UI"/>
    <w:charset w:val="86"/>
    <w:family w:val="auto"/>
    <w:pitch w:val="default"/>
    <w:sig w:usb0="00000000" w:usb1="00000000" w:usb2="00000017" w:usb3="00000000" w:csb0="00040001" w:csb1="00000000"/>
  </w:font>
  <w:font w:name="Helvetica Neue">
    <w:altName w:val="Times New Roman"/>
    <w:charset w:val="00"/>
    <w:family w:val="auto"/>
    <w:pitch w:val="default"/>
    <w:sig w:usb0="00000000" w:usb1="00000000" w:usb2="00000010" w:usb3="00000000" w:csb0="00000000" w:csb1="00000000"/>
  </w:font>
  <w:font w:name="方正仿宋_GBK">
    <w:panose1 w:val="03000509000000000000"/>
    <w:charset w:val="86"/>
    <w:family w:val="script"/>
    <w:pitch w:val="fixed"/>
    <w:sig w:usb0="00000001" w:usb1="080E0000" w:usb2="00000010" w:usb3="00000000" w:csb0="00040000" w:csb1="00000000"/>
  </w:font>
  <w:font w:name="方正黑体_GBK">
    <w:panose1 w:val="03000509000000000000"/>
    <w:charset w:val="86"/>
    <w:family w:val="script"/>
    <w:pitch w:val="fixed"/>
    <w:sig w:usb0="00000001" w:usb1="080E0000" w:usb2="00000010" w:usb3="00000000" w:csb0="00040000" w:csb1="00000000"/>
  </w:font>
  <w:font w:name="仿宋_GB2312">
    <w:altName w:val="仿宋"/>
    <w:charset w:val="86"/>
    <w:family w:val="modern"/>
    <w:pitch w:val="default"/>
    <w:sig w:usb0="00000000" w:usb1="00000000" w:usb2="0000000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46038838"/>
      <w:showingPlcHdr/>
    </w:sdtPr>
    <w:sdtEndPr/>
    <w:sdtContent>
      <w:p w:rsidR="00124829" w:rsidRDefault="00924FA1">
        <w:pPr>
          <w:pStyle w:val="a4"/>
          <w:jc w:val="center"/>
        </w:pPr>
        <w:r>
          <w:t xml:space="preserve">     </w:t>
        </w:r>
      </w:p>
    </w:sdtContent>
  </w:sdt>
  <w:p w:rsidR="00124829" w:rsidRDefault="00124829">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214AE" w:rsidRDefault="004214AE">
      <w:r>
        <w:separator/>
      </w:r>
    </w:p>
  </w:footnote>
  <w:footnote w:type="continuationSeparator" w:id="0">
    <w:p w:rsidR="004214AE" w:rsidRDefault="004214A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E93A9D15"/>
    <w:multiLevelType w:val="singleLevel"/>
    <w:tmpl w:val="E93A9D15"/>
    <w:lvl w:ilvl="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GI1YjU3Y2NjNjdjMmM2ZTg1ZDQ3ZTZjY2Y2NTQ1MTAifQ=="/>
  </w:docVars>
  <w:rsids>
    <w:rsidRoot w:val="00DD01C5"/>
    <w:rsid w:val="00003052"/>
    <w:rsid w:val="00004C21"/>
    <w:rsid w:val="0000578E"/>
    <w:rsid w:val="00006E25"/>
    <w:rsid w:val="000178CB"/>
    <w:rsid w:val="000217E3"/>
    <w:rsid w:val="0002775F"/>
    <w:rsid w:val="00040243"/>
    <w:rsid w:val="000432D8"/>
    <w:rsid w:val="000437FF"/>
    <w:rsid w:val="000447AE"/>
    <w:rsid w:val="00045F96"/>
    <w:rsid w:val="0004684F"/>
    <w:rsid w:val="00046ABF"/>
    <w:rsid w:val="00047B41"/>
    <w:rsid w:val="00047CC6"/>
    <w:rsid w:val="00052E32"/>
    <w:rsid w:val="00060C40"/>
    <w:rsid w:val="000642CB"/>
    <w:rsid w:val="00067A3B"/>
    <w:rsid w:val="00072F3D"/>
    <w:rsid w:val="00077D7E"/>
    <w:rsid w:val="000856CB"/>
    <w:rsid w:val="00086687"/>
    <w:rsid w:val="00092E36"/>
    <w:rsid w:val="000A6E8E"/>
    <w:rsid w:val="000A6F28"/>
    <w:rsid w:val="000B06A3"/>
    <w:rsid w:val="000C1DFC"/>
    <w:rsid w:val="000D3DD7"/>
    <w:rsid w:val="000D5EEC"/>
    <w:rsid w:val="000E5C81"/>
    <w:rsid w:val="000F7CBE"/>
    <w:rsid w:val="00112053"/>
    <w:rsid w:val="00113B24"/>
    <w:rsid w:val="00114601"/>
    <w:rsid w:val="00114978"/>
    <w:rsid w:val="00117973"/>
    <w:rsid w:val="00120D31"/>
    <w:rsid w:val="00121F50"/>
    <w:rsid w:val="00124829"/>
    <w:rsid w:val="0012601F"/>
    <w:rsid w:val="00126A56"/>
    <w:rsid w:val="00135EE8"/>
    <w:rsid w:val="00140198"/>
    <w:rsid w:val="001435CC"/>
    <w:rsid w:val="001565FC"/>
    <w:rsid w:val="00162408"/>
    <w:rsid w:val="00162FC4"/>
    <w:rsid w:val="00164862"/>
    <w:rsid w:val="00175C6D"/>
    <w:rsid w:val="00175EDC"/>
    <w:rsid w:val="001761C2"/>
    <w:rsid w:val="00180D21"/>
    <w:rsid w:val="00180D5E"/>
    <w:rsid w:val="00181F14"/>
    <w:rsid w:val="0018208C"/>
    <w:rsid w:val="001824F6"/>
    <w:rsid w:val="001920AE"/>
    <w:rsid w:val="0019242E"/>
    <w:rsid w:val="001947BE"/>
    <w:rsid w:val="00197D62"/>
    <w:rsid w:val="001A1871"/>
    <w:rsid w:val="001A1CC6"/>
    <w:rsid w:val="001A39A9"/>
    <w:rsid w:val="001A44FE"/>
    <w:rsid w:val="001A5043"/>
    <w:rsid w:val="001B1191"/>
    <w:rsid w:val="001B723E"/>
    <w:rsid w:val="001B7710"/>
    <w:rsid w:val="001C2A4B"/>
    <w:rsid w:val="001D44AE"/>
    <w:rsid w:val="001D664A"/>
    <w:rsid w:val="001E16A7"/>
    <w:rsid w:val="001E17B5"/>
    <w:rsid w:val="001E1E43"/>
    <w:rsid w:val="001E5631"/>
    <w:rsid w:val="001F2134"/>
    <w:rsid w:val="001F5A2F"/>
    <w:rsid w:val="001F5E6C"/>
    <w:rsid w:val="001F6F87"/>
    <w:rsid w:val="00202745"/>
    <w:rsid w:val="00210B66"/>
    <w:rsid w:val="00214410"/>
    <w:rsid w:val="002208B7"/>
    <w:rsid w:val="002253B4"/>
    <w:rsid w:val="00226EC9"/>
    <w:rsid w:val="00234ACD"/>
    <w:rsid w:val="00247CF5"/>
    <w:rsid w:val="0025048A"/>
    <w:rsid w:val="00250FBA"/>
    <w:rsid w:val="00252913"/>
    <w:rsid w:val="00252B6A"/>
    <w:rsid w:val="00256B91"/>
    <w:rsid w:val="00257786"/>
    <w:rsid w:val="002622A5"/>
    <w:rsid w:val="00263C3B"/>
    <w:rsid w:val="00263F37"/>
    <w:rsid w:val="00265C2F"/>
    <w:rsid w:val="002717F7"/>
    <w:rsid w:val="00272102"/>
    <w:rsid w:val="00273A03"/>
    <w:rsid w:val="002974B9"/>
    <w:rsid w:val="002A5733"/>
    <w:rsid w:val="002B55CF"/>
    <w:rsid w:val="002C1955"/>
    <w:rsid w:val="002C4EB5"/>
    <w:rsid w:val="002C71A9"/>
    <w:rsid w:val="002D1C9E"/>
    <w:rsid w:val="002D2376"/>
    <w:rsid w:val="002D6E39"/>
    <w:rsid w:val="002D798E"/>
    <w:rsid w:val="002D7BF2"/>
    <w:rsid w:val="002E30FB"/>
    <w:rsid w:val="002E4DF7"/>
    <w:rsid w:val="00302C7F"/>
    <w:rsid w:val="00310890"/>
    <w:rsid w:val="00316D55"/>
    <w:rsid w:val="00326A08"/>
    <w:rsid w:val="003307FF"/>
    <w:rsid w:val="00334E01"/>
    <w:rsid w:val="00337D40"/>
    <w:rsid w:val="0034363F"/>
    <w:rsid w:val="00344FAB"/>
    <w:rsid w:val="003519F5"/>
    <w:rsid w:val="003559BD"/>
    <w:rsid w:val="00372377"/>
    <w:rsid w:val="003737DB"/>
    <w:rsid w:val="003758C0"/>
    <w:rsid w:val="00376AE7"/>
    <w:rsid w:val="00396C9D"/>
    <w:rsid w:val="00397A80"/>
    <w:rsid w:val="003A19A9"/>
    <w:rsid w:val="003A4828"/>
    <w:rsid w:val="003A56D7"/>
    <w:rsid w:val="003A6A5F"/>
    <w:rsid w:val="003B050E"/>
    <w:rsid w:val="003B675A"/>
    <w:rsid w:val="003C4053"/>
    <w:rsid w:val="003C5AB0"/>
    <w:rsid w:val="003C70CA"/>
    <w:rsid w:val="003E0602"/>
    <w:rsid w:val="003E1894"/>
    <w:rsid w:val="003E2D77"/>
    <w:rsid w:val="003E40C2"/>
    <w:rsid w:val="00403BA5"/>
    <w:rsid w:val="00405C63"/>
    <w:rsid w:val="004104AF"/>
    <w:rsid w:val="00410C2C"/>
    <w:rsid w:val="00413876"/>
    <w:rsid w:val="004214AE"/>
    <w:rsid w:val="004236E6"/>
    <w:rsid w:val="00426A96"/>
    <w:rsid w:val="00431207"/>
    <w:rsid w:val="00432E9D"/>
    <w:rsid w:val="00443ECA"/>
    <w:rsid w:val="00451665"/>
    <w:rsid w:val="004526DF"/>
    <w:rsid w:val="00454FF6"/>
    <w:rsid w:val="00455B5B"/>
    <w:rsid w:val="00455FD4"/>
    <w:rsid w:val="0045766D"/>
    <w:rsid w:val="00462EB3"/>
    <w:rsid w:val="00466AF3"/>
    <w:rsid w:val="00472AD8"/>
    <w:rsid w:val="00474807"/>
    <w:rsid w:val="004754C5"/>
    <w:rsid w:val="00487FF2"/>
    <w:rsid w:val="004B0150"/>
    <w:rsid w:val="004C3C4D"/>
    <w:rsid w:val="004C57B5"/>
    <w:rsid w:val="004C7168"/>
    <w:rsid w:val="004D55E0"/>
    <w:rsid w:val="004E328D"/>
    <w:rsid w:val="004F1467"/>
    <w:rsid w:val="004F1F14"/>
    <w:rsid w:val="004F2E6B"/>
    <w:rsid w:val="004F6A3A"/>
    <w:rsid w:val="004F7315"/>
    <w:rsid w:val="0050191C"/>
    <w:rsid w:val="00501BD5"/>
    <w:rsid w:val="00506637"/>
    <w:rsid w:val="0050758A"/>
    <w:rsid w:val="0052081B"/>
    <w:rsid w:val="0052269B"/>
    <w:rsid w:val="00525A3F"/>
    <w:rsid w:val="005410D7"/>
    <w:rsid w:val="0054154B"/>
    <w:rsid w:val="00541D46"/>
    <w:rsid w:val="0054321D"/>
    <w:rsid w:val="005436F7"/>
    <w:rsid w:val="00544814"/>
    <w:rsid w:val="005466D9"/>
    <w:rsid w:val="005571F1"/>
    <w:rsid w:val="0056034C"/>
    <w:rsid w:val="00565C42"/>
    <w:rsid w:val="00574E39"/>
    <w:rsid w:val="005853D5"/>
    <w:rsid w:val="00586A8D"/>
    <w:rsid w:val="00590371"/>
    <w:rsid w:val="005941DC"/>
    <w:rsid w:val="005A2A33"/>
    <w:rsid w:val="005B03E7"/>
    <w:rsid w:val="005B0415"/>
    <w:rsid w:val="005B3DDA"/>
    <w:rsid w:val="005B55C1"/>
    <w:rsid w:val="005C4077"/>
    <w:rsid w:val="005D199D"/>
    <w:rsid w:val="005D1C48"/>
    <w:rsid w:val="005D24DE"/>
    <w:rsid w:val="005D5248"/>
    <w:rsid w:val="005D59A8"/>
    <w:rsid w:val="005E60C3"/>
    <w:rsid w:val="00620D56"/>
    <w:rsid w:val="006215AD"/>
    <w:rsid w:val="00631256"/>
    <w:rsid w:val="00643E13"/>
    <w:rsid w:val="00647B19"/>
    <w:rsid w:val="006511B6"/>
    <w:rsid w:val="00655538"/>
    <w:rsid w:val="0065575D"/>
    <w:rsid w:val="00656367"/>
    <w:rsid w:val="006567F8"/>
    <w:rsid w:val="00656E3F"/>
    <w:rsid w:val="006604C6"/>
    <w:rsid w:val="00663180"/>
    <w:rsid w:val="0066541D"/>
    <w:rsid w:val="0066656C"/>
    <w:rsid w:val="006768E7"/>
    <w:rsid w:val="00687AF0"/>
    <w:rsid w:val="006915BE"/>
    <w:rsid w:val="006A51CF"/>
    <w:rsid w:val="006A7638"/>
    <w:rsid w:val="006C0098"/>
    <w:rsid w:val="006C062C"/>
    <w:rsid w:val="006C1ABC"/>
    <w:rsid w:val="006C42F5"/>
    <w:rsid w:val="006D058F"/>
    <w:rsid w:val="006D369C"/>
    <w:rsid w:val="006D7972"/>
    <w:rsid w:val="006E035C"/>
    <w:rsid w:val="006E05C9"/>
    <w:rsid w:val="006E5BC3"/>
    <w:rsid w:val="006E7E23"/>
    <w:rsid w:val="006F1CDA"/>
    <w:rsid w:val="00707B25"/>
    <w:rsid w:val="00717754"/>
    <w:rsid w:val="00724AF2"/>
    <w:rsid w:val="00732F7F"/>
    <w:rsid w:val="00734F0D"/>
    <w:rsid w:val="00744071"/>
    <w:rsid w:val="00752F4A"/>
    <w:rsid w:val="0075509E"/>
    <w:rsid w:val="007641CD"/>
    <w:rsid w:val="00772F1C"/>
    <w:rsid w:val="00774384"/>
    <w:rsid w:val="0077507D"/>
    <w:rsid w:val="0078250E"/>
    <w:rsid w:val="0079047F"/>
    <w:rsid w:val="007912C6"/>
    <w:rsid w:val="0079389D"/>
    <w:rsid w:val="007A5BBD"/>
    <w:rsid w:val="007A6643"/>
    <w:rsid w:val="007B1AA9"/>
    <w:rsid w:val="007B4E25"/>
    <w:rsid w:val="007C6524"/>
    <w:rsid w:val="007D18F9"/>
    <w:rsid w:val="007D4F27"/>
    <w:rsid w:val="007D702A"/>
    <w:rsid w:val="007E36B2"/>
    <w:rsid w:val="007E6011"/>
    <w:rsid w:val="007F0B66"/>
    <w:rsid w:val="007F14CE"/>
    <w:rsid w:val="00800409"/>
    <w:rsid w:val="00803E9D"/>
    <w:rsid w:val="0080691A"/>
    <w:rsid w:val="0081571D"/>
    <w:rsid w:val="008254EC"/>
    <w:rsid w:val="0083148C"/>
    <w:rsid w:val="00832C5B"/>
    <w:rsid w:val="00833931"/>
    <w:rsid w:val="0083522A"/>
    <w:rsid w:val="00835E78"/>
    <w:rsid w:val="008466C1"/>
    <w:rsid w:val="0085119E"/>
    <w:rsid w:val="00857770"/>
    <w:rsid w:val="008646BC"/>
    <w:rsid w:val="0086746D"/>
    <w:rsid w:val="00881CF9"/>
    <w:rsid w:val="00885ED2"/>
    <w:rsid w:val="008925D1"/>
    <w:rsid w:val="00895CF5"/>
    <w:rsid w:val="008A3B9A"/>
    <w:rsid w:val="008A6EC2"/>
    <w:rsid w:val="008B15F1"/>
    <w:rsid w:val="008B7802"/>
    <w:rsid w:val="008C17F5"/>
    <w:rsid w:val="008C6E82"/>
    <w:rsid w:val="008D1114"/>
    <w:rsid w:val="008D168C"/>
    <w:rsid w:val="008D53C2"/>
    <w:rsid w:val="008E3144"/>
    <w:rsid w:val="008F4A91"/>
    <w:rsid w:val="008F5158"/>
    <w:rsid w:val="00902082"/>
    <w:rsid w:val="0090376D"/>
    <w:rsid w:val="00910597"/>
    <w:rsid w:val="00912860"/>
    <w:rsid w:val="00912F25"/>
    <w:rsid w:val="00913B7D"/>
    <w:rsid w:val="00922500"/>
    <w:rsid w:val="00924332"/>
    <w:rsid w:val="00924FA1"/>
    <w:rsid w:val="00931362"/>
    <w:rsid w:val="00934CA0"/>
    <w:rsid w:val="009354EC"/>
    <w:rsid w:val="009536D0"/>
    <w:rsid w:val="00956EA8"/>
    <w:rsid w:val="0095710A"/>
    <w:rsid w:val="009577D8"/>
    <w:rsid w:val="00961D7E"/>
    <w:rsid w:val="00970910"/>
    <w:rsid w:val="00972C5E"/>
    <w:rsid w:val="009743F1"/>
    <w:rsid w:val="009862A3"/>
    <w:rsid w:val="009940C5"/>
    <w:rsid w:val="00995210"/>
    <w:rsid w:val="00995797"/>
    <w:rsid w:val="009A19E8"/>
    <w:rsid w:val="009A2694"/>
    <w:rsid w:val="009A5B91"/>
    <w:rsid w:val="009A7113"/>
    <w:rsid w:val="009B27D3"/>
    <w:rsid w:val="009C1C63"/>
    <w:rsid w:val="009C2B67"/>
    <w:rsid w:val="009D5DED"/>
    <w:rsid w:val="009E2BFE"/>
    <w:rsid w:val="009E767A"/>
    <w:rsid w:val="009E7BCB"/>
    <w:rsid w:val="00A0005B"/>
    <w:rsid w:val="00A0427D"/>
    <w:rsid w:val="00A1241B"/>
    <w:rsid w:val="00A177AB"/>
    <w:rsid w:val="00A17C92"/>
    <w:rsid w:val="00A23D38"/>
    <w:rsid w:val="00A24195"/>
    <w:rsid w:val="00A34F23"/>
    <w:rsid w:val="00A4073E"/>
    <w:rsid w:val="00A44346"/>
    <w:rsid w:val="00A60464"/>
    <w:rsid w:val="00A70D31"/>
    <w:rsid w:val="00A75FBE"/>
    <w:rsid w:val="00A838F1"/>
    <w:rsid w:val="00A83C02"/>
    <w:rsid w:val="00A842C0"/>
    <w:rsid w:val="00A8686C"/>
    <w:rsid w:val="00A90DC2"/>
    <w:rsid w:val="00A97EC5"/>
    <w:rsid w:val="00AA1B63"/>
    <w:rsid w:val="00AA31CB"/>
    <w:rsid w:val="00AA3D57"/>
    <w:rsid w:val="00AA6DEE"/>
    <w:rsid w:val="00AB0F33"/>
    <w:rsid w:val="00AB2A9E"/>
    <w:rsid w:val="00AB4927"/>
    <w:rsid w:val="00AC704D"/>
    <w:rsid w:val="00AD38C6"/>
    <w:rsid w:val="00AE7E21"/>
    <w:rsid w:val="00AF13B9"/>
    <w:rsid w:val="00AF14EF"/>
    <w:rsid w:val="00B00CEB"/>
    <w:rsid w:val="00B05CF0"/>
    <w:rsid w:val="00B074EE"/>
    <w:rsid w:val="00B17519"/>
    <w:rsid w:val="00B178FA"/>
    <w:rsid w:val="00B23C5B"/>
    <w:rsid w:val="00B31041"/>
    <w:rsid w:val="00B341E4"/>
    <w:rsid w:val="00B4267E"/>
    <w:rsid w:val="00B5041F"/>
    <w:rsid w:val="00B5153C"/>
    <w:rsid w:val="00B542C8"/>
    <w:rsid w:val="00B55D87"/>
    <w:rsid w:val="00B606F2"/>
    <w:rsid w:val="00B63949"/>
    <w:rsid w:val="00B6534F"/>
    <w:rsid w:val="00B7197F"/>
    <w:rsid w:val="00B730D2"/>
    <w:rsid w:val="00B763FA"/>
    <w:rsid w:val="00B7683B"/>
    <w:rsid w:val="00B90E59"/>
    <w:rsid w:val="00BA1132"/>
    <w:rsid w:val="00BA3717"/>
    <w:rsid w:val="00BA47EB"/>
    <w:rsid w:val="00BA4F95"/>
    <w:rsid w:val="00BB0592"/>
    <w:rsid w:val="00BB0882"/>
    <w:rsid w:val="00BC144C"/>
    <w:rsid w:val="00BD4B1B"/>
    <w:rsid w:val="00BE2665"/>
    <w:rsid w:val="00BE4394"/>
    <w:rsid w:val="00BE55D0"/>
    <w:rsid w:val="00BF4B68"/>
    <w:rsid w:val="00BF53F3"/>
    <w:rsid w:val="00C01EDD"/>
    <w:rsid w:val="00C01FB2"/>
    <w:rsid w:val="00C07F0D"/>
    <w:rsid w:val="00C1486C"/>
    <w:rsid w:val="00C17749"/>
    <w:rsid w:val="00C256C0"/>
    <w:rsid w:val="00C358A0"/>
    <w:rsid w:val="00C405F6"/>
    <w:rsid w:val="00C44E63"/>
    <w:rsid w:val="00C46C7C"/>
    <w:rsid w:val="00C50748"/>
    <w:rsid w:val="00C509EA"/>
    <w:rsid w:val="00C540F4"/>
    <w:rsid w:val="00C54217"/>
    <w:rsid w:val="00C56D17"/>
    <w:rsid w:val="00C77462"/>
    <w:rsid w:val="00C80DDB"/>
    <w:rsid w:val="00C812E1"/>
    <w:rsid w:val="00C813AB"/>
    <w:rsid w:val="00C843CB"/>
    <w:rsid w:val="00C9095F"/>
    <w:rsid w:val="00C951B7"/>
    <w:rsid w:val="00C959F0"/>
    <w:rsid w:val="00C9749A"/>
    <w:rsid w:val="00C97C3B"/>
    <w:rsid w:val="00CA2E92"/>
    <w:rsid w:val="00CB1E4F"/>
    <w:rsid w:val="00CB1E82"/>
    <w:rsid w:val="00CB6D23"/>
    <w:rsid w:val="00CC0208"/>
    <w:rsid w:val="00CC2D5B"/>
    <w:rsid w:val="00CD0ED2"/>
    <w:rsid w:val="00CD3D2F"/>
    <w:rsid w:val="00CD562E"/>
    <w:rsid w:val="00CD70E5"/>
    <w:rsid w:val="00CE21B2"/>
    <w:rsid w:val="00CE5A79"/>
    <w:rsid w:val="00CF4645"/>
    <w:rsid w:val="00D01625"/>
    <w:rsid w:val="00D052BE"/>
    <w:rsid w:val="00D07FF8"/>
    <w:rsid w:val="00D14BCC"/>
    <w:rsid w:val="00D26695"/>
    <w:rsid w:val="00D53C1B"/>
    <w:rsid w:val="00D5464D"/>
    <w:rsid w:val="00D57325"/>
    <w:rsid w:val="00D7231B"/>
    <w:rsid w:val="00D7568A"/>
    <w:rsid w:val="00D76583"/>
    <w:rsid w:val="00D80364"/>
    <w:rsid w:val="00D83E9C"/>
    <w:rsid w:val="00D85BCC"/>
    <w:rsid w:val="00D87CA9"/>
    <w:rsid w:val="00D91D22"/>
    <w:rsid w:val="00D92A3B"/>
    <w:rsid w:val="00D93051"/>
    <w:rsid w:val="00D94C87"/>
    <w:rsid w:val="00D952B2"/>
    <w:rsid w:val="00D961E6"/>
    <w:rsid w:val="00DA05ED"/>
    <w:rsid w:val="00DA7262"/>
    <w:rsid w:val="00DB36F6"/>
    <w:rsid w:val="00DB6D04"/>
    <w:rsid w:val="00DC08F8"/>
    <w:rsid w:val="00DC54F0"/>
    <w:rsid w:val="00DC56CF"/>
    <w:rsid w:val="00DD01C5"/>
    <w:rsid w:val="00DE0D56"/>
    <w:rsid w:val="00DE549D"/>
    <w:rsid w:val="00DF30A8"/>
    <w:rsid w:val="00DF70C0"/>
    <w:rsid w:val="00E05DB4"/>
    <w:rsid w:val="00E06218"/>
    <w:rsid w:val="00E114BB"/>
    <w:rsid w:val="00E17088"/>
    <w:rsid w:val="00E17CA3"/>
    <w:rsid w:val="00E226D9"/>
    <w:rsid w:val="00E2566B"/>
    <w:rsid w:val="00E30BF6"/>
    <w:rsid w:val="00E36DF8"/>
    <w:rsid w:val="00E45417"/>
    <w:rsid w:val="00E51E50"/>
    <w:rsid w:val="00E57D5D"/>
    <w:rsid w:val="00E602BD"/>
    <w:rsid w:val="00E64ADB"/>
    <w:rsid w:val="00E64C74"/>
    <w:rsid w:val="00E65839"/>
    <w:rsid w:val="00E813AD"/>
    <w:rsid w:val="00E81C9A"/>
    <w:rsid w:val="00E875DF"/>
    <w:rsid w:val="00E90279"/>
    <w:rsid w:val="00EC356B"/>
    <w:rsid w:val="00EC4B42"/>
    <w:rsid w:val="00ED0566"/>
    <w:rsid w:val="00ED6238"/>
    <w:rsid w:val="00EE078D"/>
    <w:rsid w:val="00EE3891"/>
    <w:rsid w:val="00EE546D"/>
    <w:rsid w:val="00EE6261"/>
    <w:rsid w:val="00EF001A"/>
    <w:rsid w:val="00EF0E5A"/>
    <w:rsid w:val="00EF230B"/>
    <w:rsid w:val="00EF35FA"/>
    <w:rsid w:val="00EF63BD"/>
    <w:rsid w:val="00F1335B"/>
    <w:rsid w:val="00F17DDC"/>
    <w:rsid w:val="00F21C7B"/>
    <w:rsid w:val="00F255C8"/>
    <w:rsid w:val="00F26913"/>
    <w:rsid w:val="00F27D7F"/>
    <w:rsid w:val="00F320D0"/>
    <w:rsid w:val="00F32123"/>
    <w:rsid w:val="00F47098"/>
    <w:rsid w:val="00F47A41"/>
    <w:rsid w:val="00F52A63"/>
    <w:rsid w:val="00F71DD6"/>
    <w:rsid w:val="00F725BD"/>
    <w:rsid w:val="00F8133C"/>
    <w:rsid w:val="00F86926"/>
    <w:rsid w:val="00F92355"/>
    <w:rsid w:val="00FA062E"/>
    <w:rsid w:val="00FA60E1"/>
    <w:rsid w:val="00FA67E1"/>
    <w:rsid w:val="00FB013D"/>
    <w:rsid w:val="00FB0EBC"/>
    <w:rsid w:val="00FB521A"/>
    <w:rsid w:val="00FB57E7"/>
    <w:rsid w:val="00FB6BFB"/>
    <w:rsid w:val="00FC3291"/>
    <w:rsid w:val="00FC7AB3"/>
    <w:rsid w:val="00FD08EE"/>
    <w:rsid w:val="00FD3F3B"/>
    <w:rsid w:val="00FD65D2"/>
    <w:rsid w:val="00FF0C20"/>
    <w:rsid w:val="00FF10D3"/>
    <w:rsid w:val="00FF5AD1"/>
    <w:rsid w:val="00FF7584"/>
    <w:rsid w:val="015A278C"/>
    <w:rsid w:val="01841AD9"/>
    <w:rsid w:val="01F42225"/>
    <w:rsid w:val="035D41B7"/>
    <w:rsid w:val="06380C2D"/>
    <w:rsid w:val="065546FA"/>
    <w:rsid w:val="065B0DB4"/>
    <w:rsid w:val="07FA6993"/>
    <w:rsid w:val="09784E53"/>
    <w:rsid w:val="0AE16324"/>
    <w:rsid w:val="0B0E051C"/>
    <w:rsid w:val="0B733CF6"/>
    <w:rsid w:val="0BC25540"/>
    <w:rsid w:val="0DAC1ABD"/>
    <w:rsid w:val="0EF3685E"/>
    <w:rsid w:val="0F586E52"/>
    <w:rsid w:val="1052374C"/>
    <w:rsid w:val="10EF1D90"/>
    <w:rsid w:val="1173042C"/>
    <w:rsid w:val="12503FC7"/>
    <w:rsid w:val="126604E0"/>
    <w:rsid w:val="133E0542"/>
    <w:rsid w:val="13496AD0"/>
    <w:rsid w:val="1606331B"/>
    <w:rsid w:val="1617568F"/>
    <w:rsid w:val="170840C9"/>
    <w:rsid w:val="17CC542D"/>
    <w:rsid w:val="18D71869"/>
    <w:rsid w:val="19033E95"/>
    <w:rsid w:val="1B824AF9"/>
    <w:rsid w:val="1BAE5FB6"/>
    <w:rsid w:val="1BD05EE4"/>
    <w:rsid w:val="1C485FCA"/>
    <w:rsid w:val="1C676ADD"/>
    <w:rsid w:val="1C9603CC"/>
    <w:rsid w:val="1E465D52"/>
    <w:rsid w:val="20980DD7"/>
    <w:rsid w:val="209E1BD1"/>
    <w:rsid w:val="20A06FFF"/>
    <w:rsid w:val="20D1684E"/>
    <w:rsid w:val="213A2E9A"/>
    <w:rsid w:val="21BE1799"/>
    <w:rsid w:val="22B71EAB"/>
    <w:rsid w:val="24FD1246"/>
    <w:rsid w:val="26317C2E"/>
    <w:rsid w:val="27036E0A"/>
    <w:rsid w:val="2A0C2A72"/>
    <w:rsid w:val="2A461F39"/>
    <w:rsid w:val="2E133D9A"/>
    <w:rsid w:val="2F7D7D2F"/>
    <w:rsid w:val="311F752F"/>
    <w:rsid w:val="321C0C74"/>
    <w:rsid w:val="33B006D5"/>
    <w:rsid w:val="34AD7C43"/>
    <w:rsid w:val="36445017"/>
    <w:rsid w:val="36F30723"/>
    <w:rsid w:val="391207AE"/>
    <w:rsid w:val="392C3965"/>
    <w:rsid w:val="3AF17846"/>
    <w:rsid w:val="3B062CE4"/>
    <w:rsid w:val="3B471872"/>
    <w:rsid w:val="3BA11C66"/>
    <w:rsid w:val="3C770EB3"/>
    <w:rsid w:val="3D0F315F"/>
    <w:rsid w:val="3D5F2A23"/>
    <w:rsid w:val="3E6A5786"/>
    <w:rsid w:val="3EB57BCB"/>
    <w:rsid w:val="3F161D6E"/>
    <w:rsid w:val="3F285F96"/>
    <w:rsid w:val="411A5BC1"/>
    <w:rsid w:val="41840B99"/>
    <w:rsid w:val="419F5DB5"/>
    <w:rsid w:val="41AA4870"/>
    <w:rsid w:val="43BB72E2"/>
    <w:rsid w:val="43F67429"/>
    <w:rsid w:val="441B32B1"/>
    <w:rsid w:val="44844C23"/>
    <w:rsid w:val="44EA4526"/>
    <w:rsid w:val="477E6CD0"/>
    <w:rsid w:val="47E43FFE"/>
    <w:rsid w:val="48175A4C"/>
    <w:rsid w:val="482D2B1B"/>
    <w:rsid w:val="493C6A78"/>
    <w:rsid w:val="4AA71836"/>
    <w:rsid w:val="4BE04E6C"/>
    <w:rsid w:val="4D382393"/>
    <w:rsid w:val="51DA5E53"/>
    <w:rsid w:val="523C5982"/>
    <w:rsid w:val="5256137D"/>
    <w:rsid w:val="52804889"/>
    <w:rsid w:val="533E6734"/>
    <w:rsid w:val="54C22117"/>
    <w:rsid w:val="56EE666F"/>
    <w:rsid w:val="57417094"/>
    <w:rsid w:val="57BD4A32"/>
    <w:rsid w:val="57CF2865"/>
    <w:rsid w:val="59013D38"/>
    <w:rsid w:val="5A4B1B2F"/>
    <w:rsid w:val="5B1C5E42"/>
    <w:rsid w:val="5CBE4F25"/>
    <w:rsid w:val="5D8B722E"/>
    <w:rsid w:val="5D953FE0"/>
    <w:rsid w:val="5E9A15CE"/>
    <w:rsid w:val="5FA559DA"/>
    <w:rsid w:val="5FDB2E14"/>
    <w:rsid w:val="606721D5"/>
    <w:rsid w:val="60A61921"/>
    <w:rsid w:val="611721D5"/>
    <w:rsid w:val="625E0A5E"/>
    <w:rsid w:val="62614F86"/>
    <w:rsid w:val="64DB03E4"/>
    <w:rsid w:val="654204C3"/>
    <w:rsid w:val="65DF45BB"/>
    <w:rsid w:val="660F53AE"/>
    <w:rsid w:val="668F7D8F"/>
    <w:rsid w:val="66DD25FD"/>
    <w:rsid w:val="67C7632F"/>
    <w:rsid w:val="680C4F78"/>
    <w:rsid w:val="697F5E1B"/>
    <w:rsid w:val="6981105B"/>
    <w:rsid w:val="6D182CDF"/>
    <w:rsid w:val="70F974A3"/>
    <w:rsid w:val="72B96C74"/>
    <w:rsid w:val="73E3171A"/>
    <w:rsid w:val="74E50F8A"/>
    <w:rsid w:val="753B103F"/>
    <w:rsid w:val="754C6CA4"/>
    <w:rsid w:val="758A5270"/>
    <w:rsid w:val="758D3AD9"/>
    <w:rsid w:val="76124C3A"/>
    <w:rsid w:val="767443E1"/>
    <w:rsid w:val="76845EAC"/>
    <w:rsid w:val="7BA80408"/>
    <w:rsid w:val="7C747128"/>
    <w:rsid w:val="7DEA02BE"/>
    <w:rsid w:val="7E206F3B"/>
    <w:rsid w:val="7F01246C"/>
    <w:rsid w:val="7F791EBB"/>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CEF8D8B1-F29E-4834-881F-D45D54D667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宋体" w:eastAsia="宋体" w:hAnsi="宋体" w:cs="宋体"/>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qFormat="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unhideWhenUsed/>
    <w:qFormat/>
    <w:rPr>
      <w:sz w:val="18"/>
      <w:szCs w:val="18"/>
    </w:rPr>
  </w:style>
  <w:style w:type="paragraph" w:styleId="a4">
    <w:name w:val="footer"/>
    <w:basedOn w:val="a"/>
    <w:link w:val="Char0"/>
    <w:uiPriority w:val="99"/>
    <w:unhideWhenUsed/>
    <w:qFormat/>
    <w:pPr>
      <w:tabs>
        <w:tab w:val="center" w:pos="4153"/>
        <w:tab w:val="right" w:pos="8306"/>
      </w:tabs>
      <w:snapToGrid w:val="0"/>
      <w:jc w:val="left"/>
    </w:pPr>
    <w:rPr>
      <w:sz w:val="18"/>
      <w:szCs w:val="18"/>
    </w:rPr>
  </w:style>
  <w:style w:type="paragraph" w:styleId="a5">
    <w:name w:val="header"/>
    <w:basedOn w:val="a"/>
    <w:link w:val="Char1"/>
    <w:uiPriority w:val="99"/>
    <w:unhideWhenUsed/>
    <w:qFormat/>
    <w:pPr>
      <w:pBdr>
        <w:bottom w:val="single" w:sz="6" w:space="1" w:color="auto"/>
      </w:pBdr>
      <w:tabs>
        <w:tab w:val="center" w:pos="4153"/>
        <w:tab w:val="right" w:pos="8306"/>
      </w:tabs>
      <w:snapToGrid w:val="0"/>
      <w:jc w:val="center"/>
    </w:pPr>
    <w:rPr>
      <w:sz w:val="18"/>
      <w:szCs w:val="18"/>
    </w:rPr>
  </w:style>
  <w:style w:type="paragraph" w:styleId="a6">
    <w:name w:val="Normal (Web)"/>
    <w:basedOn w:val="a"/>
    <w:pPr>
      <w:jc w:val="left"/>
    </w:pPr>
    <w:rPr>
      <w:rFonts w:ascii="Calibri" w:eastAsia="宋体" w:hAnsi="Calibri" w:cs="Times New Roman"/>
      <w:kern w:val="0"/>
      <w:sz w:val="24"/>
      <w:szCs w:val="24"/>
    </w:rPr>
  </w:style>
  <w:style w:type="table" w:styleId="a7">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
    <w:name w:val="列出段落1"/>
    <w:basedOn w:val="a"/>
    <w:uiPriority w:val="34"/>
    <w:qFormat/>
    <w:pPr>
      <w:ind w:firstLineChars="200" w:firstLine="420"/>
    </w:pPr>
  </w:style>
  <w:style w:type="character" w:customStyle="1" w:styleId="Char1">
    <w:name w:val="页眉 Char"/>
    <w:basedOn w:val="a0"/>
    <w:link w:val="a5"/>
    <w:uiPriority w:val="99"/>
    <w:qFormat/>
    <w:rPr>
      <w:sz w:val="18"/>
      <w:szCs w:val="18"/>
    </w:rPr>
  </w:style>
  <w:style w:type="character" w:customStyle="1" w:styleId="Char0">
    <w:name w:val="页脚 Char"/>
    <w:basedOn w:val="a0"/>
    <w:link w:val="a4"/>
    <w:uiPriority w:val="99"/>
    <w:qFormat/>
    <w:rPr>
      <w:sz w:val="18"/>
      <w:szCs w:val="18"/>
    </w:rPr>
  </w:style>
  <w:style w:type="character" w:customStyle="1" w:styleId="Char">
    <w:name w:val="批注框文本 Char"/>
    <w:basedOn w:val="a0"/>
    <w:link w:val="a3"/>
    <w:uiPriority w:val="99"/>
    <w:semiHidden/>
    <w:qFormat/>
    <w:rPr>
      <w:sz w:val="18"/>
      <w:szCs w:val="18"/>
    </w:rPr>
  </w:style>
  <w:style w:type="paragraph" w:customStyle="1" w:styleId="10">
    <w:name w:val="修订1"/>
    <w:hidden/>
    <w:uiPriority w:val="99"/>
    <w:semiHidden/>
    <w:qFormat/>
    <w:rPr>
      <w:rFonts w:asciiTheme="minorHAnsi" w:eastAsiaTheme="minorEastAsia" w:hAnsiTheme="minorHAnsi" w:cstheme="minorBidi"/>
      <w:kern w:val="2"/>
      <w:sz w:val="21"/>
      <w:szCs w:val="22"/>
    </w:rPr>
  </w:style>
  <w:style w:type="paragraph" w:styleId="a8">
    <w:name w:val="List Paragraph"/>
    <w:basedOn w:val="a"/>
    <w:uiPriority w:val="34"/>
    <w:qFormat/>
    <w:pPr>
      <w:widowControl/>
      <w:ind w:firstLineChars="200" w:firstLine="420"/>
      <w:jc w:val="left"/>
    </w:pPr>
    <w:rPr>
      <w:rFonts w:ascii="宋体" w:eastAsia="宋体" w:hAnsi="宋体" w:cs="宋体"/>
      <w:kern w:val="0"/>
      <w:sz w:val="24"/>
      <w:szCs w:val="24"/>
    </w:rPr>
  </w:style>
  <w:style w:type="paragraph" w:customStyle="1" w:styleId="p1">
    <w:name w:val="p1"/>
    <w:basedOn w:val="a"/>
    <w:rsid w:val="00E226D9"/>
    <w:pPr>
      <w:jc w:val="left"/>
    </w:pPr>
    <w:rPr>
      <w:rFonts w:ascii="pingfang sc" w:eastAsia="pingfang sc" w:hAnsi="pingfang sc" w:cs="Times New Roman"/>
      <w:color w:val="000000"/>
      <w:kern w:val="0"/>
      <w:sz w:val="22"/>
    </w:rPr>
  </w:style>
  <w:style w:type="character" w:customStyle="1" w:styleId="s1">
    <w:name w:val="s1"/>
    <w:basedOn w:val="a0"/>
    <w:rsid w:val="00E226D9"/>
    <w:rPr>
      <w:rFonts w:ascii="Helvetica Neue" w:eastAsia="Helvetica Neue" w:hAnsi="Helvetica Neue" w:cs="Helvetica Neue"/>
      <w:sz w:val="22"/>
      <w:szCs w:val="22"/>
    </w:rPr>
  </w:style>
  <w:style w:type="table" w:customStyle="1" w:styleId="11">
    <w:name w:val="网格型1"/>
    <w:basedOn w:val="a1"/>
    <w:next w:val="a7"/>
    <w:uiPriority w:val="39"/>
    <w:qFormat/>
    <w:rsid w:val="00BE55D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48</TotalTime>
  <Pages>1</Pages>
  <Words>297</Words>
  <Characters>1695</Characters>
  <Application>Microsoft Office Word</Application>
  <DocSecurity>0</DocSecurity>
  <Lines>14</Lines>
  <Paragraphs>3</Paragraphs>
  <ScaleCrop>false</ScaleCrop>
  <Company>tj.com</Company>
  <LinksUpToDate>false</LinksUpToDate>
  <CharactersWithSpaces>1989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林巧</dc:creator>
  <cp:lastModifiedBy>赵鑫</cp:lastModifiedBy>
  <cp:revision>9</cp:revision>
  <cp:lastPrinted>2025-12-30T08:52:00Z</cp:lastPrinted>
  <dcterms:created xsi:type="dcterms:W3CDTF">2025-12-09T07:15:00Z</dcterms:created>
  <dcterms:modified xsi:type="dcterms:W3CDTF">2025-12-30T09:41:00Z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2052-10.8.2.6613</vt:lpwstr>
  </property>
  <property fmtid="{D5CDD505-2E9C-101B-9397-08002B2CF9AE}" pid="3" name="ICV">
    <vt:lpwstr>E9CD4925F46E40BEB6D9D5D306452FF3</vt:lpwstr>
  </property>
</Properties>
</file>