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sz w:val="24"/>
        </w:rPr>
      </w:pPr>
      <w:bookmarkStart w:id="1" w:name="_GoBack"/>
      <w:bookmarkEnd w:id="1"/>
      <w:r>
        <w:rPr>
          <w:rFonts w:hint="eastAsia"/>
          <w:sz w:val="24"/>
        </w:rPr>
        <w:t>证券代码：688036                                  证券简称：传音控股</w:t>
      </w:r>
    </w:p>
    <w:p>
      <w:pPr>
        <w:adjustRightInd w:val="0"/>
        <w:snapToGrid w:val="0"/>
        <w:spacing w:line="600" w:lineRule="exact"/>
        <w:rPr>
          <w:sz w:val="30"/>
          <w:szCs w:val="30"/>
        </w:rPr>
      </w:pPr>
    </w:p>
    <w:p>
      <w:pPr>
        <w:adjustRightInd w:val="0"/>
        <w:snapToGrid w:val="0"/>
        <w:spacing w:line="600" w:lineRule="exact"/>
        <w:jc w:val="center"/>
        <w:outlineLvl w:val="1"/>
        <w:rPr>
          <w:b/>
          <w:sz w:val="36"/>
          <w:szCs w:val="36"/>
        </w:rPr>
      </w:pPr>
      <w:r>
        <w:rPr>
          <w:rFonts w:hint="eastAsia"/>
          <w:b/>
          <w:sz w:val="36"/>
          <w:szCs w:val="36"/>
        </w:rPr>
        <w:t>深圳传音控股股份有限公司</w:t>
      </w:r>
    </w:p>
    <w:p>
      <w:pPr>
        <w:adjustRightInd w:val="0"/>
        <w:snapToGrid w:val="0"/>
        <w:spacing w:line="600" w:lineRule="exact"/>
        <w:jc w:val="center"/>
        <w:outlineLvl w:val="1"/>
        <w:rPr>
          <w:b/>
          <w:sz w:val="36"/>
          <w:szCs w:val="36"/>
        </w:rPr>
      </w:pPr>
      <w:r>
        <w:rPr>
          <w:rFonts w:hint="eastAsia"/>
          <w:b/>
          <w:sz w:val="36"/>
          <w:szCs w:val="36"/>
        </w:rPr>
        <w:t>投资者关系活动记录表</w:t>
      </w:r>
    </w:p>
    <w:p>
      <w:pPr>
        <w:adjustRightInd w:val="0"/>
        <w:snapToGrid w:val="0"/>
        <w:spacing w:line="600" w:lineRule="exact"/>
        <w:jc w:val="center"/>
        <w:outlineLvl w:val="1"/>
        <w:rPr>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投资者关系活动类别</w:t>
            </w:r>
          </w:p>
        </w:tc>
        <w:tc>
          <w:tcPr>
            <w:tcW w:w="7145" w:type="dxa"/>
          </w:tcPr>
          <w:p>
            <w:pPr>
              <w:adjustRightInd w:val="0"/>
              <w:spacing w:line="360" w:lineRule="auto"/>
              <w:contextualSpacing/>
              <w:rPr>
                <w:sz w:val="24"/>
              </w:rPr>
            </w:pPr>
            <w:r>
              <w:rPr>
                <w:rFonts w:hint="eastAsia"/>
                <w:sz w:val="24"/>
              </w:rPr>
              <w:sym w:font="Wingdings 2" w:char="00A3"/>
            </w:r>
            <w:r>
              <w:rPr>
                <w:rFonts w:hint="eastAsia"/>
                <w:sz w:val="24"/>
              </w:rPr>
              <w:t xml:space="preserve">特定对象调研             </w:t>
            </w:r>
            <w:r>
              <w:rPr>
                <w:rFonts w:hint="eastAsia"/>
                <w:sz w:val="24"/>
              </w:rPr>
              <w:sym w:font="Wingdings 2" w:char="00A3"/>
            </w:r>
            <w:r>
              <w:rPr>
                <w:rFonts w:hint="eastAsia"/>
                <w:sz w:val="24"/>
              </w:rPr>
              <w:t>分析师会议</w:t>
            </w:r>
          </w:p>
          <w:p>
            <w:pPr>
              <w:adjustRightInd w:val="0"/>
              <w:spacing w:line="360" w:lineRule="auto"/>
              <w:contextualSpacing/>
              <w:rPr>
                <w:sz w:val="24"/>
              </w:rPr>
            </w:pPr>
            <w:r>
              <w:rPr>
                <w:rFonts w:hint="eastAsia"/>
                <w:sz w:val="24"/>
              </w:rPr>
              <w:sym w:font="Wingdings 2" w:char="00A3"/>
            </w:r>
            <w:r>
              <w:rPr>
                <w:rFonts w:hint="eastAsia"/>
                <w:sz w:val="24"/>
              </w:rPr>
              <w:t xml:space="preserve">媒体采访                 </w:t>
            </w:r>
            <w:r>
              <w:rPr>
                <w:rFonts w:hint="eastAsia"/>
                <w:sz w:val="24"/>
              </w:rPr>
              <w:sym w:font="Wingdings 2" w:char="0052"/>
            </w:r>
            <w:r>
              <w:rPr>
                <w:rFonts w:hint="eastAsia"/>
                <w:sz w:val="24"/>
              </w:rPr>
              <w:t>业绩说明会</w:t>
            </w:r>
          </w:p>
          <w:p>
            <w:pPr>
              <w:adjustRightInd w:val="0"/>
              <w:spacing w:line="360" w:lineRule="auto"/>
              <w:contextualSpacing/>
              <w:rPr>
                <w:sz w:val="24"/>
              </w:rPr>
            </w:pPr>
            <w:r>
              <w:rPr>
                <w:rFonts w:hint="eastAsia"/>
                <w:sz w:val="24"/>
              </w:rPr>
              <w:sym w:font="Wingdings 2" w:char="00A3"/>
            </w:r>
            <w:r>
              <w:rPr>
                <w:rFonts w:hint="eastAsia"/>
                <w:sz w:val="24"/>
              </w:rPr>
              <w:t xml:space="preserve">新闻发布会               </w:t>
            </w:r>
            <w:r>
              <w:rPr>
                <w:rFonts w:hint="eastAsia"/>
                <w:sz w:val="24"/>
              </w:rPr>
              <w:sym w:font="Wingdings 2" w:char="00A3"/>
            </w:r>
            <w:r>
              <w:rPr>
                <w:rFonts w:hint="eastAsia"/>
                <w:sz w:val="24"/>
              </w:rPr>
              <w:t>路演活动</w:t>
            </w:r>
          </w:p>
          <w:p>
            <w:pPr>
              <w:adjustRightInd w:val="0"/>
              <w:spacing w:line="360" w:lineRule="auto"/>
              <w:contextualSpacing/>
              <w:rPr>
                <w:sz w:val="24"/>
              </w:rPr>
            </w:pPr>
            <w:r>
              <w:rPr>
                <w:rFonts w:hint="eastAsia"/>
                <w:sz w:val="24"/>
              </w:rPr>
              <w:sym w:font="Wingdings 2" w:char="00A3"/>
            </w:r>
            <w:r>
              <w:rPr>
                <w:rFonts w:hint="eastAsia"/>
                <w:sz w:val="24"/>
              </w:rPr>
              <w:t xml:space="preserve">现场参观                 </w:t>
            </w:r>
            <w:r>
              <w:rPr>
                <w:rFonts w:hint="eastAsia"/>
                <w:sz w:val="24"/>
              </w:rPr>
              <w:sym w:font="Wingdings 2" w:char="00A3"/>
            </w:r>
            <w:r>
              <w:rPr>
                <w:rFonts w:hint="eastAsia"/>
                <w:sz w:val="24"/>
              </w:rPr>
              <w:t>一对一沟通</w:t>
            </w:r>
          </w:p>
          <w:p>
            <w:pPr>
              <w:adjustRightInd w:val="0"/>
              <w:spacing w:line="360" w:lineRule="auto"/>
              <w:contextualSpacing/>
              <w:rPr>
                <w:sz w:val="24"/>
              </w:rPr>
            </w:pPr>
            <w:r>
              <w:rPr>
                <w:rFonts w:hint="eastAsia"/>
                <w:sz w:val="24"/>
              </w:rPr>
              <w:sym w:font="Wingdings 2" w:char="00A3"/>
            </w: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参与单位及人员</w:t>
            </w:r>
          </w:p>
        </w:tc>
        <w:tc>
          <w:tcPr>
            <w:tcW w:w="7145" w:type="dxa"/>
          </w:tcPr>
          <w:p>
            <w:pPr>
              <w:adjustRightInd w:val="0"/>
              <w:spacing w:line="360" w:lineRule="auto"/>
              <w:rPr>
                <w:sz w:val="24"/>
              </w:rPr>
            </w:pPr>
            <w:r>
              <w:rPr>
                <w:rFonts w:hint="eastAsia"/>
                <w:bCs/>
                <w:iCs/>
                <w:color w:val="000000"/>
                <w:sz w:val="24"/>
                <w:lang w:val="en-GB"/>
              </w:rPr>
              <w:t>线上参会的投资者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时间</w:t>
            </w:r>
          </w:p>
        </w:tc>
        <w:tc>
          <w:tcPr>
            <w:tcW w:w="7145" w:type="dxa"/>
          </w:tcPr>
          <w:p>
            <w:pPr>
              <w:adjustRightInd w:val="0"/>
              <w:spacing w:line="360" w:lineRule="auto"/>
              <w:rPr>
                <w:sz w:val="24"/>
              </w:rPr>
            </w:pPr>
            <w:r>
              <w:rPr>
                <w:rFonts w:hint="eastAsia"/>
                <w:sz w:val="24"/>
              </w:rPr>
              <w:t>2025年12月30</w:t>
            </w:r>
            <w:r>
              <w:rPr>
                <w:sz w:val="24"/>
              </w:rPr>
              <w:t>日</w:t>
            </w:r>
            <w:r>
              <w:rPr>
                <w:rFonts w:hint="eastAsia"/>
                <w:sz w:val="24"/>
              </w:rPr>
              <w:t>（周二）15：00-16：00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地点</w:t>
            </w:r>
          </w:p>
        </w:tc>
        <w:tc>
          <w:tcPr>
            <w:tcW w:w="7145" w:type="dxa"/>
          </w:tcPr>
          <w:p>
            <w:pPr>
              <w:adjustRightInd w:val="0"/>
              <w:spacing w:line="360" w:lineRule="auto"/>
              <w:contextualSpacing/>
              <w:rPr>
                <w:sz w:val="24"/>
              </w:rPr>
            </w:pPr>
            <w:r>
              <w:rPr>
                <w:rFonts w:hint="eastAsia"/>
                <w:sz w:val="24"/>
              </w:rPr>
              <w:t>上海证券交易所上证路演中心（http://roadshow.sseinfo.com/）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接待人员</w:t>
            </w:r>
          </w:p>
        </w:tc>
        <w:tc>
          <w:tcPr>
            <w:tcW w:w="7145" w:type="dxa"/>
          </w:tcPr>
          <w:p>
            <w:pPr>
              <w:adjustRightInd w:val="0"/>
              <w:spacing w:line="360" w:lineRule="auto"/>
              <w:contextualSpacing/>
              <w:rPr>
                <w:sz w:val="24"/>
              </w:rPr>
            </w:pPr>
            <w:r>
              <w:rPr>
                <w:rFonts w:hint="eastAsia"/>
                <w:sz w:val="24"/>
              </w:rPr>
              <w:t>传音控股  董事长、总经理  竺兆江</w:t>
            </w:r>
          </w:p>
          <w:p>
            <w:pPr>
              <w:adjustRightInd w:val="0"/>
              <w:spacing w:line="360" w:lineRule="auto"/>
              <w:contextualSpacing/>
              <w:rPr>
                <w:sz w:val="24"/>
              </w:rPr>
            </w:pPr>
            <w:r>
              <w:rPr>
                <w:rFonts w:hint="eastAsia"/>
                <w:sz w:val="24"/>
              </w:rPr>
              <w:t>传音控股  董事会秘书  曾春</w:t>
            </w:r>
          </w:p>
          <w:p>
            <w:pPr>
              <w:adjustRightInd w:val="0"/>
              <w:spacing w:line="360" w:lineRule="auto"/>
              <w:contextualSpacing/>
              <w:rPr>
                <w:sz w:val="24"/>
              </w:rPr>
            </w:pPr>
            <w:r>
              <w:rPr>
                <w:rFonts w:hint="eastAsia"/>
                <w:sz w:val="24"/>
              </w:rPr>
              <w:t>传音控股  独立董事  张怀雷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sz w:val="24"/>
              </w:rPr>
            </w:pPr>
            <w:r>
              <w:rPr>
                <w:rFonts w:hint="eastAsia"/>
                <w:sz w:val="24"/>
              </w:rPr>
              <w:t>投资者关系活动主要内容介绍</w:t>
            </w:r>
          </w:p>
        </w:tc>
        <w:tc>
          <w:tcPr>
            <w:tcW w:w="7145" w:type="dxa"/>
          </w:tcPr>
          <w:p>
            <w:pPr>
              <w:pStyle w:val="32"/>
              <w:adjustRightInd w:val="0"/>
              <w:snapToGrid w:val="0"/>
              <w:spacing w:before="156" w:beforeLines="50"/>
              <w:ind w:firstLine="480" w:firstLineChars="200"/>
              <w:jc w:val="both"/>
            </w:pPr>
            <w:r>
              <w:rPr>
                <w:rFonts w:hint="eastAsia"/>
                <w:b w:val="0"/>
                <w:bCs w:val="0"/>
              </w:rPr>
              <w:t>2025年12月30日，传音控股2025年第三季度业绩说明会在上证路演平台线上召开。</w:t>
            </w:r>
          </w:p>
          <w:p>
            <w:pPr>
              <w:pStyle w:val="32"/>
              <w:adjustRightInd w:val="0"/>
              <w:snapToGrid w:val="0"/>
              <w:spacing w:before="156" w:beforeLines="50"/>
              <w:jc w:val="both"/>
            </w:pPr>
            <w:r>
              <w:rPr>
                <w:rFonts w:hint="eastAsia"/>
              </w:rPr>
              <w:t>互动交流：</w:t>
            </w:r>
          </w:p>
          <w:p>
            <w:pPr>
              <w:spacing w:line="360" w:lineRule="auto"/>
              <w:ind w:firstLine="482" w:firstLineChars="200"/>
              <w:rPr>
                <w:b/>
                <w:bCs/>
                <w:sz w:val="24"/>
              </w:rPr>
            </w:pPr>
            <w:r>
              <w:rPr>
                <w:rFonts w:hint="eastAsia"/>
                <w:b/>
                <w:bCs/>
                <w:sz w:val="24"/>
              </w:rPr>
              <w:t>1、财报显示，传音控股2025年第三季度营业收入同比增长22.60%，但前三季度累计营收仍同比下降3.33%，净利润降幅更为明显。这种“单季增长、累计下滑”的表现，是否意味着公司业务已在第三季度迎来结构性回暖？您认为影响前三季度整体利润的核心因素是什么？市场竞争、供应链成本、或是产品结构变化？在前三季度净利润下降44.97%的情况下，传音研发投入仍同比增长17.26%，占营收比例提升至4.32%。在利润承压阶段仍坚持加大研发投入，是基于怎样的战略考虑？传音在非洲、巴基斯坦、孟加拉国等市场保持领先地位，但全球智能手机市场竞争激烈。2026年，传音是否计划进入新的区域市场或拓展新的业务领域？公司的中长期增长蓝图是怎样的？</w:t>
            </w:r>
          </w:p>
          <w:p>
            <w:pPr>
              <w:spacing w:line="360" w:lineRule="auto"/>
              <w:ind w:firstLine="480" w:firstLineChars="200"/>
              <w:rPr>
                <w:sz w:val="24"/>
              </w:rPr>
            </w:pPr>
            <w:r>
              <w:rPr>
                <w:rFonts w:hint="eastAsia"/>
                <w:sz w:val="24"/>
              </w:rPr>
              <w:t>回答：尊敬的投资者您好，2025年前三季度净利润下滑受市场竞争以及供应链成本综合影响，营业收入及毛利额减少所致。公司持续科技创新、加大研发投入，提升手机用户的终端体验及产品竞争力，研发费用较上年同期增加。公司销售区域主要集中在非洲、南亚、东南亚、中东和拉美等全球新兴市场国家，未来公司将持续深耕新兴市场各国家。现阶段，公司已进入非洲和南亚以外的市场，包括东南亚、拉美、中东、东欧等。中长期维度，公司在非洲手机市场优势地位的基础上，继续加大力度、加快发展移动互联、扩品类等业务，致力于成为全球新兴市场消费者最喜爱的智能终端产品和移动互联服务提供商。感谢您的关注！</w:t>
            </w:r>
          </w:p>
          <w:p>
            <w:pPr>
              <w:spacing w:line="360" w:lineRule="auto"/>
              <w:rPr>
                <w:sz w:val="24"/>
              </w:rPr>
            </w:pPr>
          </w:p>
          <w:p>
            <w:pPr>
              <w:spacing w:line="360" w:lineRule="auto"/>
              <w:ind w:firstLine="482" w:firstLineChars="200"/>
              <w:rPr>
                <w:b/>
                <w:bCs/>
                <w:sz w:val="24"/>
              </w:rPr>
            </w:pPr>
            <w:r>
              <w:rPr>
                <w:rFonts w:hint="eastAsia"/>
                <w:b/>
                <w:bCs/>
                <w:sz w:val="24"/>
              </w:rPr>
              <w:t>2、对于2026年，公司在营收增长、利润率改善等方面是否有初步指引或目标？公司将如何平衡规模扩张与盈利能力提升？</w:t>
            </w:r>
          </w:p>
          <w:p>
            <w:pPr>
              <w:spacing w:line="360" w:lineRule="auto"/>
              <w:ind w:firstLine="480" w:firstLineChars="200"/>
              <w:rPr>
                <w:sz w:val="24"/>
              </w:rPr>
            </w:pPr>
            <w:r>
              <w:rPr>
                <w:rFonts w:hint="eastAsia"/>
                <w:sz w:val="24"/>
              </w:rPr>
              <w:t>回答：尊敬的投资者您好，2026年公司会根据成本变化和市场竞争等动态做调整，持续努力做好生产经营工作，回报股东。具体财务情况请以公开披露的信息为准，感谢您的关注！</w:t>
            </w:r>
          </w:p>
          <w:p>
            <w:pPr>
              <w:spacing w:line="360" w:lineRule="auto"/>
              <w:rPr>
                <w:sz w:val="24"/>
              </w:rPr>
            </w:pPr>
          </w:p>
          <w:p>
            <w:pPr>
              <w:spacing w:line="360" w:lineRule="auto"/>
              <w:ind w:firstLine="482" w:firstLineChars="200"/>
              <w:rPr>
                <w:b/>
                <w:bCs/>
                <w:sz w:val="24"/>
              </w:rPr>
            </w:pPr>
            <w:r>
              <w:rPr>
                <w:rFonts w:hint="eastAsia"/>
                <w:b/>
                <w:bCs/>
                <w:sz w:val="24"/>
              </w:rPr>
              <w:t>3、公司核心技术人员陈廷波先生于2025年4月9日买入公司股票5000股，并于不到6个月内的2025年9月23日年内高点103.2元精准减持3万股。公司是否鼓励员工高位减持公司股票？公司连续两年询价转让公司股份，管理层集体套现，接盘机构亏损高达20%以上，请问公司管理层是否汗颜？公司于年内高位精准询价转让股份，是否存在内幕交易？</w:t>
            </w:r>
          </w:p>
          <w:p>
            <w:pPr>
              <w:spacing w:line="360" w:lineRule="auto"/>
              <w:ind w:firstLine="480" w:firstLineChars="200"/>
              <w:rPr>
                <w:sz w:val="24"/>
              </w:rPr>
            </w:pPr>
            <w:r>
              <w:rPr>
                <w:rFonts w:hint="eastAsia"/>
                <w:sz w:val="24"/>
              </w:rPr>
              <w:t>回答：尊敬的投资者您好，股价波动受多种因素影响，公司依法履行相关信息披露义务和遵守相关法律法规。公司会持续加强与投资者沟通，努力做好生产经营工作。感谢您的关注！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4、存储涨价，同业上市公司小米9月底以来回购30亿港元并公告；卢总裁向市场披露应对策略1.已与存储供应商签订明年供应协议确保产能不受影响；2.产品向高配倾斜，提升ASP消化成本；反观贵公司9月底以来股价下挫4成！管理层集体噤声，反而竟在此期间开董事会研究赴港上市，置A股投资人利益不顾，毫无市值管理举措。请董事长回应投资人的愤慨与心寒。公司今年业绩不佳，管理层是否勤勉履职？</w:t>
            </w:r>
          </w:p>
          <w:p>
            <w:pPr>
              <w:spacing w:line="360" w:lineRule="auto"/>
              <w:ind w:firstLine="480" w:firstLineChars="200"/>
              <w:rPr>
                <w:sz w:val="24"/>
              </w:rPr>
            </w:pPr>
            <w:r>
              <w:rPr>
                <w:rFonts w:hint="eastAsia"/>
                <w:sz w:val="24"/>
              </w:rPr>
              <w:t>回答：尊敬的投资者您好，公司股价受多种因素影响。公司管理层会持续努力做好生产经营工作，回报股东。感谢您的关注！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5、问题1、在非洲、南亚等核心市场，公司是否感受到来自本土品牌或其它中国厂商更激烈的竞争压力？公司如何维持并扩大在核心市场的份额与品牌优势？2、公司在中东、拉美等新兴市场拓展情况如何？是否已形成规模化收入贡献？这些区域的消费者偏好与竞争格局与非洲有何不同？3、管理层是否认为目前研发投入的节奏和方向足以支撑公司在“新兴市场+中高端化”双线战略下的持续竞争力？未来1-2年，公司计划在产品组合或技术创新上实现哪些突破？</w:t>
            </w:r>
          </w:p>
          <w:p>
            <w:pPr>
              <w:spacing w:line="360" w:lineRule="auto"/>
              <w:ind w:firstLine="480" w:firstLineChars="200"/>
              <w:rPr>
                <w:sz w:val="24"/>
              </w:rPr>
            </w:pPr>
            <w:r>
              <w:rPr>
                <w:rFonts w:hint="eastAsia"/>
                <w:sz w:val="24"/>
              </w:rPr>
              <w:t>回答：尊敬的投资者您好，1、根据IDC数据统计显示，2025年上半年，在非洲市场，公司非洲智能机市场的占有率，排名第一。在南亚市场，巴基斯坦智能机市场占有率排名第一；孟加拉国智能机市场占有率排名第一；未来公司将持续打造核心市场核心竞争力，保持非洲市场竞争优势，通过体系化能力加固护城河，进行数字化投入、渠道模式创新、零售店形象升级，同时推进本地化运营。2、此外，公司进一步开拓中东、拉美等新兴市场，并重视扩展新市场的可持续发展，努力提升市场份额，保持健康运营；多品牌协同新市场开拓，兼顾市场份额提升和健康运营目标，进行深度用户洞察和产品适配，巩固及提升重点新市场份额。3、公司持续科技创新、提升手机用户的终端体验及产品竞争力；公司将加大研发资源投入，在影像、AI、充电、基础体验等技术领域重点打造产品价值点，提升中高端产品竞争力。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6、财报显示，2025年第三季度公司营收实现22.60%的同比增长，扭转了前三季度累计营收下滑3.33%的趋势；同时，净利润指标仍面临较大压力。在向资本市场传达此类复杂业绩信号时，公司秉持的核心沟通原则是什么？如何帮助投资者理性看待短期波动与长期价值？在信息披露工作中，对于“非经常性损益”这类可能影响投资者判断的项目，公司采取了哪些额外措施来确保其透明度和可理解性？对于其中金额较大的政府补助（如软件产品增值税返还），公司是否预期其未来具有持续性？面对当前的市场环境与业绩压力，公司在“降本增效”与“持续研发投入”（前三季度研发费用增长17.26%）之间如何取得平衡？在保障公司长期发展的同时，董事会如何看待当前的股东回报水平（如分红政策）？如何平衡留存收益用于再投资与回报股东之间的关系？</w:t>
            </w:r>
          </w:p>
          <w:p>
            <w:pPr>
              <w:spacing w:line="360" w:lineRule="auto"/>
              <w:ind w:firstLine="480" w:firstLineChars="200"/>
              <w:rPr>
                <w:sz w:val="24"/>
              </w:rPr>
            </w:pPr>
            <w:r>
              <w:rPr>
                <w:rFonts w:hint="eastAsia"/>
                <w:sz w:val="24"/>
              </w:rPr>
              <w:t>回答：尊敬的投资者您好，公司重视与投资者的互动交流，通过业绩说明会、投资者热线、公司公开邮箱、上证 e 互动平台以及接受现场调研等多渠道，积极回应投资者关切的各类问题，增进投资者对公司的了解，传递公司的长期价值。公司严格遵守信息披露的相关原则的规定，做好相关信息披露工作，同时辅以日常投资者互动交流，对于投资者的疑惑进行沟通，以帮助投资者更好的理解。公司持续的研发投入是公司技术先进性的保障，在AI快速发展的环境下，公司需要进一步加大研发投入，增强研发创新能力，保持公司较好的市场竞争能力。同时公司会努力采取积极的分红政策，回报股东。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7、财报显示，公司前三季度净利润同比下降44.97%，但第三季度营收实现22.60%的同比增长，经营活动现金流净额同比增长164.66%。作为独立董事，您如何评价传音控股在2025年前三季度的整体财务表现？是否存在需要特别关注的财务或经营风险？公司在净利润大幅下滑的背景下，仍持续加大研发投入（前三季度研发费用同比增长17.26%）。从独立董事的视角，您如何看待公司在利润承压阶段仍坚持高研发投入的决策？董事会是否对此进行过充分的效益评估与风险论证？财报中显示，公司前三季度资产减值损失同比增加，同时非经常性损益项目中包含较大额的政府补助及金融资产公允价值变动损益。对此，董事会是否对资产减值损失的增长进行过专项审视？您认为这主要反映哪些经营或市场风险？</w:t>
            </w:r>
          </w:p>
          <w:p>
            <w:pPr>
              <w:spacing w:line="360" w:lineRule="auto"/>
              <w:ind w:firstLine="480" w:firstLineChars="200"/>
              <w:rPr>
                <w:sz w:val="24"/>
              </w:rPr>
            </w:pPr>
            <w:r>
              <w:rPr>
                <w:rFonts w:hint="eastAsia"/>
                <w:sz w:val="24"/>
              </w:rPr>
              <w:t>回答：尊敬的投资者您好，公司前三季度的业绩存在一定的下滑，公司持续努力做好生产经营工作回报股东。公司持续的研发投入是公司技术先进性的保障，在AI快速发展的环境下，公司需要进一步加大研发投入，增强研发创新能力，保持公司较好的市场竞争能力。公司相关财务科目符合会计准则相关要求。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8、张总您好，作为外部监督与战略咨询角色，您如何评价公司今年以来在治理结构、风险控制、长期战略执行方面的表现？您认为公司在哪些方面还可以进一步提升？</w:t>
            </w:r>
          </w:p>
          <w:p>
            <w:pPr>
              <w:spacing w:line="360" w:lineRule="auto"/>
              <w:ind w:firstLine="480" w:firstLineChars="200"/>
              <w:rPr>
                <w:sz w:val="24"/>
              </w:rPr>
            </w:pPr>
            <w:r>
              <w:rPr>
                <w:rFonts w:hint="eastAsia"/>
                <w:sz w:val="24"/>
              </w:rPr>
              <w:t>回答：尊敬的投资者您好，公司具有良好的公司治理结构和风险控制体系，公司坚持做长跑型选手，秉承长期主义，努力做好经营回报投资者。感谢您的关注！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9、请问公司与谷歌的合作目前进展如何？请具体介绍。明年对ai手机新品的研发有何计划？公司在ai时代如何与其他厂商竞争？我们的优势在哪里？</w:t>
            </w:r>
          </w:p>
          <w:p>
            <w:pPr>
              <w:spacing w:line="360" w:lineRule="auto"/>
              <w:ind w:firstLine="480" w:firstLineChars="200"/>
              <w:rPr>
                <w:sz w:val="24"/>
              </w:rPr>
            </w:pPr>
            <w:r>
              <w:rPr>
                <w:rFonts w:hint="eastAsia"/>
                <w:sz w:val="24"/>
              </w:rPr>
              <w:t>回答：尊敬的投资者您好，传</w:t>
            </w:r>
            <w:bookmarkStart w:id="0" w:name="OLE_LINK1"/>
            <w:r>
              <w:rPr>
                <w:rFonts w:hint="eastAsia"/>
                <w:sz w:val="24"/>
              </w:rPr>
              <w:t>音与Google Cloud深度合作，将其AI技术融入智能终端和服务，成功打造了一键问屏、智慧识屏、AI搜索</w:t>
            </w:r>
            <w:bookmarkEnd w:id="0"/>
            <w:r>
              <w:rPr>
                <w:rFonts w:hint="eastAsia"/>
                <w:sz w:val="24"/>
              </w:rPr>
              <w:t>、通话摘要、AI Writing等一系列产品特性。AI手机方面，传音旗下TECNO AI和Infinix AI已广泛应用于影像增强、语音助手、AI写作等功能场景，开发了一系列AI辅助功能应用并持续迭代推进系统全面AI化，借助Agent提升用户智能设备移动体验。传音始终关注前沿技术的创新，结合本地化市场用户需求，聚焦关键用户场景。未来，公司希望推动AI应用和AI终端技术在新兴市场的创新和普及，为消费者带来更优化、更智能的用户体验。感谢您的关注！</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10、今年以来全球半导体等关键元器件供应与价格波动对公司成本结构有何影响？公司在供应链多元化、成本控制方面采取了哪些策略？是否考虑进一步本地化生产布局？在汇率波动频繁的背景下，公司如何管理外汇风险？是否计划加强金融工具对冲或调整结算币种结构？</w:t>
            </w:r>
          </w:p>
          <w:p>
            <w:pPr>
              <w:spacing w:line="360" w:lineRule="auto"/>
              <w:ind w:firstLine="480" w:firstLineChars="200"/>
              <w:rPr>
                <w:sz w:val="24"/>
              </w:rPr>
            </w:pPr>
            <w:r>
              <w:rPr>
                <w:rFonts w:hint="eastAsia"/>
                <w:sz w:val="24"/>
              </w:rPr>
              <w:t>回答：尊敬的投资者您好，今年关键元器件的价格波动对公司成本造成一定压力，公司会根据上游成本变化、市场竞争情况等，积极采取相应措施应对。在不同市场结合公司的经营策略和市场情况，可能会采取例如产品调价、优化产品结构等措施。公司境外销售主要使用美元等外币结算，相应公司持有美元等外币货币性资产及负债。公司会平衡外币货币性资产及负债规模以降低汇兑损益对经营业绩的影响。感谢您的关注！</w:t>
            </w:r>
          </w:p>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sz w:val="24"/>
              </w:rPr>
            </w:pPr>
            <w:r>
              <w:rPr>
                <w:rFonts w:hint="eastAsia"/>
                <w:sz w:val="24"/>
              </w:rPr>
              <w:t>附件清单（如有）</w:t>
            </w:r>
          </w:p>
        </w:tc>
        <w:tc>
          <w:tcPr>
            <w:tcW w:w="7145" w:type="dxa"/>
            <w:vAlign w:val="center"/>
          </w:tcPr>
          <w:p>
            <w:pPr>
              <w:adjustRightInd w:val="0"/>
              <w:spacing w:line="360" w:lineRule="auto"/>
              <w:contextualSpacing/>
              <w:rPr>
                <w:sz w:val="24"/>
              </w:rPr>
            </w:pPr>
            <w:r>
              <w:rPr>
                <w:rFonts w:hint="eastAsia"/>
                <w:bCs/>
                <w:iCs/>
                <w:color w:val="000000"/>
                <w:sz w:val="24"/>
              </w:rPr>
              <w:t>无</w:t>
            </w:r>
          </w:p>
        </w:tc>
      </w:tr>
    </w:tbl>
    <w:p>
      <w:pPr>
        <w:widowControl/>
        <w:textAlignment w:val="center"/>
        <w:rPr>
          <w:sz w:val="24"/>
        </w:rPr>
      </w:pPr>
    </w:p>
    <w:p>
      <w:pPr>
        <w:widowControl/>
        <w:textAlignment w:val="center"/>
        <w:rPr>
          <w:sz w:val="24"/>
        </w:rPr>
      </w:pPr>
    </w:p>
    <w:p>
      <w:pPr>
        <w:widowControl/>
        <w:textAlignment w:val="center"/>
        <w:rPr>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3E95"/>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2E73"/>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0DB1"/>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44B0"/>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451B"/>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31723"/>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724DA4"/>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857D0"/>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0B2099"/>
    <w:rsid w:val="244E0D7D"/>
    <w:rsid w:val="2472184E"/>
    <w:rsid w:val="24733E15"/>
    <w:rsid w:val="24895CC3"/>
    <w:rsid w:val="24925D5D"/>
    <w:rsid w:val="24C23FBE"/>
    <w:rsid w:val="24C329BA"/>
    <w:rsid w:val="24CD7057"/>
    <w:rsid w:val="24D20F51"/>
    <w:rsid w:val="24F21360"/>
    <w:rsid w:val="24FC3C13"/>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355674"/>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6F5532"/>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64A91"/>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1A1777"/>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EE383D"/>
    <w:rsid w:val="7AF7465C"/>
    <w:rsid w:val="7B47389F"/>
    <w:rsid w:val="7B5D13A7"/>
    <w:rsid w:val="7B94335A"/>
    <w:rsid w:val="7BA11F95"/>
    <w:rsid w:val="7BA324E5"/>
    <w:rsid w:val="7BCF07E3"/>
    <w:rsid w:val="7C60541F"/>
    <w:rsid w:val="7C6A37B2"/>
    <w:rsid w:val="7C9D5E09"/>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2014</Words>
  <Characters>2176</Characters>
  <Lines>108</Lines>
  <Paragraphs>93</Paragraphs>
  <TotalTime>3</TotalTime>
  <ScaleCrop>false</ScaleCrop>
  <LinksUpToDate>false</LinksUpToDate>
  <CharactersWithSpaces>4097</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2025-12-30T10:46:00Z</dcterms:created>
  <dc:creator>user</dc:creator>
  <cp:lastModifiedBy>江凤玲</cp:lastModifiedBy>
  <cp:lastPrinted>2012-11-19T01:56:00Z</cp:lastPrinted>
  <dcterms:modified xsi:type="dcterms:W3CDTF">2025-12-31T02:13:22Z</dcterms:modified>
  <dc:title>上海证券交易所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801C23AB659D4831B8702A6367DAB429</vt:lpwstr>
  </property>
</Properties>
</file>