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r>
              <w:rPr>
                <w:rFonts w:hint="eastAsia"/>
                <w:bCs/>
                <w:iCs/>
                <w:color w:val="000000"/>
                <w:sz w:val="24"/>
              </w:rPr>
              <w:t>安信基金、嘉实基金、汇添富基金、招商基金、华商基金、中银基金、中欧基金、万家基金、</w:t>
            </w:r>
            <w:r>
              <w:rPr>
                <w:rFonts w:hint="eastAsia"/>
                <w:bCs/>
                <w:iCs/>
                <w:color w:val="000000"/>
                <w:sz w:val="24"/>
                <w:lang w:val="en-US" w:eastAsia="zh-CN"/>
              </w:rPr>
              <w:t>泉果基金、</w:t>
            </w:r>
            <w:r>
              <w:rPr>
                <w:rFonts w:hint="eastAsia"/>
                <w:bCs/>
                <w:iCs/>
                <w:color w:val="000000"/>
                <w:sz w:val="24"/>
              </w:rPr>
              <w:t>平安基金、泓德基金、华宝基金、上海勤辰私募基金、泰康资产、长城财富资管、煜德投资、北京鑫翰资本管理、德汇投资、永安国富资产管理、复盛资产、新华资产、</w:t>
            </w:r>
            <w:r>
              <w:rPr>
                <w:rFonts w:hint="eastAsia"/>
                <w:bCs/>
                <w:iCs/>
                <w:color w:val="000000"/>
                <w:sz w:val="24"/>
                <w:lang w:val="en-US" w:eastAsia="zh-CN"/>
              </w:rPr>
              <w:t>中泰证券、</w:t>
            </w:r>
            <w:r>
              <w:rPr>
                <w:rFonts w:hint="eastAsia"/>
                <w:bCs/>
                <w:iCs/>
                <w:color w:val="000000"/>
                <w:sz w:val="24"/>
              </w:rPr>
              <w:t>国联民生证券、浙商证券、申万宏源、国海证券、国金证券、国信证券等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2025年12月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14:paraId="48FD4641">
            <w:pPr>
              <w:rPr>
                <w:rFonts w:ascii="宋体" w:hAnsi="宋体" w:cs="宋体"/>
                <w:sz w:val="24"/>
              </w:rPr>
            </w:pPr>
            <w:r>
              <w:rPr>
                <w:rFonts w:hint="eastAsia" w:ascii="宋体" w:hAnsi="宋体" w:cs="宋体"/>
                <w:sz w:val="24"/>
              </w:rPr>
              <w:t>现场：青岛市市北区郑州路43号橡胶新材料大楼会议室</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lang w:val="en-US" w:eastAsia="zh-CN"/>
              </w:rPr>
              <w:t>信息披露经理</w:t>
            </w:r>
            <w:r>
              <w:rPr>
                <w:rFonts w:hint="eastAsia" w:ascii="宋体" w:hAnsi="宋体" w:cs="宋体"/>
                <w:sz w:val="24"/>
              </w:rPr>
              <w:t>：闫凯</w:t>
            </w:r>
            <w:bookmarkStart w:id="0" w:name="_GoBack"/>
            <w:bookmarkEnd w:id="0"/>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44E592F0">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一、公司简介：</w:t>
            </w:r>
          </w:p>
          <w:p w14:paraId="0D04053F">
            <w:pPr>
              <w:pStyle w:val="14"/>
              <w:spacing w:line="460" w:lineRule="exact"/>
              <w:ind w:left="-2" w:leftChars="-1" w:firstLine="480"/>
              <w:rPr>
                <w:rFonts w:ascii="宋体" w:hAnsi="宋体"/>
                <w:sz w:val="24"/>
                <w:szCs w:val="24"/>
              </w:rPr>
            </w:pPr>
            <w:r>
              <w:rPr>
                <w:rFonts w:hint="eastAsia" w:ascii="宋体" w:hAnsi="宋体"/>
                <w:sz w:val="24"/>
                <w:szCs w:val="24"/>
              </w:rPr>
              <w:t>赛轮集团股份有限公司创建于2002年，是中国第一家A股上市民营轮胎企业，也是中国第一家“走出去”在海外建厂的轮胎企业。</w:t>
            </w:r>
          </w:p>
          <w:p w14:paraId="162A8254">
            <w:pPr>
              <w:pStyle w:val="14"/>
              <w:spacing w:line="460" w:lineRule="exact"/>
              <w:ind w:left="-2" w:leftChars="-1" w:firstLine="480"/>
              <w:rPr>
                <w:rFonts w:ascii="宋体" w:hAnsi="宋体"/>
                <w:sz w:val="24"/>
                <w:szCs w:val="24"/>
              </w:rPr>
            </w:pPr>
            <w:r>
              <w:rPr>
                <w:rFonts w:hint="eastAsia" w:ascii="宋体" w:hAnsi="宋体"/>
                <w:sz w:val="24"/>
                <w:szCs w:val="24"/>
              </w:rPr>
              <w:t>根据美国《轮胎商业》发布的2024年全球轮胎企业75强排行榜，公司位居第10位。根据Brand Finance品牌价值评估机构发布的《2025年全球最具价值轮胎品牌榜单》，公司位列第10位，是中国最具价值的轮胎品牌。公司连续七年上榜“亚洲品牌500强”，还以1,128.96亿元品牌价值位列2025年“中国500最具价值品牌”第105位，品牌价值连续八年持续提升。</w:t>
            </w:r>
          </w:p>
          <w:p w14:paraId="48DB3D5D">
            <w:pPr>
              <w:pStyle w:val="14"/>
              <w:spacing w:line="460" w:lineRule="exact"/>
              <w:ind w:left="-2" w:leftChars="-1" w:firstLineChars="0"/>
              <w:rPr>
                <w:rFonts w:ascii="宋体" w:hAnsi="宋体" w:cs="宋体"/>
                <w:sz w:val="24"/>
                <w:szCs w:val="32"/>
              </w:rPr>
            </w:pPr>
            <w:r>
              <w:rPr>
                <w:rFonts w:hint="eastAsia" w:ascii="宋体" w:hAnsi="宋体" w:cs="宋体"/>
                <w:sz w:val="24"/>
                <w:szCs w:val="32"/>
              </w:rPr>
              <w:t>公司2025年1-9月实现营业收入275.87亿元，同比增长16.76%，实现归母净利润28.72亿元。公司第三季度实现营业收入100亿元，同比增长18.01%，实现归母净利润10.41亿元。截至2025年9月30日，公司总资产为458.25亿元，较去年年末增长13.75%。公司前三季度轮胎产量6,110万条，同比增长11.84%，销量6,045万条，同比增长12.</w:t>
            </w:r>
            <w:r>
              <w:rPr>
                <w:rFonts w:hint="eastAsia" w:ascii="宋体" w:hAnsi="宋体" w:cs="宋体"/>
                <w:sz w:val="24"/>
                <w:szCs w:val="32"/>
                <w:lang w:val="en-US" w:eastAsia="zh-CN"/>
              </w:rPr>
              <w:t>19</w:t>
            </w:r>
            <w:r>
              <w:rPr>
                <w:rFonts w:hint="eastAsia" w:ascii="宋体" w:hAnsi="宋体" w:cs="宋体"/>
                <w:sz w:val="24"/>
                <w:szCs w:val="32"/>
              </w:rPr>
              <w:t>%。</w:t>
            </w:r>
          </w:p>
          <w:p w14:paraId="4E3D0E41">
            <w:pPr>
              <w:pStyle w:val="14"/>
              <w:spacing w:line="460" w:lineRule="exact"/>
              <w:ind w:left="-2" w:leftChars="-1" w:firstLine="480" w:firstLineChars="0"/>
            </w:pPr>
            <w:r>
              <w:rPr>
                <w:rFonts w:hint="eastAsia" w:ascii="宋体" w:hAnsi="宋体" w:cs="宋体"/>
                <w:sz w:val="24"/>
              </w:rPr>
              <w:t>公司已在中国的青岛、东营、沈阳、潍坊及海外的越南、柬埔寨、墨西哥、印尼建有轮胎生产基地，埃及、沈阳新和平生产基地的建设正按规划推进。</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r>
              <w:rPr>
                <w:rFonts w:hint="eastAsia" w:ascii="宋体" w:hAnsi="宋体" w:cs="宋体"/>
                <w:sz w:val="24"/>
              </w:rPr>
              <w:t>截至目前，公司共规划建设年生产3,155万条全钢子午胎、1.09亿条半钢子午胎和51.84万吨非公路轮胎的生产能力。</w:t>
            </w:r>
          </w:p>
          <w:p w14:paraId="52238970">
            <w:pPr>
              <w:pStyle w:val="14"/>
              <w:spacing w:line="460" w:lineRule="exact"/>
              <w:ind w:left="-2" w:leftChars="-1" w:firstLine="480" w:firstLineChars="0"/>
              <w:rPr>
                <w:rFonts w:ascii="宋体" w:hAnsi="宋体"/>
                <w:sz w:val="24"/>
                <w:szCs w:val="24"/>
              </w:rPr>
            </w:pPr>
            <w:r>
              <w:rPr>
                <w:rFonts w:hint="eastAsia" w:ascii="宋体" w:hAnsi="宋体"/>
                <w:b/>
                <w:bCs/>
                <w:sz w:val="24"/>
                <w:szCs w:val="24"/>
              </w:rPr>
              <w:t>二、投资者提出的主要问题及公司回复情况:</w:t>
            </w:r>
          </w:p>
          <w:p w14:paraId="3FA51187">
            <w:pPr>
              <w:pStyle w:val="14"/>
              <w:spacing w:line="460" w:lineRule="exact"/>
              <w:ind w:left="-2" w:leftChars="-1" w:firstLine="482"/>
              <w:rPr>
                <w:rFonts w:ascii="宋体" w:hAnsi="宋体"/>
                <w:b/>
                <w:bCs/>
                <w:sz w:val="24"/>
                <w:szCs w:val="24"/>
              </w:rPr>
            </w:pPr>
            <w:r>
              <w:rPr>
                <w:rFonts w:hint="eastAsia" w:ascii="宋体" w:hAnsi="宋体"/>
                <w:b/>
                <w:bCs/>
                <w:sz w:val="24"/>
                <w:szCs w:val="24"/>
              </w:rPr>
              <w:t>1、汇率波动会对公司盈利方面带来哪些影响？</w:t>
            </w:r>
          </w:p>
          <w:p w14:paraId="43728ABC">
            <w:pPr>
              <w:pStyle w:val="14"/>
              <w:spacing w:line="460" w:lineRule="exact"/>
              <w:ind w:left="-2" w:leftChars="-1" w:firstLine="480"/>
              <w:rPr>
                <w:rFonts w:ascii="宋体" w:hAnsi="宋体"/>
                <w:b/>
                <w:bCs/>
                <w:sz w:val="24"/>
                <w:szCs w:val="24"/>
              </w:rPr>
            </w:pPr>
            <w:r>
              <w:rPr>
                <w:rFonts w:hint="eastAsia" w:ascii="宋体" w:hAnsi="宋体"/>
                <w:sz w:val="24"/>
                <w:szCs w:val="24"/>
              </w:rPr>
              <w:t>答:公司近几年一直开展外汇套期保值业务。这些业务坚持风险中性原则，不以投机为目的，按外汇市场波动情况，采用一定比例与应收账款的账期匹配做远期套保，从而减轻汇率波动对公司经营造成的不利影响。</w:t>
            </w:r>
          </w:p>
          <w:p w14:paraId="1F518F3C">
            <w:pPr>
              <w:pStyle w:val="14"/>
              <w:spacing w:line="460" w:lineRule="exact"/>
              <w:ind w:left="-2" w:leftChars="-1" w:firstLine="482"/>
              <w:rPr>
                <w:rFonts w:ascii="宋体" w:hAnsi="宋体"/>
                <w:b/>
                <w:bCs/>
                <w:sz w:val="24"/>
                <w:szCs w:val="24"/>
              </w:rPr>
            </w:pPr>
            <w:r>
              <w:rPr>
                <w:rFonts w:hint="eastAsia" w:ascii="宋体" w:hAnsi="宋体"/>
                <w:b/>
                <w:bCs/>
                <w:sz w:val="24"/>
                <w:szCs w:val="24"/>
              </w:rPr>
              <w:t>2、公司对原材料价格的预期</w:t>
            </w:r>
            <w:r>
              <w:rPr>
                <w:rFonts w:ascii="宋体" w:hAnsi="宋体"/>
                <w:b/>
                <w:bCs/>
                <w:sz w:val="24"/>
                <w:szCs w:val="24"/>
              </w:rPr>
              <w:t>？</w:t>
            </w:r>
          </w:p>
          <w:p w14:paraId="32BAE57F">
            <w:pPr>
              <w:pStyle w:val="14"/>
              <w:spacing w:line="460" w:lineRule="exact"/>
              <w:ind w:left="-2" w:leftChars="-1" w:firstLine="480"/>
              <w:rPr>
                <w:rFonts w:ascii="宋体" w:hAnsi="宋体"/>
                <w:b/>
                <w:bCs/>
                <w:sz w:val="24"/>
                <w:szCs w:val="24"/>
              </w:rPr>
            </w:pPr>
            <w:r>
              <w:rPr>
                <w:rFonts w:ascii="宋体" w:hAnsi="宋体"/>
                <w:sz w:val="24"/>
                <w:szCs w:val="24"/>
              </w:rPr>
              <w:t>答:公司日常会根据各类原材料的市场情况以及需求计划灵活制定具体采购策略，并综合生产成本及市场需求等因素视情况确定价格调整策略，以尽量减少原材料价格波动对公司带来的不利影响。</w:t>
            </w:r>
            <w:r>
              <w:rPr>
                <w:rFonts w:hint="eastAsia" w:ascii="宋体" w:hAnsi="宋体"/>
                <w:sz w:val="24"/>
                <w:szCs w:val="24"/>
              </w:rPr>
              <w:t>若原材料价格持续下降，有利于降低公司的生产成本。</w:t>
            </w:r>
          </w:p>
          <w:p w14:paraId="391FC0B1">
            <w:pPr>
              <w:pStyle w:val="14"/>
              <w:spacing w:line="460" w:lineRule="exact"/>
              <w:ind w:left="-2" w:leftChars="-1" w:firstLine="482"/>
              <w:rPr>
                <w:rFonts w:ascii="宋体" w:hAnsi="宋体"/>
                <w:b/>
                <w:bCs/>
                <w:sz w:val="24"/>
                <w:szCs w:val="24"/>
              </w:rPr>
            </w:pPr>
            <w:r>
              <w:rPr>
                <w:rFonts w:hint="eastAsia" w:ascii="宋体" w:hAnsi="宋体"/>
                <w:b/>
                <w:bCs/>
                <w:sz w:val="24"/>
                <w:szCs w:val="24"/>
              </w:rPr>
              <w:t>3、赛轮新和平预计何时投产？</w:t>
            </w:r>
          </w:p>
          <w:p w14:paraId="11872789">
            <w:pPr>
              <w:pStyle w:val="14"/>
              <w:spacing w:line="460" w:lineRule="exact"/>
              <w:ind w:left="-2" w:leftChars="-1" w:firstLine="480"/>
              <w:rPr>
                <w:rFonts w:ascii="宋体" w:hAnsi="宋体"/>
                <w:sz w:val="24"/>
                <w:szCs w:val="24"/>
              </w:rPr>
            </w:pPr>
            <w:r>
              <w:rPr>
                <w:rFonts w:hint="eastAsia" w:ascii="宋体" w:hAnsi="宋体"/>
                <w:sz w:val="24"/>
                <w:szCs w:val="24"/>
              </w:rPr>
              <w:t>答：赛轮新和平改建后将具备年产330万条全钢胎及2万吨非公路轮胎生产能力，有利于进一步完善公司产能布局，可以更好地保障产品供应，提升公司应对风险的能力，进而可以增强公司综合实力。目前赛轮新和平工厂正在按规划推进建设中。</w:t>
            </w:r>
          </w:p>
          <w:p w14:paraId="2EFFD382">
            <w:pPr>
              <w:pStyle w:val="14"/>
              <w:spacing w:line="460" w:lineRule="exact"/>
              <w:ind w:left="-2" w:leftChars="-1" w:firstLine="482"/>
              <w:rPr>
                <w:rFonts w:ascii="宋体" w:hAnsi="宋体"/>
                <w:b/>
                <w:bCs/>
                <w:sz w:val="24"/>
                <w:szCs w:val="24"/>
              </w:rPr>
            </w:pPr>
            <w:r>
              <w:rPr>
                <w:rFonts w:hint="eastAsia" w:ascii="宋体" w:hAnsi="宋体"/>
                <w:b/>
                <w:bCs/>
                <w:sz w:val="24"/>
                <w:szCs w:val="24"/>
              </w:rPr>
              <w:t>4、公司目前配套车企？</w:t>
            </w:r>
          </w:p>
          <w:p w14:paraId="570AC29D">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截至目前，公司全钢产品已成功配套一汽解放、中国重汽、宇通客车、比亚迪、吉利远程商用车、三一重工、东风汽车、北汽福田、陕汽商用车、潍柴新能源等知名企业；半钢产品已成功配套比亚迪、吉利、奇瑞、长安、一汽-大众、北汽、蔚来、南京依维柯、越南VinFast等国内外知名企业；公司非公路轮胎产品已成功配套卡特彼勒、约翰迪尔、凯斯纽荷兰、英国JCB、小松、沃尔沃、爱科、道依茨法尔、徐工、柳工、北方重工、三一重工、同力重工、山东临工、潍柴雷沃、中联重科、中国一拖等国内外知名企业。9月，一汽-大众德系全能硬实力SUV——捷达VS8正式上市，公司成为该车型的独家轮胎配套供应商，实现了公司在合资品牌配套领域的重大突破。未来，公司将凭借优异的产品性能及良好的服务持续推进与相关车企的合作。</w:t>
            </w:r>
          </w:p>
          <w:p w14:paraId="7BEE5CE0">
            <w:pPr>
              <w:pStyle w:val="14"/>
              <w:numPr>
                <w:ilvl w:val="255"/>
                <w:numId w:val="0"/>
              </w:numPr>
              <w:spacing w:line="460" w:lineRule="exact"/>
              <w:ind w:left="-2" w:leftChars="-1" w:firstLine="480"/>
              <w:rPr>
                <w:rFonts w:ascii="宋体" w:hAnsi="宋体"/>
                <w:b/>
                <w:bCs/>
                <w:sz w:val="24"/>
                <w:szCs w:val="24"/>
              </w:rPr>
            </w:pPr>
            <w:r>
              <w:rPr>
                <w:rFonts w:hint="eastAsia" w:ascii="宋体" w:hAnsi="宋体"/>
                <w:b/>
                <w:bCs/>
                <w:sz w:val="24"/>
                <w:szCs w:val="24"/>
              </w:rPr>
              <w:t>5、墨西哥和印尼工厂的产能爬坡情况？</w:t>
            </w:r>
          </w:p>
          <w:p w14:paraId="57C07AA8">
            <w:pPr>
              <w:pStyle w:val="14"/>
              <w:spacing w:line="460" w:lineRule="exact"/>
              <w:ind w:left="-2" w:leftChars="-1" w:firstLine="480" w:firstLineChars="0"/>
              <w:rPr>
                <w:rFonts w:ascii="宋体" w:hAnsi="宋体"/>
                <w:sz w:val="24"/>
                <w:szCs w:val="24"/>
              </w:rPr>
            </w:pPr>
            <w:r>
              <w:rPr>
                <w:rFonts w:ascii="宋体" w:hAnsi="宋体"/>
                <w:sz w:val="24"/>
                <w:szCs w:val="24"/>
              </w:rPr>
              <w:t>答：</w:t>
            </w:r>
            <w:r>
              <w:rPr>
                <w:rFonts w:hint="eastAsia" w:ascii="宋体" w:hAnsi="宋体"/>
                <w:sz w:val="24"/>
                <w:szCs w:val="24"/>
              </w:rPr>
              <w:t>墨西哥和印尼工厂的半钢胎今年5月均已实现首胎下线，印尼工厂的全钢胎和非公路轮胎已于今年8月实现首胎下线。墨西哥工厂设计年产能为600万条半钢胎，印尼工厂设计年产能为300万条半钢胎、60万条全钢胎及3.7万吨非公路轮胎。两工厂</w:t>
            </w:r>
            <w:r>
              <w:rPr>
                <w:rFonts w:hint="eastAsia" w:ascii="黑体" w:hAnsi="黑体" w:cstheme="minorBidi"/>
                <w:color w:val="000000" w:themeColor="text1"/>
                <w:sz w:val="24"/>
                <w:szCs w:val="32"/>
                <w14:textFill>
                  <w14:solidFill>
                    <w14:schemeClr w14:val="tx1"/>
                  </w14:solidFill>
                </w14:textFill>
              </w:rPr>
              <w:t>目前处于产能爬坡过程中</w:t>
            </w:r>
            <w:r>
              <w:rPr>
                <w:rFonts w:hint="eastAsia" w:ascii="宋体" w:hAnsi="宋体"/>
                <w:sz w:val="24"/>
                <w:szCs w:val="24"/>
              </w:rPr>
              <w:t>。</w:t>
            </w:r>
          </w:p>
          <w:p w14:paraId="79203139">
            <w:pPr>
              <w:pStyle w:val="14"/>
              <w:spacing w:line="460" w:lineRule="exact"/>
              <w:ind w:left="-2" w:leftChars="-1" w:firstLine="482"/>
              <w:rPr>
                <w:rFonts w:ascii="宋体" w:hAnsi="宋体"/>
                <w:b/>
                <w:bCs/>
                <w:sz w:val="24"/>
                <w:szCs w:val="24"/>
              </w:rPr>
            </w:pPr>
            <w:r>
              <w:rPr>
                <w:rFonts w:hint="eastAsia" w:ascii="宋体" w:hAnsi="宋体"/>
                <w:b/>
                <w:bCs/>
                <w:sz w:val="24"/>
                <w:szCs w:val="24"/>
              </w:rPr>
              <w:t>6</w:t>
            </w:r>
            <w:r>
              <w:rPr>
                <w:rFonts w:ascii="宋体" w:hAnsi="宋体"/>
                <w:b/>
                <w:bCs/>
                <w:sz w:val="24"/>
                <w:szCs w:val="24"/>
              </w:rPr>
              <w:t>、</w:t>
            </w:r>
            <w:r>
              <w:rPr>
                <w:rFonts w:hint="eastAsia" w:ascii="宋体" w:hAnsi="宋体"/>
                <w:b/>
                <w:bCs/>
                <w:sz w:val="24"/>
                <w:szCs w:val="24"/>
              </w:rPr>
              <w:t>公司的赛车轮胎销售情况？</w:t>
            </w:r>
          </w:p>
          <w:p w14:paraId="129AFEA9">
            <w:pPr>
              <w:pStyle w:val="14"/>
              <w:spacing w:line="460" w:lineRule="exact"/>
              <w:ind w:left="-2" w:leftChars="-1" w:firstLine="480"/>
              <w:rPr>
                <w:rFonts w:ascii="宋体" w:hAnsi="宋体"/>
                <w:sz w:val="24"/>
                <w:szCs w:val="24"/>
              </w:rPr>
            </w:pPr>
            <w:r>
              <w:rPr>
                <w:rFonts w:hint="eastAsia" w:ascii="宋体" w:hAnsi="宋体"/>
                <w:sz w:val="24"/>
                <w:szCs w:val="24"/>
              </w:rPr>
              <w:t>答：公司自2017年推出赛车轮胎以来，凭借优异的产品性能，获得了多项汽车赛事荣誉。公司与小米汽车合作开发的适用于SU7 Ultra的赛道高性能轮胎PT01上架“小米有品”商城，并助力小米汽车成为北京易车金港、上海天马及宁波国际赛车场、厦门国际赛车场的最速四门量产车；公司赛车轮胎首次登陆欧洲赛事，助力“中国制造”车队取得良好成绩；公司成为丰田GR86 Cup中国挑战赛2025赛季唯一指定轮胎供应商；公司热熔胎2025年再次为F4方程式中国锦标赛提供支持，首站即刷新赛道纪录；公司轮胎亮相纽博格林24小时耐力赛，助力“全华班”阵容斩获佳绩；公司TERRAMAX RT越野胎成为“2025环塔拉力赛”长城汽车、郑州日产车队的官方指定用胎，助力车队取得了优异成绩。未来，公司会持续推进赛车轮胎相关业务，并希望借此提升公司品牌形象及竞争力。</w:t>
            </w:r>
          </w:p>
          <w:p w14:paraId="6638F8B4">
            <w:pPr>
              <w:pStyle w:val="14"/>
              <w:spacing w:line="460" w:lineRule="exact"/>
              <w:ind w:left="-2" w:leftChars="-1" w:firstLine="482"/>
              <w:rPr>
                <w:rFonts w:ascii="宋体" w:hAnsi="宋体"/>
                <w:b/>
                <w:bCs/>
                <w:sz w:val="24"/>
                <w:szCs w:val="24"/>
              </w:rPr>
            </w:pPr>
            <w:r>
              <w:rPr>
                <w:rFonts w:hint="eastAsia" w:ascii="宋体" w:hAnsi="宋体"/>
                <w:b/>
                <w:bCs/>
                <w:sz w:val="24"/>
                <w:szCs w:val="24"/>
              </w:rPr>
              <w:t>7、华东试验场进展？</w:t>
            </w:r>
          </w:p>
          <w:p w14:paraId="5C9ADB8F">
            <w:pPr>
              <w:pStyle w:val="14"/>
              <w:spacing w:line="460" w:lineRule="exact"/>
              <w:ind w:left="-2" w:leftChars="-1" w:firstLine="480"/>
              <w:rPr>
                <w:rFonts w:ascii="宋体" w:hAnsi="宋体"/>
                <w:sz w:val="24"/>
                <w:szCs w:val="24"/>
              </w:rPr>
            </w:pPr>
            <w:r>
              <w:rPr>
                <w:rFonts w:hint="eastAsia" w:ascii="宋体" w:hAnsi="宋体"/>
                <w:sz w:val="24"/>
                <w:szCs w:val="24"/>
              </w:rPr>
              <w:t>答：公司华东试验场规划建设智能网联、性能测试、耐久测试、试验室测试、运维服务等五大区域,其中包括20余条高标准测试道路,正向规划、分步实施、商乘一体,可以满足全系列车型与主要汽车零部件企业的要求。公司增资控股华东试验场后，进一步增强其资金实力,有利于推进新一期项目的建设,可以更好的满足公司相关轮胎产品的检测、试验等需求,也有助于提升华东试验场汽车及相关零部件的测试能力,以便为广大客户提供更智能、更便捷、更高效的场地服务。2025年9月，该试验场投资建设的国内首家非公路轮胎测试平台正式完工，填补了国内非公路轮胎及其设备设施专业测试领域空白，对推动我国轮胎产业自主创新与高质量发展具有重要意义。1</w:t>
            </w:r>
            <w:r>
              <w:rPr>
                <w:rFonts w:ascii="宋体" w:hAnsi="宋体"/>
                <w:sz w:val="24"/>
                <w:szCs w:val="24"/>
              </w:rPr>
              <w:t>2</w:t>
            </w:r>
            <w:r>
              <w:rPr>
                <w:rFonts w:hint="eastAsia" w:ascii="宋体" w:hAnsi="宋体"/>
                <w:sz w:val="24"/>
                <w:szCs w:val="24"/>
              </w:rPr>
              <w:t>月，</w:t>
            </w:r>
          </w:p>
          <w:p w14:paraId="36CCD119">
            <w:pPr>
              <w:pStyle w:val="14"/>
              <w:spacing w:line="460" w:lineRule="exact"/>
              <w:ind w:left="-2" w:leftChars="-1" w:firstLine="482"/>
              <w:rPr>
                <w:rFonts w:ascii="宋体" w:hAnsi="宋体"/>
                <w:b/>
                <w:bCs/>
                <w:sz w:val="24"/>
                <w:szCs w:val="24"/>
              </w:rPr>
            </w:pPr>
            <w:r>
              <w:rPr>
                <w:rFonts w:hint="eastAsia" w:ascii="宋体" w:hAnsi="宋体"/>
                <w:b/>
                <w:bCs/>
                <w:sz w:val="24"/>
                <w:szCs w:val="24"/>
              </w:rPr>
              <w:t>8、公司非公路胎今年销售情况如何？</w:t>
            </w:r>
          </w:p>
          <w:p w14:paraId="53AAAD7C">
            <w:pPr>
              <w:pStyle w:val="14"/>
              <w:spacing w:line="460" w:lineRule="exact"/>
              <w:ind w:left="-2" w:leftChars="-1" w:firstLine="480" w:firstLineChars="0"/>
              <w:rPr>
                <w:rFonts w:ascii="宋体" w:hAnsi="宋体"/>
                <w:sz w:val="24"/>
                <w:szCs w:val="24"/>
              </w:rPr>
            </w:pPr>
            <w:r>
              <w:rPr>
                <w:rFonts w:hint="eastAsia" w:ascii="宋体" w:hAnsi="宋体"/>
                <w:sz w:val="24"/>
                <w:szCs w:val="24"/>
              </w:rPr>
              <w:t>答:公司在非公路轮胎市场实现了多项突破。今年与全球最大的铁矿石生产商之一的淡水河谷建立合作；在澳大利亚，公司巨型工程子午胎产品获得了国际矿业巨头必和必拓的认可；在东南亚，公司与广晟矿业集团下属泛奥公司签署了年度长协，为其老挝普巴矿业旗下两座大型金属矿山提供全方位、高性能的轮胎解决方案；在非洲，公司与力拓集团签订了五年供应协议暨全球框架协议，为其部分自有矿卡及配套辅助设备提供全套轮胎解决方案，并将逐步与力拓集团其他全球项目开启合作。</w:t>
            </w:r>
          </w:p>
          <w:p w14:paraId="53FAA9E8">
            <w:pPr>
              <w:pStyle w:val="14"/>
              <w:spacing w:line="460" w:lineRule="exact"/>
              <w:ind w:left="-2" w:leftChars="-1" w:firstLine="482"/>
              <w:rPr>
                <w:rFonts w:ascii="宋体" w:hAnsi="宋体"/>
                <w:b/>
                <w:bCs/>
                <w:sz w:val="24"/>
                <w:szCs w:val="24"/>
              </w:rPr>
            </w:pPr>
            <w:r>
              <w:rPr>
                <w:rFonts w:hint="eastAsia" w:ascii="宋体" w:hAnsi="宋体"/>
                <w:b/>
                <w:bCs/>
                <w:sz w:val="24"/>
                <w:szCs w:val="24"/>
              </w:rPr>
              <w:t>9、欧盟取消</w:t>
            </w:r>
            <w:r>
              <w:rPr>
                <w:rFonts w:hint="eastAsia" w:ascii="宋体" w:hAnsi="宋体"/>
                <w:b/>
                <w:bCs/>
                <w:sz w:val="24"/>
                <w:szCs w:val="24"/>
                <w:lang w:val="en-US" w:eastAsia="zh-CN"/>
              </w:rPr>
              <w:t>反倾销</w:t>
            </w:r>
            <w:r>
              <w:rPr>
                <w:rFonts w:hint="eastAsia" w:ascii="宋体" w:hAnsi="宋体"/>
                <w:b/>
                <w:bCs/>
                <w:sz w:val="24"/>
                <w:szCs w:val="24"/>
              </w:rPr>
              <w:t>初裁对公司有哪些不利影响？</w:t>
            </w:r>
          </w:p>
          <w:p w14:paraId="6C636012">
            <w:pPr>
              <w:pStyle w:val="14"/>
              <w:spacing w:line="460" w:lineRule="exact"/>
              <w:ind w:left="-2" w:leftChars="-1" w:firstLine="480"/>
              <w:rPr>
                <w:rFonts w:ascii="宋体" w:hAnsi="宋体"/>
                <w:sz w:val="24"/>
                <w:szCs w:val="24"/>
              </w:rPr>
            </w:pPr>
            <w:r>
              <w:rPr>
                <w:rFonts w:hint="eastAsia" w:ascii="宋体" w:hAnsi="宋体"/>
                <w:sz w:val="24"/>
                <w:szCs w:val="24"/>
              </w:rPr>
              <w:t>答:公司坚持全球化战略布局，目前公司出口到欧盟的订单基本都已转移到公司位于海外的工厂生产及发货，欧盟对中国轮胎的</w:t>
            </w:r>
            <w:r>
              <w:rPr>
                <w:rFonts w:hint="eastAsia" w:ascii="宋体" w:hAnsi="宋体"/>
                <w:sz w:val="24"/>
                <w:szCs w:val="24"/>
                <w:lang w:val="en-US" w:eastAsia="zh-CN"/>
              </w:rPr>
              <w:t>反倾销</w:t>
            </w:r>
            <w:r>
              <w:rPr>
                <w:rFonts w:hint="eastAsia" w:ascii="宋体" w:hAnsi="宋体"/>
                <w:sz w:val="24"/>
                <w:szCs w:val="24"/>
              </w:rPr>
              <w:t>政策落地时间的变更，预计不会对公司订单产生不利影响。</w:t>
            </w:r>
          </w:p>
          <w:p w14:paraId="73EAEFF5">
            <w:pPr>
              <w:pStyle w:val="14"/>
              <w:spacing w:line="460" w:lineRule="exact"/>
              <w:ind w:left="-2" w:leftChars="-1" w:firstLine="482"/>
              <w:rPr>
                <w:rFonts w:ascii="宋体" w:hAnsi="宋体"/>
                <w:b/>
                <w:bCs/>
                <w:sz w:val="24"/>
                <w:szCs w:val="24"/>
              </w:rPr>
            </w:pPr>
            <w:r>
              <w:rPr>
                <w:rFonts w:hint="eastAsia" w:ascii="宋体" w:hAnsi="宋体"/>
                <w:b/>
                <w:bCs/>
                <w:sz w:val="24"/>
                <w:szCs w:val="24"/>
              </w:rPr>
              <w:t>10、公司目前国内外产能分别有多少？</w:t>
            </w:r>
          </w:p>
          <w:p w14:paraId="16658230">
            <w:pPr>
              <w:pStyle w:val="14"/>
              <w:spacing w:line="460" w:lineRule="exact"/>
              <w:ind w:left="-2" w:leftChars="-1" w:firstLine="480" w:firstLineChars="0"/>
              <w:rPr>
                <w:rFonts w:ascii="宋体" w:hAnsi="宋体"/>
                <w:sz w:val="24"/>
                <w:szCs w:val="24"/>
              </w:rPr>
            </w:pPr>
            <w:r>
              <w:rPr>
                <w:rFonts w:hint="eastAsia" w:ascii="宋体" w:hAnsi="宋体"/>
                <w:sz w:val="24"/>
                <w:szCs w:val="24"/>
              </w:rPr>
              <w:t>答:截至目前，公司在国内规划年生产2,180万条全钢胎、6,000万条半钢胎、38.14万吨非公路轮胎，海外共规划年生产975万条全钢胎、4,900万条半钢胎和13.7万吨非公路轮胎的生产能力。</w:t>
            </w:r>
          </w:p>
          <w:p w14:paraId="5E27C314">
            <w:pPr>
              <w:pStyle w:val="14"/>
              <w:spacing w:line="460" w:lineRule="exact"/>
              <w:ind w:left="-2" w:leftChars="-1" w:firstLine="482"/>
              <w:rPr>
                <w:rFonts w:ascii="宋体" w:hAnsi="宋体"/>
                <w:b/>
                <w:bCs/>
                <w:sz w:val="24"/>
                <w:szCs w:val="24"/>
              </w:rPr>
            </w:pPr>
            <w:r>
              <w:rPr>
                <w:rFonts w:hint="eastAsia" w:ascii="宋体" w:hAnsi="宋体"/>
                <w:b/>
                <w:bCs/>
                <w:sz w:val="24"/>
                <w:szCs w:val="24"/>
              </w:rPr>
              <w:t>11、埃及工厂目前的建设进展？</w:t>
            </w:r>
          </w:p>
          <w:p w14:paraId="26987020">
            <w:pPr>
              <w:pStyle w:val="14"/>
              <w:spacing w:line="460" w:lineRule="exact"/>
              <w:ind w:left="-2" w:leftChars="-1" w:firstLine="480"/>
              <w:rPr>
                <w:rFonts w:ascii="宋体" w:hAnsi="宋体"/>
                <w:sz w:val="24"/>
                <w:szCs w:val="24"/>
              </w:rPr>
            </w:pPr>
            <w:r>
              <w:rPr>
                <w:rFonts w:hint="eastAsia" w:ascii="宋体" w:hAnsi="宋体"/>
                <w:sz w:val="24"/>
                <w:szCs w:val="24"/>
              </w:rPr>
              <w:t>答：埃及工厂预计总投资约2.9亿美金，共规划建设年产300万条半钢胎及60万条全钢胎。目前已开始进行前期土建环节的工作，建设完成后，不仅可以满足海外市场持续增长的产品需求，更可通过在海外本地化生产提高应对国际贸易壁垒的能力，对公司提升全球竞争力、拓展国际市场具有重要意义。</w:t>
            </w:r>
          </w:p>
          <w:p w14:paraId="19BC19EC">
            <w:pPr>
              <w:pStyle w:val="14"/>
              <w:spacing w:line="460" w:lineRule="exact"/>
              <w:ind w:left="-2" w:leftChars="-1" w:firstLine="480"/>
              <w:rPr>
                <w:rFonts w:ascii="宋体" w:hAnsi="宋体"/>
                <w:sz w:val="24"/>
                <w:szCs w:val="24"/>
              </w:rPr>
            </w:pP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5E38"/>
    <w:rsid w:val="002D6611"/>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21A4F"/>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63847"/>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31004"/>
    <w:rsid w:val="00D512E3"/>
    <w:rsid w:val="00D602C9"/>
    <w:rsid w:val="00D659D1"/>
    <w:rsid w:val="00D8372D"/>
    <w:rsid w:val="00D94E90"/>
    <w:rsid w:val="00DA26A9"/>
    <w:rsid w:val="00DB01FF"/>
    <w:rsid w:val="00DC7778"/>
    <w:rsid w:val="00DD594E"/>
    <w:rsid w:val="00DE7391"/>
    <w:rsid w:val="00DF2DB5"/>
    <w:rsid w:val="00DF361E"/>
    <w:rsid w:val="00DF6560"/>
    <w:rsid w:val="00E0422F"/>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2D81"/>
    <w:rsid w:val="00FF71D2"/>
    <w:rsid w:val="014E47A4"/>
    <w:rsid w:val="024B5C25"/>
    <w:rsid w:val="02F43955"/>
    <w:rsid w:val="03872335"/>
    <w:rsid w:val="04074A2A"/>
    <w:rsid w:val="045E6982"/>
    <w:rsid w:val="04CD4E0D"/>
    <w:rsid w:val="04E5152E"/>
    <w:rsid w:val="053F335C"/>
    <w:rsid w:val="05F30D52"/>
    <w:rsid w:val="07275CE5"/>
    <w:rsid w:val="07B20C20"/>
    <w:rsid w:val="07E84685"/>
    <w:rsid w:val="07F43921"/>
    <w:rsid w:val="0837350B"/>
    <w:rsid w:val="083F4D57"/>
    <w:rsid w:val="08582CB3"/>
    <w:rsid w:val="08964C8B"/>
    <w:rsid w:val="08E5231F"/>
    <w:rsid w:val="090360D7"/>
    <w:rsid w:val="093D3C5E"/>
    <w:rsid w:val="099B29F9"/>
    <w:rsid w:val="0A63192C"/>
    <w:rsid w:val="0BC07254"/>
    <w:rsid w:val="0C493B9B"/>
    <w:rsid w:val="0C93758E"/>
    <w:rsid w:val="0D1A3D9C"/>
    <w:rsid w:val="0D4D0B5F"/>
    <w:rsid w:val="0D4D2354"/>
    <w:rsid w:val="0D666523"/>
    <w:rsid w:val="0D966F17"/>
    <w:rsid w:val="0DC47F11"/>
    <w:rsid w:val="0DEB6B03"/>
    <w:rsid w:val="0E1D5BD4"/>
    <w:rsid w:val="0E207A31"/>
    <w:rsid w:val="0FA30C9F"/>
    <w:rsid w:val="0FD733BC"/>
    <w:rsid w:val="108D6EB8"/>
    <w:rsid w:val="10A61842"/>
    <w:rsid w:val="110F4875"/>
    <w:rsid w:val="12DF0C65"/>
    <w:rsid w:val="13313537"/>
    <w:rsid w:val="13544387"/>
    <w:rsid w:val="13706BF0"/>
    <w:rsid w:val="137F11E8"/>
    <w:rsid w:val="13C4450D"/>
    <w:rsid w:val="141B6967"/>
    <w:rsid w:val="147565DF"/>
    <w:rsid w:val="14E70151"/>
    <w:rsid w:val="158B67E1"/>
    <w:rsid w:val="16975FB0"/>
    <w:rsid w:val="16C01B54"/>
    <w:rsid w:val="16D2356A"/>
    <w:rsid w:val="172C1957"/>
    <w:rsid w:val="17B3729E"/>
    <w:rsid w:val="17E96DCA"/>
    <w:rsid w:val="17F95A0A"/>
    <w:rsid w:val="180F7009"/>
    <w:rsid w:val="18D93A98"/>
    <w:rsid w:val="19277BC7"/>
    <w:rsid w:val="195106E6"/>
    <w:rsid w:val="19BD3E5D"/>
    <w:rsid w:val="19E37083"/>
    <w:rsid w:val="1A442861"/>
    <w:rsid w:val="1A5F2288"/>
    <w:rsid w:val="1A816DFF"/>
    <w:rsid w:val="1B1D2492"/>
    <w:rsid w:val="1B2418A5"/>
    <w:rsid w:val="1B263D19"/>
    <w:rsid w:val="1B415A19"/>
    <w:rsid w:val="1C1B07AD"/>
    <w:rsid w:val="1D445E50"/>
    <w:rsid w:val="1D812873"/>
    <w:rsid w:val="1E1A6F96"/>
    <w:rsid w:val="1FBFC074"/>
    <w:rsid w:val="203C5BD3"/>
    <w:rsid w:val="204B02F6"/>
    <w:rsid w:val="2052439D"/>
    <w:rsid w:val="211B6FA2"/>
    <w:rsid w:val="21DE12B6"/>
    <w:rsid w:val="21E26D9D"/>
    <w:rsid w:val="22B65ABC"/>
    <w:rsid w:val="23B83520"/>
    <w:rsid w:val="241C2252"/>
    <w:rsid w:val="244A38CE"/>
    <w:rsid w:val="24E80350"/>
    <w:rsid w:val="25213F70"/>
    <w:rsid w:val="25AC38D5"/>
    <w:rsid w:val="261D2E7F"/>
    <w:rsid w:val="26492CDC"/>
    <w:rsid w:val="26C339D5"/>
    <w:rsid w:val="27486743"/>
    <w:rsid w:val="27950D85"/>
    <w:rsid w:val="27E94D39"/>
    <w:rsid w:val="27FC492A"/>
    <w:rsid w:val="280645A5"/>
    <w:rsid w:val="28B03A1C"/>
    <w:rsid w:val="29167E25"/>
    <w:rsid w:val="293272A7"/>
    <w:rsid w:val="29A71DB7"/>
    <w:rsid w:val="29AC03B5"/>
    <w:rsid w:val="29B52BCB"/>
    <w:rsid w:val="29FA2D3E"/>
    <w:rsid w:val="2A923B80"/>
    <w:rsid w:val="2A9422A9"/>
    <w:rsid w:val="2AED757D"/>
    <w:rsid w:val="2B620922"/>
    <w:rsid w:val="2B734E9D"/>
    <w:rsid w:val="2BA7533C"/>
    <w:rsid w:val="2C177530"/>
    <w:rsid w:val="2C253D8E"/>
    <w:rsid w:val="2C4460A7"/>
    <w:rsid w:val="2CF14F20"/>
    <w:rsid w:val="2DCB41D6"/>
    <w:rsid w:val="2E256BC7"/>
    <w:rsid w:val="2E592F1A"/>
    <w:rsid w:val="2EF06807"/>
    <w:rsid w:val="2F3A1C8E"/>
    <w:rsid w:val="2F8A1FFE"/>
    <w:rsid w:val="2FB34177"/>
    <w:rsid w:val="2FF91C3F"/>
    <w:rsid w:val="305B4C29"/>
    <w:rsid w:val="31B85A3E"/>
    <w:rsid w:val="31F54A45"/>
    <w:rsid w:val="31FD161E"/>
    <w:rsid w:val="327645E7"/>
    <w:rsid w:val="32CC663E"/>
    <w:rsid w:val="33645CC3"/>
    <w:rsid w:val="3488335F"/>
    <w:rsid w:val="349E052A"/>
    <w:rsid w:val="34D652B4"/>
    <w:rsid w:val="34FD33C1"/>
    <w:rsid w:val="35415B1D"/>
    <w:rsid w:val="359B46F3"/>
    <w:rsid w:val="35B61405"/>
    <w:rsid w:val="35DC7F6D"/>
    <w:rsid w:val="36160449"/>
    <w:rsid w:val="363E7508"/>
    <w:rsid w:val="36FB9E1F"/>
    <w:rsid w:val="36FC5627"/>
    <w:rsid w:val="3741073C"/>
    <w:rsid w:val="381D5949"/>
    <w:rsid w:val="38DA69D3"/>
    <w:rsid w:val="39590076"/>
    <w:rsid w:val="3961212F"/>
    <w:rsid w:val="39C443D2"/>
    <w:rsid w:val="3AE95412"/>
    <w:rsid w:val="3B517531"/>
    <w:rsid w:val="3BFA3B96"/>
    <w:rsid w:val="3C197A65"/>
    <w:rsid w:val="3C4A44EB"/>
    <w:rsid w:val="3CAF7E6D"/>
    <w:rsid w:val="3CE226B1"/>
    <w:rsid w:val="3CEF3472"/>
    <w:rsid w:val="3D834ACE"/>
    <w:rsid w:val="3E73157F"/>
    <w:rsid w:val="3E86281D"/>
    <w:rsid w:val="3EFF16E9"/>
    <w:rsid w:val="3F6825F3"/>
    <w:rsid w:val="3F7D54CC"/>
    <w:rsid w:val="40CD3EC6"/>
    <w:rsid w:val="419210A2"/>
    <w:rsid w:val="4213434C"/>
    <w:rsid w:val="42C03D90"/>
    <w:rsid w:val="431F67B4"/>
    <w:rsid w:val="43FB5176"/>
    <w:rsid w:val="445F30DB"/>
    <w:rsid w:val="448156A1"/>
    <w:rsid w:val="450A4511"/>
    <w:rsid w:val="45811178"/>
    <w:rsid w:val="46947ED0"/>
    <w:rsid w:val="478712AE"/>
    <w:rsid w:val="484D40EA"/>
    <w:rsid w:val="490B575C"/>
    <w:rsid w:val="499D3A9F"/>
    <w:rsid w:val="499D4576"/>
    <w:rsid w:val="4A59738B"/>
    <w:rsid w:val="4AD9315C"/>
    <w:rsid w:val="4B0D7215"/>
    <w:rsid w:val="4B0F5A0D"/>
    <w:rsid w:val="4BA27FBC"/>
    <w:rsid w:val="4D506E7B"/>
    <w:rsid w:val="4D864777"/>
    <w:rsid w:val="4DE91E71"/>
    <w:rsid w:val="4E1370FB"/>
    <w:rsid w:val="4E166300"/>
    <w:rsid w:val="4E2F3499"/>
    <w:rsid w:val="4EBA27E3"/>
    <w:rsid w:val="4EC95731"/>
    <w:rsid w:val="4F9323C9"/>
    <w:rsid w:val="50E41142"/>
    <w:rsid w:val="515458B0"/>
    <w:rsid w:val="51874D64"/>
    <w:rsid w:val="51F4195F"/>
    <w:rsid w:val="527111C9"/>
    <w:rsid w:val="53634460"/>
    <w:rsid w:val="5388729E"/>
    <w:rsid w:val="53BF706C"/>
    <w:rsid w:val="549338FF"/>
    <w:rsid w:val="54994F4D"/>
    <w:rsid w:val="55286314"/>
    <w:rsid w:val="552E13E0"/>
    <w:rsid w:val="565B781E"/>
    <w:rsid w:val="56611B3C"/>
    <w:rsid w:val="56CB6786"/>
    <w:rsid w:val="56D604B0"/>
    <w:rsid w:val="56E76DAC"/>
    <w:rsid w:val="57AA7B05"/>
    <w:rsid w:val="57E4165B"/>
    <w:rsid w:val="581157B6"/>
    <w:rsid w:val="58B0047A"/>
    <w:rsid w:val="592C42F5"/>
    <w:rsid w:val="59E542B1"/>
    <w:rsid w:val="5A604790"/>
    <w:rsid w:val="5A650D5A"/>
    <w:rsid w:val="5A686798"/>
    <w:rsid w:val="5B7A4104"/>
    <w:rsid w:val="5B7E2B2B"/>
    <w:rsid w:val="5C26156B"/>
    <w:rsid w:val="5C3C41E3"/>
    <w:rsid w:val="5CAA57DD"/>
    <w:rsid w:val="5CBC0AC3"/>
    <w:rsid w:val="5CD76845"/>
    <w:rsid w:val="5D350B78"/>
    <w:rsid w:val="5D3A0B7D"/>
    <w:rsid w:val="5D464695"/>
    <w:rsid w:val="5DAE4E34"/>
    <w:rsid w:val="5DD82899"/>
    <w:rsid w:val="5ECF671B"/>
    <w:rsid w:val="5F314559"/>
    <w:rsid w:val="5FE72FC9"/>
    <w:rsid w:val="601257DB"/>
    <w:rsid w:val="603B10E3"/>
    <w:rsid w:val="60D46992"/>
    <w:rsid w:val="61D01DD2"/>
    <w:rsid w:val="62D83CB7"/>
    <w:rsid w:val="631B780A"/>
    <w:rsid w:val="63340B4D"/>
    <w:rsid w:val="63C7659C"/>
    <w:rsid w:val="646C3068"/>
    <w:rsid w:val="64BA262A"/>
    <w:rsid w:val="64CC5BCB"/>
    <w:rsid w:val="653A410A"/>
    <w:rsid w:val="657E5B22"/>
    <w:rsid w:val="65FE7991"/>
    <w:rsid w:val="66AA5270"/>
    <w:rsid w:val="67001099"/>
    <w:rsid w:val="67587146"/>
    <w:rsid w:val="683A2C86"/>
    <w:rsid w:val="68751207"/>
    <w:rsid w:val="687D428F"/>
    <w:rsid w:val="68D56618"/>
    <w:rsid w:val="69F814E0"/>
    <w:rsid w:val="6ADE0725"/>
    <w:rsid w:val="6B527023"/>
    <w:rsid w:val="6B925083"/>
    <w:rsid w:val="6BFA733C"/>
    <w:rsid w:val="6C737CFB"/>
    <w:rsid w:val="6E072310"/>
    <w:rsid w:val="6EA665E1"/>
    <w:rsid w:val="6EDD17F3"/>
    <w:rsid w:val="6F247A8A"/>
    <w:rsid w:val="6F2871E3"/>
    <w:rsid w:val="6FE44502"/>
    <w:rsid w:val="70236471"/>
    <w:rsid w:val="70426DA6"/>
    <w:rsid w:val="70766666"/>
    <w:rsid w:val="71333506"/>
    <w:rsid w:val="718D24AC"/>
    <w:rsid w:val="71905711"/>
    <w:rsid w:val="723306AF"/>
    <w:rsid w:val="728B6EC5"/>
    <w:rsid w:val="734E202F"/>
    <w:rsid w:val="7468238A"/>
    <w:rsid w:val="74E03D43"/>
    <w:rsid w:val="755F2B0A"/>
    <w:rsid w:val="75760AE5"/>
    <w:rsid w:val="75F436FE"/>
    <w:rsid w:val="779C26DE"/>
    <w:rsid w:val="77CF73AC"/>
    <w:rsid w:val="78FF0116"/>
    <w:rsid w:val="79006EC8"/>
    <w:rsid w:val="79401402"/>
    <w:rsid w:val="796400B3"/>
    <w:rsid w:val="79B24925"/>
    <w:rsid w:val="7A3157EF"/>
    <w:rsid w:val="7ADE2779"/>
    <w:rsid w:val="7AF44B85"/>
    <w:rsid w:val="7B1E408D"/>
    <w:rsid w:val="7C656439"/>
    <w:rsid w:val="7CD96954"/>
    <w:rsid w:val="7D3B6687"/>
    <w:rsid w:val="7D5E7E3F"/>
    <w:rsid w:val="7DD84285"/>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505</Words>
  <Characters>2880</Characters>
  <Lines>24</Lines>
  <Paragraphs>6</Paragraphs>
  <TotalTime>87</TotalTime>
  <ScaleCrop>false</ScaleCrop>
  <LinksUpToDate>false</LinksUpToDate>
  <CharactersWithSpaces>3379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lei.qu</cp:lastModifiedBy>
  <cp:lastPrinted>2014-02-21T05:34:00Z</cp:lastPrinted>
  <dcterms:modified xsi:type="dcterms:W3CDTF">2025-12-31T05:13:03Z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551BA10BE3E44B739D75810B8C83C31F</vt:lpwstr>
  </property>
</Properties>
</file>