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C52DE">
      <w:pPr>
        <w:spacing w:before="277" w:after="120" w:afterLines="50" w:line="360" w:lineRule="auto"/>
        <w:ind w:left="10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证券代码：600060</w:t>
      </w:r>
      <w:r>
        <w:rPr>
          <w:rFonts w:ascii="Times New Roman" w:hAnsi="Times New Roman" w:eastAsia="Times New Roman" w:cs="Times New Roman"/>
          <w:sz w:val="24"/>
          <w:szCs w:val="24"/>
          <w:lang w:eastAsia="zh-CN"/>
        </w:rPr>
        <w:t xml:space="preserve">                                                                    </w:t>
      </w:r>
      <w:r>
        <w:rPr>
          <w:rFonts w:ascii="Times New Roman" w:hAnsi="Times New Roman" w:eastAsia="宋体" w:cs="Times New Roman"/>
          <w:spacing w:val="-1"/>
          <w:sz w:val="24"/>
          <w:szCs w:val="24"/>
          <w:lang w:eastAsia="zh-CN"/>
        </w:rPr>
        <w:t>证券简称：海信视像</w:t>
      </w:r>
    </w:p>
    <w:p w14:paraId="4A63CD70">
      <w:pPr>
        <w:spacing w:before="204" w:line="225" w:lineRule="auto"/>
        <w:jc w:val="center"/>
        <w:outlineLvl w:val="0"/>
        <w:rPr>
          <w:rFonts w:ascii="Times New Roman" w:hAnsi="Times New Roman" w:eastAsia="宋体" w:cs="Times New Roman"/>
          <w:b/>
          <w:bCs/>
          <w:spacing w:val="7"/>
          <w:sz w:val="31"/>
          <w:szCs w:val="31"/>
          <w:lang w:eastAsia="zh-CN"/>
        </w:rPr>
      </w:pPr>
      <w:r>
        <w:rPr>
          <w:rFonts w:ascii="Times New Roman" w:hAnsi="Times New Roman" w:eastAsia="宋体" w:cs="Times New Roman"/>
          <w:b/>
          <w:bCs/>
          <w:spacing w:val="7"/>
          <w:sz w:val="31"/>
          <w:szCs w:val="31"/>
          <w:lang w:eastAsia="zh-CN"/>
        </w:rPr>
        <w:t>海信视像科技股份有限公司投资者关系活动记录表</w:t>
      </w:r>
    </w:p>
    <w:p w14:paraId="65E20D7D">
      <w:pPr>
        <w:spacing w:before="204" w:line="225" w:lineRule="auto"/>
        <w:jc w:val="right"/>
        <w:outlineLvl w:val="0"/>
        <w:rPr>
          <w:rFonts w:hint="default" w:ascii="Times New Roman" w:hAnsi="Times New Roman" w:cs="Times New Roman"/>
          <w:sz w:val="2"/>
          <w:lang w:val="en-US" w:eastAsia="zh-CN"/>
        </w:rPr>
      </w:pPr>
      <w:r>
        <w:rPr>
          <w:rFonts w:ascii="Times New Roman" w:hAnsi="Times New Roman" w:eastAsia="宋体" w:cs="Times New Roman"/>
          <w:spacing w:val="-7"/>
          <w:sz w:val="24"/>
          <w:szCs w:val="24"/>
          <w:lang w:eastAsia="zh-CN"/>
        </w:rPr>
        <w:t>编号：2025-</w:t>
      </w:r>
      <w:r>
        <w:rPr>
          <w:rFonts w:hint="eastAsia" w:ascii="Times New Roman" w:hAnsi="Times New Roman" w:eastAsia="宋体" w:cs="Times New Roman"/>
          <w:spacing w:val="-7"/>
          <w:sz w:val="24"/>
          <w:szCs w:val="24"/>
          <w:lang w:val="en-US" w:eastAsia="zh-CN"/>
        </w:rPr>
        <w:t>13</w:t>
      </w:r>
    </w:p>
    <w:tbl>
      <w:tblPr>
        <w:tblStyle w:val="15"/>
        <w:tblW w:w="601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4"/>
        <w:gridCol w:w="3754"/>
        <w:gridCol w:w="4506"/>
      </w:tblGrid>
      <w:tr w14:paraId="4BDF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968" w:type="pct"/>
            <w:vAlign w:val="center"/>
          </w:tcPr>
          <w:p w14:paraId="3BBFB38B">
            <w:pPr>
              <w:spacing w:line="272" w:lineRule="auto"/>
              <w:jc w:val="center"/>
              <w:rPr>
                <w:rFonts w:ascii="Times New Roman" w:hAnsi="Times New Roman" w:cs="Times New Roman"/>
                <w:lang w:eastAsia="zh-CN"/>
              </w:rPr>
            </w:pPr>
          </w:p>
          <w:p w14:paraId="4457A381">
            <w:pPr>
              <w:spacing w:line="272" w:lineRule="auto"/>
              <w:jc w:val="center"/>
              <w:rPr>
                <w:rFonts w:ascii="Times New Roman" w:hAnsi="Times New Roman" w:cs="Times New Roman"/>
                <w:lang w:eastAsia="zh-CN"/>
              </w:rPr>
            </w:pPr>
          </w:p>
          <w:p w14:paraId="712854B1">
            <w:pPr>
              <w:pStyle w:val="16"/>
              <w:spacing w:before="78" w:line="356" w:lineRule="auto"/>
              <w:ind w:left="118" w:right="110" w:firstLine="1"/>
              <w:jc w:val="center"/>
              <w:rPr>
                <w:rFonts w:ascii="Times New Roman" w:hAnsi="Times New Roman" w:cs="Times New Roman"/>
              </w:rPr>
            </w:pPr>
            <w:r>
              <w:rPr>
                <w:rFonts w:ascii="Times New Roman" w:hAnsi="Times New Roman" w:cs="Times New Roman"/>
                <w:spacing w:val="4"/>
              </w:rPr>
              <w:t>投资者关系活</w:t>
            </w:r>
            <w:r>
              <w:rPr>
                <w:rFonts w:ascii="Times New Roman" w:hAnsi="Times New Roman" w:cs="Times New Roman"/>
                <w:spacing w:val="-3"/>
              </w:rPr>
              <w:t>动类别</w:t>
            </w:r>
          </w:p>
        </w:tc>
        <w:tc>
          <w:tcPr>
            <w:tcW w:w="1832" w:type="pct"/>
            <w:tcBorders>
              <w:right w:val="nil"/>
            </w:tcBorders>
          </w:tcPr>
          <w:p w14:paraId="3345F96C">
            <w:pPr>
              <w:pStyle w:val="16"/>
              <w:spacing w:before="117" w:line="220"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特定对象调研</w:t>
            </w:r>
          </w:p>
          <w:p w14:paraId="1E7E6619">
            <w:pPr>
              <w:pStyle w:val="16"/>
              <w:spacing w:before="182"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媒体采访</w:t>
            </w:r>
          </w:p>
          <w:p w14:paraId="721F99F5">
            <w:pPr>
              <w:pStyle w:val="16"/>
              <w:spacing w:before="183"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新闻发布会</w:t>
            </w:r>
          </w:p>
          <w:p w14:paraId="416233C8">
            <w:pPr>
              <w:pStyle w:val="16"/>
              <w:spacing w:before="182" w:line="219" w:lineRule="auto"/>
              <w:ind w:left="135"/>
              <w:rPr>
                <w:rFonts w:ascii="Times New Roman" w:hAnsi="Times New Roman" w:cs="Times New Roman"/>
                <w:spacing w:val="-6"/>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 xml:space="preserve">现场参观 </w:t>
            </w:r>
          </w:p>
          <w:p w14:paraId="6F694929">
            <w:pPr>
              <w:pStyle w:val="16"/>
              <w:spacing w:before="182" w:line="219" w:lineRule="auto"/>
              <w:ind w:left="135"/>
              <w:rPr>
                <w:rFonts w:ascii="Times New Roman" w:hAnsi="Times New Roman" w:cs="Times New Roman"/>
                <w:lang w:eastAsia="zh-CN"/>
              </w:rPr>
            </w:pPr>
            <w:r>
              <w:rPr>
                <w:rFonts w:hint="eastAsia" w:ascii="Segoe UI Symbol" w:hAnsi="Segoe UI Symbol" w:cs="Segoe UI Symbol"/>
                <w:spacing w:val="-5"/>
                <w:lang w:eastAsia="zh-CN"/>
              </w:rPr>
              <w:t>☑</w:t>
            </w:r>
            <w:r>
              <w:rPr>
                <w:rFonts w:ascii="Times New Roman" w:hAnsi="Times New Roman" w:cs="Times New Roman"/>
                <w:spacing w:val="-6"/>
                <w:lang w:eastAsia="zh-CN"/>
              </w:rPr>
              <w:t>其他</w:t>
            </w:r>
            <w:r>
              <w:rPr>
                <w:rFonts w:hint="eastAsia" w:ascii="Times New Roman" w:hAnsi="Times New Roman" w:cs="Times New Roman"/>
                <w:spacing w:val="-6"/>
                <w:lang w:eastAsia="zh-CN"/>
              </w:rPr>
              <w:t>（电话会议）</w:t>
            </w:r>
          </w:p>
        </w:tc>
        <w:tc>
          <w:tcPr>
            <w:tcW w:w="2198" w:type="pct"/>
            <w:tcBorders>
              <w:left w:val="nil"/>
            </w:tcBorders>
          </w:tcPr>
          <w:p w14:paraId="35288B01">
            <w:pPr>
              <w:pStyle w:val="16"/>
              <w:spacing w:before="117" w:line="219" w:lineRule="auto"/>
              <w:ind w:left="484"/>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2"/>
                <w:lang w:eastAsia="zh-CN"/>
              </w:rPr>
              <w:t>分析师会议</w:t>
            </w:r>
          </w:p>
          <w:p w14:paraId="6F69686C">
            <w:pPr>
              <w:pStyle w:val="16"/>
              <w:spacing w:before="183" w:line="219" w:lineRule="auto"/>
              <w:ind w:left="511"/>
              <w:rPr>
                <w:rFonts w:ascii="Times New Roman" w:hAnsi="Times New Roman" w:cs="Times New Roman"/>
                <w:sz w:val="22"/>
                <w:szCs w:val="22"/>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业绩说明会</w:t>
            </w:r>
          </w:p>
          <w:p w14:paraId="39D7E6E1">
            <w:pPr>
              <w:pStyle w:val="16"/>
              <w:spacing w:before="182" w:line="220" w:lineRule="auto"/>
              <w:ind w:left="511"/>
              <w:rPr>
                <w:rFonts w:ascii="Times New Roman" w:hAnsi="Times New Roman" w:cs="Times New Roman"/>
                <w:spacing w:val="-7"/>
                <w:lang w:eastAsia="zh-CN"/>
              </w:rPr>
            </w:pPr>
            <w:r>
              <w:rPr>
                <w:rFonts w:hint="eastAsia" w:ascii="Times New Roman" w:hAnsi="Times New Roman" w:cs="Times New Roman"/>
                <w:spacing w:val="-6"/>
                <w:lang w:eastAsia="zh-CN"/>
              </w:rPr>
              <w:t>☑</w:t>
            </w:r>
            <w:r>
              <w:rPr>
                <w:rFonts w:ascii="Times New Roman" w:hAnsi="Times New Roman" w:cs="Times New Roman"/>
                <w:spacing w:val="-7"/>
                <w:lang w:eastAsia="zh-CN"/>
              </w:rPr>
              <w:t>路演活动</w:t>
            </w:r>
          </w:p>
          <w:p w14:paraId="2AC11218">
            <w:pPr>
              <w:pStyle w:val="16"/>
              <w:spacing w:before="182" w:line="220" w:lineRule="auto"/>
              <w:ind w:left="511"/>
              <w:rPr>
                <w:rFonts w:ascii="Times New Roman" w:hAnsi="Times New Roman" w:cs="Times New Roman"/>
                <w:spacing w:val="-7"/>
                <w:lang w:eastAsia="zh-CN"/>
              </w:rPr>
            </w:pPr>
          </w:p>
        </w:tc>
      </w:tr>
      <w:tr w14:paraId="2F1C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968" w:type="pct"/>
            <w:vAlign w:val="center"/>
          </w:tcPr>
          <w:p w14:paraId="65B027C1">
            <w:pPr>
              <w:pStyle w:val="16"/>
              <w:spacing w:before="115" w:line="220" w:lineRule="auto"/>
              <w:ind w:left="119"/>
              <w:jc w:val="center"/>
              <w:rPr>
                <w:rFonts w:ascii="Times New Roman" w:hAnsi="Times New Roman" w:cs="Times New Roman"/>
              </w:rPr>
            </w:pPr>
            <w:r>
              <w:rPr>
                <w:rFonts w:ascii="Times New Roman" w:hAnsi="Times New Roman" w:cs="Times New Roman"/>
                <w:spacing w:val="-2"/>
              </w:rPr>
              <w:t>参与单位名称</w:t>
            </w:r>
          </w:p>
        </w:tc>
        <w:tc>
          <w:tcPr>
            <w:tcW w:w="4031" w:type="pct"/>
            <w:gridSpan w:val="2"/>
            <w:vAlign w:val="center"/>
          </w:tcPr>
          <w:p w14:paraId="593A6A13">
            <w:pPr>
              <w:pStyle w:val="16"/>
              <w:spacing w:before="120" w:beforeLines="50" w:after="120" w:afterLines="50" w:line="360" w:lineRule="auto"/>
              <w:jc w:val="both"/>
              <w:rPr>
                <w:rFonts w:hint="default" w:ascii="Times New Roman" w:hAnsi="Times New Roman" w:eastAsia="宋体" w:cs="Times New Roman"/>
                <w:color w:val="FF0000"/>
                <w:lang w:val="en-US" w:eastAsia="zh-CN"/>
              </w:rPr>
            </w:pPr>
            <w:r>
              <w:rPr>
                <w:rFonts w:hint="eastAsia" w:ascii="Times New Roman" w:hAnsi="Times New Roman" w:cs="Times New Roman"/>
                <w:color w:val="auto"/>
                <w:lang w:val="en-US" w:eastAsia="zh-CN"/>
              </w:rPr>
              <w:t>鹏扬基金、海富通基金、前海开源基金、弘道投资、中银基金、诺德基金、南方基金、富国基金、黄河财险、嘉实基金、博时基金、易方达基金、银华基金以及平安证券、诚通证券、国联民生证券、财通证券、中泰证券、兴业证券、天风证券、中信建投证券、银河证券、长江证券、中信证券、浙商证券、华安证券、东方证券等。</w:t>
            </w:r>
          </w:p>
        </w:tc>
      </w:tr>
      <w:tr w14:paraId="2B80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968" w:type="pct"/>
            <w:vAlign w:val="center"/>
          </w:tcPr>
          <w:p w14:paraId="6807D5DC">
            <w:pPr>
              <w:pStyle w:val="16"/>
              <w:spacing w:before="114" w:line="222" w:lineRule="auto"/>
              <w:ind w:left="128"/>
              <w:jc w:val="center"/>
              <w:rPr>
                <w:rFonts w:ascii="Times New Roman" w:hAnsi="Times New Roman" w:cs="Times New Roman"/>
              </w:rPr>
            </w:pPr>
            <w:r>
              <w:rPr>
                <w:rFonts w:ascii="Times New Roman" w:hAnsi="Times New Roman" w:cs="Times New Roman"/>
                <w:spacing w:val="-6"/>
              </w:rPr>
              <w:t>时间</w:t>
            </w:r>
          </w:p>
        </w:tc>
        <w:tc>
          <w:tcPr>
            <w:tcW w:w="4031" w:type="pct"/>
            <w:gridSpan w:val="2"/>
            <w:vAlign w:val="center"/>
          </w:tcPr>
          <w:p w14:paraId="0FA441E6">
            <w:pPr>
              <w:pStyle w:val="16"/>
              <w:spacing w:before="113" w:line="220" w:lineRule="auto"/>
              <w:rPr>
                <w:rFonts w:ascii="Times New Roman" w:hAnsi="Times New Roman" w:cs="Times New Roman"/>
                <w:lang w:eastAsia="zh-CN"/>
              </w:rPr>
            </w:pP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12</w:t>
            </w:r>
            <w:r>
              <w:rPr>
                <w:rFonts w:ascii="Times New Roman" w:hAnsi="Times New Roman" w:cs="Times New Roman"/>
                <w:spacing w:val="-4"/>
              </w:rPr>
              <w:t>月</w:t>
            </w:r>
            <w:r>
              <w:rPr>
                <w:rFonts w:hint="eastAsia" w:ascii="Times New Roman" w:hAnsi="Times New Roman" w:cs="Times New Roman"/>
                <w:spacing w:val="-4"/>
                <w:lang w:val="en-US" w:eastAsia="zh-CN"/>
              </w:rPr>
              <w:t>1</w:t>
            </w:r>
            <w:r>
              <w:rPr>
                <w:rFonts w:ascii="Times New Roman" w:hAnsi="Times New Roman" w:cs="Times New Roman"/>
                <w:spacing w:val="-4"/>
                <w:lang w:eastAsia="zh-CN"/>
              </w:rPr>
              <w:t>日</w:t>
            </w:r>
            <w:r>
              <w:rPr>
                <w:rFonts w:hint="eastAsia" w:ascii="Times New Roman" w:hAnsi="Times New Roman" w:cs="Times New Roman"/>
                <w:spacing w:val="-4"/>
                <w:lang w:eastAsia="zh-CN"/>
              </w:rPr>
              <w:t>至</w:t>
            </w: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12</w:t>
            </w:r>
            <w:r>
              <w:rPr>
                <w:rFonts w:ascii="Times New Roman" w:hAnsi="Times New Roman" w:cs="Times New Roman"/>
                <w:spacing w:val="-4"/>
              </w:rPr>
              <w:t>月</w:t>
            </w:r>
            <w:r>
              <w:rPr>
                <w:rFonts w:hint="eastAsia" w:ascii="Times New Roman" w:hAnsi="Times New Roman" w:cs="Times New Roman"/>
                <w:spacing w:val="-4"/>
                <w:lang w:val="en-US" w:eastAsia="zh-CN"/>
              </w:rPr>
              <w:t>31</w:t>
            </w:r>
            <w:r>
              <w:rPr>
                <w:rFonts w:ascii="Times New Roman" w:hAnsi="Times New Roman" w:cs="Times New Roman"/>
                <w:spacing w:val="-4"/>
                <w:lang w:eastAsia="zh-CN"/>
              </w:rPr>
              <w:t>日</w:t>
            </w:r>
          </w:p>
        </w:tc>
      </w:tr>
      <w:tr w14:paraId="3298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68" w:type="pct"/>
            <w:vAlign w:val="center"/>
          </w:tcPr>
          <w:p w14:paraId="0946ECE6">
            <w:pPr>
              <w:pStyle w:val="16"/>
              <w:spacing w:before="117" w:line="224" w:lineRule="auto"/>
              <w:ind w:left="117"/>
              <w:jc w:val="center"/>
              <w:rPr>
                <w:rFonts w:ascii="Times New Roman" w:hAnsi="Times New Roman" w:cs="Times New Roman"/>
              </w:rPr>
            </w:pPr>
            <w:r>
              <w:rPr>
                <w:rFonts w:ascii="Times New Roman" w:hAnsi="Times New Roman" w:cs="Times New Roman"/>
                <w:spacing w:val="-3"/>
              </w:rPr>
              <w:t>地点</w:t>
            </w:r>
          </w:p>
        </w:tc>
        <w:tc>
          <w:tcPr>
            <w:tcW w:w="4031" w:type="pct"/>
            <w:gridSpan w:val="2"/>
            <w:vAlign w:val="center"/>
          </w:tcPr>
          <w:p w14:paraId="00FADA5F">
            <w:pPr>
              <w:pStyle w:val="16"/>
              <w:spacing w:before="117" w:line="219" w:lineRule="auto"/>
              <w:rPr>
                <w:rFonts w:hint="default" w:ascii="Times New Roman" w:hAnsi="Times New Roman" w:cs="Times New Roman"/>
                <w:lang w:val="en-US" w:eastAsia="zh-CN"/>
              </w:rPr>
            </w:pPr>
            <w:r>
              <w:rPr>
                <w:rFonts w:hint="eastAsia" w:ascii="Times New Roman" w:hAnsi="Times New Roman" w:cs="Times New Roman"/>
                <w:lang w:eastAsia="zh-CN"/>
              </w:rPr>
              <w:t>公司会议室、</w:t>
            </w:r>
            <w:r>
              <w:rPr>
                <w:rFonts w:ascii="Times New Roman" w:hAnsi="Times New Roman" w:cs="Times New Roman"/>
                <w:lang w:eastAsia="zh-CN"/>
              </w:rPr>
              <w:t>电话会议</w:t>
            </w:r>
            <w:r>
              <w:rPr>
                <w:rFonts w:hint="eastAsia" w:ascii="Times New Roman" w:hAnsi="Times New Roman" w:cs="Times New Roman"/>
                <w:lang w:val="en-US" w:eastAsia="zh-CN"/>
              </w:rPr>
              <w:t>等</w:t>
            </w:r>
          </w:p>
        </w:tc>
      </w:tr>
      <w:tr w14:paraId="00C2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8" w:type="pct"/>
            <w:vAlign w:val="center"/>
          </w:tcPr>
          <w:p w14:paraId="11E0F2A3">
            <w:pPr>
              <w:pStyle w:val="16"/>
              <w:spacing w:before="116" w:line="313" w:lineRule="auto"/>
              <w:ind w:left="119" w:right="110"/>
              <w:jc w:val="center"/>
              <w:rPr>
                <w:rFonts w:ascii="Times New Roman" w:hAnsi="Times New Roman" w:cs="Times New Roman"/>
                <w:lang w:eastAsia="zh-CN"/>
              </w:rPr>
            </w:pPr>
            <w:r>
              <w:rPr>
                <w:rFonts w:ascii="Times New Roman" w:hAnsi="Times New Roman" w:cs="Times New Roman"/>
                <w:spacing w:val="4"/>
                <w:lang w:eastAsia="zh-CN"/>
              </w:rPr>
              <w:t>上市公司接待</w:t>
            </w:r>
            <w:r>
              <w:rPr>
                <w:rFonts w:ascii="Times New Roman" w:hAnsi="Times New Roman" w:cs="Times New Roman"/>
                <w:spacing w:val="-3"/>
                <w:lang w:eastAsia="zh-CN"/>
              </w:rPr>
              <w:t>人员姓名</w:t>
            </w:r>
          </w:p>
        </w:tc>
        <w:tc>
          <w:tcPr>
            <w:tcW w:w="4031" w:type="pct"/>
            <w:gridSpan w:val="2"/>
            <w:vAlign w:val="center"/>
          </w:tcPr>
          <w:p w14:paraId="69D2DD0F">
            <w:pPr>
              <w:pStyle w:val="16"/>
              <w:spacing w:after="120" w:afterLines="50" w:line="360" w:lineRule="auto"/>
              <w:jc w:val="both"/>
              <w:rPr>
                <w:rFonts w:hint="default" w:ascii="Times New Roman" w:hAnsi="Times New Roman" w:cs="Times New Roman"/>
                <w:lang w:val="en-US" w:eastAsia="zh-CN"/>
              </w:rPr>
            </w:pPr>
            <w:r>
              <w:rPr>
                <w:rFonts w:ascii="Times New Roman" w:hAnsi="Times New Roman" w:cs="Times New Roman"/>
                <w:lang w:eastAsia="zh-CN"/>
              </w:rPr>
              <w:t xml:space="preserve">董事会秘书   </w:t>
            </w:r>
            <w:r>
              <w:rPr>
                <w:rFonts w:hint="eastAsia" w:ascii="Times New Roman" w:hAnsi="Times New Roman" w:cs="Times New Roman"/>
                <w:lang w:val="en-US" w:eastAsia="zh-CN"/>
              </w:rPr>
              <w:t xml:space="preserve"> </w:t>
            </w:r>
            <w:r>
              <w:rPr>
                <w:rFonts w:ascii="Times New Roman" w:hAnsi="Times New Roman" w:cs="Times New Roman"/>
                <w:lang w:eastAsia="zh-CN"/>
              </w:rPr>
              <w:t>范</w:t>
            </w:r>
            <w:r>
              <w:rPr>
                <w:rFonts w:hint="eastAsia" w:ascii="Times New Roman" w:hAnsi="Times New Roman" w:cs="Times New Roman"/>
                <w:lang w:val="en-US" w:eastAsia="zh-CN"/>
              </w:rPr>
              <w:t xml:space="preserve">    </w:t>
            </w:r>
            <w:r>
              <w:rPr>
                <w:rFonts w:ascii="Times New Roman" w:hAnsi="Times New Roman" w:cs="Times New Roman"/>
                <w:lang w:eastAsia="zh-CN"/>
              </w:rPr>
              <w:t>潇</w:t>
            </w:r>
            <w:r>
              <w:rPr>
                <w:rFonts w:hint="eastAsia" w:ascii="Times New Roman" w:hAnsi="Times New Roman" w:cs="Times New Roman"/>
                <w:lang w:val="en-US" w:eastAsia="zh-CN"/>
              </w:rPr>
              <w:t xml:space="preserve">                  </w:t>
            </w:r>
          </w:p>
        </w:tc>
      </w:tr>
      <w:tr w14:paraId="77E3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0" w:hRule="atLeast"/>
          <w:jc w:val="center"/>
        </w:trPr>
        <w:tc>
          <w:tcPr>
            <w:tcW w:w="968" w:type="pct"/>
            <w:vAlign w:val="center"/>
          </w:tcPr>
          <w:p w14:paraId="314C7E04">
            <w:pPr>
              <w:pStyle w:val="16"/>
              <w:spacing w:before="116" w:line="313" w:lineRule="auto"/>
              <w:ind w:left="119" w:right="110"/>
              <w:jc w:val="both"/>
              <w:rPr>
                <w:rFonts w:ascii="Times New Roman" w:hAnsi="Times New Roman" w:cs="Times New Roman"/>
                <w:spacing w:val="4"/>
                <w:lang w:eastAsia="zh-CN"/>
              </w:rPr>
            </w:pPr>
            <w:r>
              <w:rPr>
                <w:rFonts w:ascii="Times New Roman" w:hAnsi="Times New Roman" w:cs="Times New Roman"/>
                <w:spacing w:val="4"/>
                <w:lang w:eastAsia="zh-CN"/>
              </w:rPr>
              <w:t>投资者关系活动主要内容介</w:t>
            </w:r>
            <w:r>
              <w:rPr>
                <w:rFonts w:ascii="Times New Roman" w:hAnsi="Times New Roman" w:cs="Times New Roman"/>
                <w:lang w:eastAsia="zh-CN"/>
              </w:rPr>
              <w:t>绍</w:t>
            </w:r>
          </w:p>
        </w:tc>
        <w:tc>
          <w:tcPr>
            <w:tcW w:w="4031" w:type="pct"/>
            <w:gridSpan w:val="2"/>
            <w:vAlign w:val="center"/>
          </w:tcPr>
          <w:p w14:paraId="5C51F75D">
            <w:pPr>
              <w:pStyle w:val="16"/>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2025年全球Mini LED电视渗透率加速提升，公司Mini LED业务在技术壁垒、成本控制及市场竞争方面有哪些核心优势支撑份额提升？</w:t>
            </w:r>
          </w:p>
          <w:p w14:paraId="7FD3B374">
            <w:pPr>
              <w:pStyle w:val="16"/>
              <w:spacing w:before="120" w:beforeLines="50" w:after="120" w:afterLines="50" w:line="360" w:lineRule="auto"/>
              <w:ind w:firstLine="480" w:firstLineChars="200"/>
              <w:jc w:val="both"/>
              <w:rPr>
                <w:rFonts w:hint="eastAsia" w:ascii="微软雅黑" w:hAnsi="微软雅黑" w:eastAsia="微软雅黑" w:cs="微软雅黑"/>
                <w:sz w:val="24"/>
                <w:szCs w:val="24"/>
              </w:rPr>
            </w:pPr>
            <w:r>
              <w:rPr>
                <w:rFonts w:hint="eastAsia" w:ascii="Times New Roman" w:hAnsi="Times New Roman" w:cs="Times New Roman"/>
                <w:color w:val="auto"/>
                <w:lang w:val="en-US" w:eastAsia="zh-CN"/>
              </w:rPr>
              <w:t>答：</w:t>
            </w:r>
            <w:r>
              <w:rPr>
                <w:rFonts w:hint="eastAsia" w:ascii="宋体" w:hAnsi="宋体" w:eastAsia="宋体" w:cs="宋体"/>
                <w:sz w:val="24"/>
                <w:szCs w:val="24"/>
                <w:lang w:val="en-US" w:eastAsia="zh-CN"/>
              </w:rPr>
              <w:t>公司坚持“技术立企”战略，自主研发RGB光色同控AI画质芯片H7与高性能RGB-Mini LED背光芯片，</w:t>
            </w:r>
            <w:r>
              <w:rPr>
                <w:rFonts w:hint="eastAsia" w:ascii="宋体" w:hAnsi="宋体" w:eastAsia="宋体" w:cs="宋体"/>
                <w:sz w:val="24"/>
                <w:szCs w:val="24"/>
                <w:lang w:val="en-US" w:eastAsia="zh"/>
                <w:woUserID w:val="1"/>
              </w:rPr>
              <w:t>成功</w:t>
            </w:r>
            <w:r>
              <w:rPr>
                <w:rFonts w:hint="eastAsia" w:ascii="宋体" w:hAnsi="宋体" w:eastAsia="宋体" w:cs="宋体"/>
                <w:sz w:val="24"/>
                <w:szCs w:val="24"/>
                <w:lang w:val="en-US" w:eastAsia="zh-CN"/>
              </w:rPr>
              <w:t>攻克RGB-Mini LED产业化中光色同控芯片与算法、高光效与高可靠性LED发光芯片的“两芯”难题，实现液晶显示从传统单色背光到RGB三色背光、液晶显示背光从单一亮度控制到光色同控的重大跨越，以中国自主技术定义全球画质新标杆。成本控制方面，公司</w:t>
            </w:r>
            <w:r>
              <w:rPr>
                <w:rFonts w:hint="eastAsia" w:ascii="宋体" w:hAnsi="宋体" w:eastAsia="宋体" w:cs="宋体"/>
                <w:sz w:val="24"/>
                <w:szCs w:val="24"/>
                <w:lang w:val="en-US" w:eastAsia="zh"/>
                <w:woUserID w:val="1"/>
              </w:rPr>
              <w:t>持续提升电视芯片的国产化率，通过协同产业链上下游技术创新，不断完善国内芯片产业链生态</w:t>
            </w:r>
            <w:r>
              <w:rPr>
                <w:rFonts w:hint="eastAsia" w:ascii="宋体" w:hAnsi="宋体" w:eastAsia="宋体" w:cs="宋体"/>
                <w:sz w:val="24"/>
                <w:szCs w:val="24"/>
                <w:lang w:val="en-US" w:eastAsia="zh-CN"/>
              </w:rPr>
              <w:t>，有效降低产业链成本并缩短研发成果产业化周期。市场竞争方面，公司</w:t>
            </w:r>
            <w:r>
              <w:rPr>
                <w:rFonts w:hint="eastAsia" w:ascii="宋体" w:hAnsi="宋体" w:eastAsia="宋体" w:cs="宋体"/>
                <w:sz w:val="24"/>
                <w:szCs w:val="24"/>
                <w:lang w:val="en-US" w:eastAsia="zh"/>
                <w:woUserID w:val="1"/>
              </w:rPr>
              <w:t>自主研发的</w:t>
            </w:r>
            <w:r>
              <w:rPr>
                <w:rFonts w:hint="eastAsia" w:ascii="宋体" w:hAnsi="宋体" w:eastAsia="宋体" w:cs="宋体"/>
                <w:sz w:val="24"/>
                <w:szCs w:val="24"/>
                <w:lang w:val="en-US" w:eastAsia="zh-CN"/>
                <w:woUserID w:val="1"/>
              </w:rPr>
              <w:t>RGB-M</w:t>
            </w:r>
            <w:r>
              <w:rPr>
                <w:rFonts w:hint="eastAsia" w:ascii="宋体" w:hAnsi="宋体" w:eastAsia="宋体" w:cs="宋体"/>
                <w:sz w:val="24"/>
                <w:szCs w:val="24"/>
                <w:lang w:val="en-US" w:eastAsia="zh-CN"/>
              </w:rPr>
              <w:t>ini LED</w:t>
            </w:r>
            <w:r>
              <w:rPr>
                <w:rFonts w:hint="eastAsia" w:ascii="宋体" w:hAnsi="宋体" w:eastAsia="宋体" w:cs="宋体"/>
                <w:sz w:val="24"/>
                <w:szCs w:val="24"/>
                <w:lang w:val="en-US" w:eastAsia="zh"/>
              </w:rPr>
              <w:t>电视</w:t>
            </w:r>
            <w:r>
              <w:rPr>
                <w:rFonts w:hint="eastAsia" w:ascii="宋体" w:hAnsi="宋体" w:eastAsia="宋体" w:cs="宋体"/>
                <w:sz w:val="24"/>
                <w:szCs w:val="24"/>
                <w:lang w:val="en-US" w:eastAsia="zh-CN"/>
              </w:rPr>
              <w:t>产品已形成覆盖85、100、116英寸等主流及超大尺寸</w:t>
            </w:r>
            <w:r>
              <w:rPr>
                <w:rFonts w:hint="eastAsia" w:ascii="宋体" w:hAnsi="宋体" w:eastAsia="宋体" w:cs="宋体"/>
                <w:sz w:val="24"/>
                <w:szCs w:val="24"/>
                <w:lang w:val="en-US" w:eastAsia="zh"/>
              </w:rPr>
              <w:t>。随着世界杯、3A游戏大作集中爆发，公司提前布局，并推出了</w:t>
            </w:r>
            <w:r>
              <w:rPr>
                <w:rFonts w:hint="eastAsia" w:ascii="宋体" w:hAnsi="宋体" w:eastAsia="宋体" w:cs="宋体"/>
                <w:sz w:val="24"/>
                <w:szCs w:val="24"/>
                <w:lang w:val="en-US" w:eastAsia="zh-CN"/>
              </w:rPr>
              <w:t>U7S Pro</w:t>
            </w:r>
            <w:r>
              <w:rPr>
                <w:rFonts w:hint="eastAsia" w:ascii="宋体" w:hAnsi="宋体" w:eastAsia="宋体" w:cs="宋体"/>
                <w:sz w:val="24"/>
                <w:szCs w:val="24"/>
                <w:lang w:val="en-US" w:eastAsia="zh"/>
              </w:rPr>
              <w:t>影像旗舰、</w:t>
            </w:r>
            <w:r>
              <w:rPr>
                <w:rFonts w:hint="eastAsia" w:ascii="宋体" w:hAnsi="宋体" w:eastAsia="宋体" w:cs="宋体"/>
                <w:sz w:val="24"/>
                <w:szCs w:val="24"/>
                <w:lang w:val="en-US" w:eastAsia="zh-CN"/>
              </w:rPr>
              <w:t>E8S Pro影游旗舰等RGB-Mini LED电视</w:t>
            </w:r>
            <w:r>
              <w:rPr>
                <w:rFonts w:hint="eastAsia" w:ascii="宋体" w:hAnsi="宋体" w:eastAsia="宋体" w:cs="宋体"/>
                <w:sz w:val="24"/>
                <w:szCs w:val="24"/>
                <w:lang w:val="en-US" w:eastAsia="zh"/>
              </w:rPr>
              <w:t>新</w:t>
            </w:r>
            <w:r>
              <w:rPr>
                <w:rFonts w:hint="eastAsia" w:ascii="宋体" w:hAnsi="宋体" w:eastAsia="宋体" w:cs="宋体"/>
                <w:sz w:val="24"/>
                <w:szCs w:val="24"/>
                <w:lang w:val="en-US" w:eastAsia="zh-CN"/>
              </w:rPr>
              <w:t>品</w:t>
            </w:r>
            <w:r>
              <w:rPr>
                <w:rFonts w:hint="eastAsia" w:ascii="宋体" w:hAnsi="宋体" w:eastAsia="宋体" w:cs="宋体"/>
                <w:sz w:val="24"/>
                <w:szCs w:val="24"/>
                <w:lang w:val="en-US" w:eastAsia="zh"/>
              </w:rPr>
              <w:t>，</w:t>
            </w:r>
            <w:r>
              <w:rPr>
                <w:rFonts w:hint="eastAsia" w:ascii="宋体" w:hAnsi="宋体" w:eastAsia="宋体" w:cs="宋体"/>
                <w:sz w:val="24"/>
                <w:szCs w:val="24"/>
                <w:lang w:val="en-US" w:eastAsia="zh-CN"/>
              </w:rPr>
              <w:t>可充分承接</w:t>
            </w:r>
            <w:r>
              <w:rPr>
                <w:rFonts w:hint="eastAsia" w:ascii="宋体" w:hAnsi="宋体" w:eastAsia="宋体" w:cs="宋体"/>
                <w:sz w:val="24"/>
                <w:szCs w:val="24"/>
                <w:lang w:val="en-US" w:eastAsia="zh"/>
              </w:rPr>
              <w:t>2026年世界杯、</w:t>
            </w:r>
            <w:r>
              <w:rPr>
                <w:rFonts w:hint="eastAsia" w:ascii="宋体" w:hAnsi="宋体" w:eastAsia="宋体" w:cs="宋体"/>
                <w:sz w:val="24"/>
                <w:szCs w:val="24"/>
                <w:lang w:val="en-US" w:eastAsia="zh-CN"/>
              </w:rPr>
              <w:t>游戏用户需求。2025年</w:t>
            </w:r>
            <w:r>
              <w:rPr>
                <w:rFonts w:hint="eastAsia" w:cs="宋体"/>
                <w:sz w:val="24"/>
                <w:szCs w:val="24"/>
                <w:lang w:val="en-US" w:eastAsia="zh-CN"/>
              </w:rPr>
              <w:t>前</w:t>
            </w:r>
            <w:r>
              <w:rPr>
                <w:rFonts w:hint="eastAsia" w:ascii="宋体" w:hAnsi="宋体" w:eastAsia="宋体" w:cs="宋体"/>
                <w:sz w:val="24"/>
                <w:szCs w:val="24"/>
                <w:lang w:val="en-US" w:eastAsia="zh-CN"/>
              </w:rPr>
              <w:t>三季度，公司Mini LED电视全球出货量同比增长76%，中国市场销量同比增长超过200%，通过先发优势与规模化效应进一步巩固市场竞争力。</w:t>
            </w:r>
            <w:r>
              <w:rPr>
                <w:rFonts w:hint="eastAsia" w:ascii="微软雅黑" w:hAnsi="微软雅黑" w:eastAsia="微软雅黑" w:cs="微软雅黑"/>
                <w:sz w:val="24"/>
                <w:szCs w:val="24"/>
              </w:rPr>
              <w:br w:type="page"/>
            </w:r>
          </w:p>
          <w:p w14:paraId="14B24C47">
            <w:pPr>
              <w:pStyle w:val="16"/>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新型显示已被国家列为重点培育的战略性新兴产业，请问公司具体有哪些前沿技术储备和布局规划？</w:t>
            </w:r>
          </w:p>
          <w:p w14:paraId="016083E1">
            <w:pPr>
              <w:pStyle w:val="16"/>
              <w:spacing w:before="120" w:beforeLines="50" w:after="120" w:afterLines="50"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答：公司紧密围绕国家产业战略方向，以显示技术为核心进行前瞻性布局，持续深化高效协同的“1+（4+N）”产业生态建设。在</w:t>
            </w:r>
            <w:r>
              <w:rPr>
                <w:rFonts w:hint="eastAsia" w:ascii="Times New Roman" w:hAnsi="Times New Roman" w:cs="Times New Roman"/>
                <w:color w:val="auto"/>
                <w:lang w:val="en-US" w:eastAsia="zh-CN"/>
              </w:rPr>
              <w:t>液晶显示</w:t>
            </w:r>
            <w:r>
              <w:rPr>
                <w:rFonts w:hint="eastAsia" w:ascii="Times New Roman" w:hAnsi="Times New Roman" w:eastAsia="宋体" w:cs="Times New Roman"/>
                <w:color w:val="auto"/>
                <w:lang w:val="en-US" w:eastAsia="zh-CN"/>
              </w:rPr>
              <w:t>领域，公司</w:t>
            </w:r>
            <w:r>
              <w:rPr>
                <w:rFonts w:hint="eastAsia" w:ascii="Times New Roman" w:hAnsi="Times New Roman" w:cs="Times New Roman"/>
                <w:color w:val="auto"/>
                <w:lang w:val="en-US" w:eastAsia="zh-CN"/>
              </w:rPr>
              <w:t>全球首创RGB-Mini LED显示技术</w:t>
            </w:r>
            <w:r>
              <w:rPr>
                <w:rFonts w:hint="eastAsia" w:ascii="Times New Roman" w:hAnsi="Times New Roman" w:eastAsia="宋体" w:cs="Times New Roman"/>
                <w:color w:val="auto"/>
                <w:lang w:val="en-US" w:eastAsia="zh-CN"/>
              </w:rPr>
              <w:t>，实现了从单色背光到RGB三色背光、从单一亮度控制到光色同控的重大跨越，并通过升级黑曜屏技术在画质、尺寸、刷新率及能耗上全面突破。在激光显示领域，公司通过整合全新显示芯片与激光器，开发出光通量输出提升50%的全新主机平台，并首发光谱选择屏幕与高亮度的三色激光智能投影产品，持续树立技术标杆。在Micro LED领域，公司基于覆盖芯片研发至画质还原的五大核心环节垂直技术体系，首创双芯架构实现像素级精确控光，并率先攻克家用级EMC认证难题，推动产品进入家庭场景。此外，公司积极将显示核心能力向多元场景拓展，在商用显示、云服务、芯片等新业务领域加速应用落地，并积极布局人工智能、AR/VR等与显示深度交互的新兴赛道，旨在打造驱动未来持续增长的新引擎，全面夯实在未来显示竞争中的核心技术基础。</w:t>
            </w:r>
          </w:p>
          <w:p w14:paraId="2E86B4B8">
            <w:pPr>
              <w:pStyle w:val="16"/>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请问公司控股的乾照光电，除了在LED芯片、半导体等领域布局外，在其他前沿技术的研发和产业化方面有哪些新的进展和布局？</w:t>
            </w:r>
          </w:p>
          <w:p w14:paraId="64AE3166">
            <w:pPr>
              <w:pStyle w:val="16"/>
              <w:spacing w:before="120" w:beforeLines="50" w:after="120" w:afterLines="50"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答：乾照光电作为公司在上游芯片环节的重要战略布局，在巩固LED芯片主营业务的同时，正积极培育面向未来的第二增长曲线，重点聚焦商业航天、VCSEL及光通信等新兴领域。在商业航天方面，其业务已从外延片延伸至芯片，形成了更具竞争力的垂直产业链，进一步巩固了在该领域的护城河并提升了产品价值量。在VCSEL及光通信领域，</w:t>
            </w:r>
            <w:r>
              <w:rPr>
                <w:rFonts w:hint="eastAsia" w:ascii="Times New Roman" w:hAnsi="Times New Roman" w:cs="Times New Roman"/>
                <w:color w:val="auto"/>
                <w:lang w:val="en-US" w:eastAsia="zh-CN"/>
              </w:rPr>
              <w:t>与</w:t>
            </w:r>
            <w:r>
              <w:rPr>
                <w:rFonts w:hint="eastAsia" w:ascii="Times New Roman" w:hAnsi="Times New Roman" w:eastAsia="宋体" w:cs="Times New Roman"/>
                <w:color w:val="auto"/>
                <w:lang w:val="en-US" w:eastAsia="zh-CN"/>
              </w:rPr>
              <w:t>海信宽带</w:t>
            </w:r>
            <w:r>
              <w:rPr>
                <w:rFonts w:hint="eastAsia" w:ascii="Times New Roman" w:hAnsi="Times New Roman" w:cs="Times New Roman"/>
                <w:color w:val="auto"/>
                <w:lang w:val="en-US" w:eastAsia="zh-CN"/>
              </w:rPr>
              <w:t>进行</w:t>
            </w:r>
            <w:r>
              <w:rPr>
                <w:rFonts w:hint="eastAsia" w:ascii="Times New Roman" w:hAnsi="Times New Roman" w:eastAsia="宋体" w:cs="Times New Roman"/>
                <w:color w:val="auto"/>
                <w:lang w:val="en-US" w:eastAsia="zh-CN"/>
              </w:rPr>
              <w:t>技术协同，加快芯片研发进程，目前10G/25G产品已送样客户验证，50G/100G产品进入流片阶段，展现了其在高速光芯片领域的技术突破和产</w:t>
            </w:r>
            <w:bookmarkStart w:id="0" w:name="_GoBack"/>
            <w:bookmarkEnd w:id="0"/>
            <w:r>
              <w:rPr>
                <w:rFonts w:hint="eastAsia" w:ascii="Times New Roman" w:hAnsi="Times New Roman" w:eastAsia="宋体" w:cs="Times New Roman"/>
                <w:color w:val="auto"/>
                <w:lang w:val="en-US" w:eastAsia="zh-CN"/>
              </w:rPr>
              <w:t>业化潜力，为未来增长奠定基础。</w:t>
            </w:r>
          </w:p>
          <w:p w14:paraId="48D437E9">
            <w:pPr>
              <w:pStyle w:val="16"/>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即将到来的2026年世界杯，公司近期有哪些举措来推动产品销量与市场份额提升？</w:t>
            </w:r>
          </w:p>
          <w:p w14:paraId="11C107A6">
            <w:pPr>
              <w:pStyle w:val="16"/>
              <w:spacing w:before="120" w:beforeLines="50" w:after="120" w:afterLines="50"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答：</w:t>
            </w:r>
            <w:r>
              <w:rPr>
                <w:rFonts w:hint="eastAsia" w:ascii="宋体" w:hAnsi="宋体" w:eastAsia="宋体" w:cs="宋体"/>
                <w:sz w:val="24"/>
                <w:szCs w:val="24"/>
                <w:lang w:val="en-US" w:eastAsia="zh-CN"/>
              </w:rPr>
              <w:t>作为2026年世界杯官方赞助商，公司正通过系列营销活动强化品牌曝光和市场渗透。公司于12月将作为国际足联世界杯的冠军奖杯的大力神杯首次引入青岛进行巡展，并发起“最多人组成的人形大力神杯”吉尼斯世界纪录挑战，吸引了大量球迷和媒体关注，有效提升了品牌曝光度与消费者参与感。同时，公司联合苏宁易购等核心渠道伙伴，在全国重点门店落地世界杯主题体验馆，并推出包括RGB-Mini LED电视在内的2026世界杯定制全系产品，为消费者构建沉浸式观赛场景。这些举措旨在将顶级赛事IP的影响力转化为市场动能，为公司业绩增长注入新动力。</w:t>
            </w:r>
          </w:p>
          <w:p w14:paraId="483F73E3">
            <w:pPr>
              <w:pStyle w:val="16"/>
              <w:spacing w:before="120" w:beforeLines="50" w:after="120" w:afterLines="50" w:line="360" w:lineRule="auto"/>
              <w:jc w:val="both"/>
              <w:rPr>
                <w:rFonts w:hint="default" w:ascii="Times New Roman" w:hAnsi="Times New Roman" w:cs="Times New Roman"/>
                <w:color w:val="auto"/>
                <w:lang w:val="en-US" w:eastAsia="zh-CN"/>
              </w:rPr>
            </w:pPr>
          </w:p>
        </w:tc>
      </w:tr>
    </w:tbl>
    <w:p w14:paraId="7D3A022D">
      <w:pPr>
        <w:jc w:val="center"/>
        <w:rPr>
          <w:rFonts w:ascii="Times New Roman" w:hAnsi="Times New Roman" w:cs="Times New Roman"/>
          <w:lang w:eastAsia="zh-CN"/>
        </w:rPr>
      </w:pPr>
    </w:p>
    <w:sectPr>
      <w:pgSz w:w="11907" w:h="16839"/>
      <w:pgMar w:top="737" w:right="1694" w:bottom="737" w:left="169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53066"/>
    <w:multiLevelType w:val="multilevel"/>
    <w:tmpl w:val="3F75306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00013270"/>
    <w:rsid w:val="000258DA"/>
    <w:rsid w:val="00026A3C"/>
    <w:rsid w:val="00027473"/>
    <w:rsid w:val="000433B0"/>
    <w:rsid w:val="000528A6"/>
    <w:rsid w:val="000566D4"/>
    <w:rsid w:val="00063A98"/>
    <w:rsid w:val="000648F2"/>
    <w:rsid w:val="000720F6"/>
    <w:rsid w:val="000878B0"/>
    <w:rsid w:val="00095EE6"/>
    <w:rsid w:val="00096328"/>
    <w:rsid w:val="000A12D3"/>
    <w:rsid w:val="000B5B1D"/>
    <w:rsid w:val="000C4CE2"/>
    <w:rsid w:val="000D7D44"/>
    <w:rsid w:val="000F6158"/>
    <w:rsid w:val="001010F6"/>
    <w:rsid w:val="00102283"/>
    <w:rsid w:val="00115C8E"/>
    <w:rsid w:val="00116842"/>
    <w:rsid w:val="00132FD5"/>
    <w:rsid w:val="001339D6"/>
    <w:rsid w:val="00135E16"/>
    <w:rsid w:val="00152FD0"/>
    <w:rsid w:val="00153A81"/>
    <w:rsid w:val="00161E1E"/>
    <w:rsid w:val="00180497"/>
    <w:rsid w:val="0018684E"/>
    <w:rsid w:val="001878F1"/>
    <w:rsid w:val="001A7542"/>
    <w:rsid w:val="001B1907"/>
    <w:rsid w:val="001B21C1"/>
    <w:rsid w:val="001B58A9"/>
    <w:rsid w:val="001C061C"/>
    <w:rsid w:val="001C5778"/>
    <w:rsid w:val="001D1F73"/>
    <w:rsid w:val="001D66E8"/>
    <w:rsid w:val="001F443D"/>
    <w:rsid w:val="001F7D21"/>
    <w:rsid w:val="00202EDC"/>
    <w:rsid w:val="002078FE"/>
    <w:rsid w:val="00215D42"/>
    <w:rsid w:val="00227F8A"/>
    <w:rsid w:val="002330D1"/>
    <w:rsid w:val="002419CA"/>
    <w:rsid w:val="00251171"/>
    <w:rsid w:val="0025222F"/>
    <w:rsid w:val="00253848"/>
    <w:rsid w:val="00254B68"/>
    <w:rsid w:val="00255864"/>
    <w:rsid w:val="002630E1"/>
    <w:rsid w:val="002639ED"/>
    <w:rsid w:val="002665EF"/>
    <w:rsid w:val="00282F35"/>
    <w:rsid w:val="002943D3"/>
    <w:rsid w:val="002E7A10"/>
    <w:rsid w:val="002F1506"/>
    <w:rsid w:val="002F636D"/>
    <w:rsid w:val="003041E7"/>
    <w:rsid w:val="00304697"/>
    <w:rsid w:val="00313B73"/>
    <w:rsid w:val="003211D9"/>
    <w:rsid w:val="0033713F"/>
    <w:rsid w:val="00347596"/>
    <w:rsid w:val="00364753"/>
    <w:rsid w:val="00365786"/>
    <w:rsid w:val="003727CA"/>
    <w:rsid w:val="0038006B"/>
    <w:rsid w:val="00381231"/>
    <w:rsid w:val="003A1EDC"/>
    <w:rsid w:val="003A6954"/>
    <w:rsid w:val="003B32E2"/>
    <w:rsid w:val="003B42D1"/>
    <w:rsid w:val="003C6F36"/>
    <w:rsid w:val="003D14E6"/>
    <w:rsid w:val="003D524D"/>
    <w:rsid w:val="003D7D3D"/>
    <w:rsid w:val="003F10D8"/>
    <w:rsid w:val="003F4193"/>
    <w:rsid w:val="003F77B0"/>
    <w:rsid w:val="00400638"/>
    <w:rsid w:val="00405F80"/>
    <w:rsid w:val="00416404"/>
    <w:rsid w:val="004264B0"/>
    <w:rsid w:val="00445ED0"/>
    <w:rsid w:val="004466A9"/>
    <w:rsid w:val="0045514D"/>
    <w:rsid w:val="0046515E"/>
    <w:rsid w:val="0047436B"/>
    <w:rsid w:val="00483747"/>
    <w:rsid w:val="004902CD"/>
    <w:rsid w:val="0049271B"/>
    <w:rsid w:val="00497D95"/>
    <w:rsid w:val="004A074D"/>
    <w:rsid w:val="004A6B28"/>
    <w:rsid w:val="004A6E80"/>
    <w:rsid w:val="004D379F"/>
    <w:rsid w:val="004D650C"/>
    <w:rsid w:val="004E110E"/>
    <w:rsid w:val="004F0040"/>
    <w:rsid w:val="005018B5"/>
    <w:rsid w:val="00503B28"/>
    <w:rsid w:val="00511139"/>
    <w:rsid w:val="005155C1"/>
    <w:rsid w:val="005203B6"/>
    <w:rsid w:val="005242AD"/>
    <w:rsid w:val="005436D0"/>
    <w:rsid w:val="00555B77"/>
    <w:rsid w:val="0057355D"/>
    <w:rsid w:val="00582B2F"/>
    <w:rsid w:val="00593B99"/>
    <w:rsid w:val="0059784C"/>
    <w:rsid w:val="005978C7"/>
    <w:rsid w:val="005A20E2"/>
    <w:rsid w:val="005A7D2E"/>
    <w:rsid w:val="005B57CE"/>
    <w:rsid w:val="005B5D5C"/>
    <w:rsid w:val="005C35F8"/>
    <w:rsid w:val="005E02BA"/>
    <w:rsid w:val="005F3B68"/>
    <w:rsid w:val="00602685"/>
    <w:rsid w:val="00603B0A"/>
    <w:rsid w:val="0060571A"/>
    <w:rsid w:val="0061331C"/>
    <w:rsid w:val="006262FC"/>
    <w:rsid w:val="00642804"/>
    <w:rsid w:val="0064439F"/>
    <w:rsid w:val="00646BDD"/>
    <w:rsid w:val="0065359E"/>
    <w:rsid w:val="00654F37"/>
    <w:rsid w:val="00660ACD"/>
    <w:rsid w:val="006642E7"/>
    <w:rsid w:val="006771F2"/>
    <w:rsid w:val="0068377E"/>
    <w:rsid w:val="00691AF0"/>
    <w:rsid w:val="00694F83"/>
    <w:rsid w:val="00697AF8"/>
    <w:rsid w:val="006A40AC"/>
    <w:rsid w:val="006B0432"/>
    <w:rsid w:val="006B1E29"/>
    <w:rsid w:val="006B3BF4"/>
    <w:rsid w:val="006B5826"/>
    <w:rsid w:val="006B6C0C"/>
    <w:rsid w:val="006C6E82"/>
    <w:rsid w:val="006D6CFE"/>
    <w:rsid w:val="006D76E5"/>
    <w:rsid w:val="006F253E"/>
    <w:rsid w:val="006F3A6B"/>
    <w:rsid w:val="00701A97"/>
    <w:rsid w:val="00701CDE"/>
    <w:rsid w:val="007069FF"/>
    <w:rsid w:val="0071271A"/>
    <w:rsid w:val="0071680F"/>
    <w:rsid w:val="00721A3C"/>
    <w:rsid w:val="007235DA"/>
    <w:rsid w:val="007253E1"/>
    <w:rsid w:val="00734E08"/>
    <w:rsid w:val="00735CFA"/>
    <w:rsid w:val="00735FB6"/>
    <w:rsid w:val="0073618F"/>
    <w:rsid w:val="00747F36"/>
    <w:rsid w:val="007514AB"/>
    <w:rsid w:val="00754290"/>
    <w:rsid w:val="00754498"/>
    <w:rsid w:val="0075590F"/>
    <w:rsid w:val="00756484"/>
    <w:rsid w:val="00763464"/>
    <w:rsid w:val="00776833"/>
    <w:rsid w:val="0078668C"/>
    <w:rsid w:val="00790039"/>
    <w:rsid w:val="007A0FB9"/>
    <w:rsid w:val="007B14E0"/>
    <w:rsid w:val="007C57A9"/>
    <w:rsid w:val="007C6CB9"/>
    <w:rsid w:val="007D2BC0"/>
    <w:rsid w:val="007D3C9B"/>
    <w:rsid w:val="007F30CB"/>
    <w:rsid w:val="007F60B3"/>
    <w:rsid w:val="008035EF"/>
    <w:rsid w:val="008062D6"/>
    <w:rsid w:val="008071CB"/>
    <w:rsid w:val="0081198C"/>
    <w:rsid w:val="008254FF"/>
    <w:rsid w:val="00830360"/>
    <w:rsid w:val="00832AC0"/>
    <w:rsid w:val="008435C9"/>
    <w:rsid w:val="008449E3"/>
    <w:rsid w:val="00855870"/>
    <w:rsid w:val="0087238E"/>
    <w:rsid w:val="00877B66"/>
    <w:rsid w:val="00887818"/>
    <w:rsid w:val="00897825"/>
    <w:rsid w:val="008A4DB6"/>
    <w:rsid w:val="008B4BD6"/>
    <w:rsid w:val="008B68E8"/>
    <w:rsid w:val="008C224B"/>
    <w:rsid w:val="008C24E6"/>
    <w:rsid w:val="008C2D1A"/>
    <w:rsid w:val="008C4D9D"/>
    <w:rsid w:val="008D5C2C"/>
    <w:rsid w:val="008D6412"/>
    <w:rsid w:val="008D768F"/>
    <w:rsid w:val="008F0267"/>
    <w:rsid w:val="00900F18"/>
    <w:rsid w:val="00912E03"/>
    <w:rsid w:val="0091785A"/>
    <w:rsid w:val="009301CB"/>
    <w:rsid w:val="0093392E"/>
    <w:rsid w:val="00935084"/>
    <w:rsid w:val="009445BA"/>
    <w:rsid w:val="009570DB"/>
    <w:rsid w:val="00963F33"/>
    <w:rsid w:val="009715D6"/>
    <w:rsid w:val="00971B3B"/>
    <w:rsid w:val="0098378D"/>
    <w:rsid w:val="00985409"/>
    <w:rsid w:val="00987326"/>
    <w:rsid w:val="00994859"/>
    <w:rsid w:val="009A1671"/>
    <w:rsid w:val="009A66CD"/>
    <w:rsid w:val="009A7ED2"/>
    <w:rsid w:val="009B2534"/>
    <w:rsid w:val="009B5B12"/>
    <w:rsid w:val="009B7B0F"/>
    <w:rsid w:val="009C1127"/>
    <w:rsid w:val="009E77AC"/>
    <w:rsid w:val="009F5C67"/>
    <w:rsid w:val="009F6113"/>
    <w:rsid w:val="00A007F4"/>
    <w:rsid w:val="00A23B10"/>
    <w:rsid w:val="00A25571"/>
    <w:rsid w:val="00A25AB4"/>
    <w:rsid w:val="00A262F1"/>
    <w:rsid w:val="00A30CCF"/>
    <w:rsid w:val="00A3641B"/>
    <w:rsid w:val="00A4434C"/>
    <w:rsid w:val="00A634F6"/>
    <w:rsid w:val="00A77627"/>
    <w:rsid w:val="00AA0E52"/>
    <w:rsid w:val="00AA70F6"/>
    <w:rsid w:val="00AB32CF"/>
    <w:rsid w:val="00AB5A40"/>
    <w:rsid w:val="00AC7BB4"/>
    <w:rsid w:val="00B16D06"/>
    <w:rsid w:val="00B42227"/>
    <w:rsid w:val="00B54DEB"/>
    <w:rsid w:val="00B608BD"/>
    <w:rsid w:val="00B635FD"/>
    <w:rsid w:val="00B75C0D"/>
    <w:rsid w:val="00B77915"/>
    <w:rsid w:val="00B82CFC"/>
    <w:rsid w:val="00B84A94"/>
    <w:rsid w:val="00B90D34"/>
    <w:rsid w:val="00B97E05"/>
    <w:rsid w:val="00BA54F6"/>
    <w:rsid w:val="00BC36E1"/>
    <w:rsid w:val="00BC7451"/>
    <w:rsid w:val="00BE2107"/>
    <w:rsid w:val="00BE5771"/>
    <w:rsid w:val="00C012C4"/>
    <w:rsid w:val="00C04086"/>
    <w:rsid w:val="00C06DF6"/>
    <w:rsid w:val="00C12561"/>
    <w:rsid w:val="00C21C58"/>
    <w:rsid w:val="00C22DFC"/>
    <w:rsid w:val="00C235CF"/>
    <w:rsid w:val="00C248D5"/>
    <w:rsid w:val="00C3085F"/>
    <w:rsid w:val="00C330F9"/>
    <w:rsid w:val="00C54CCF"/>
    <w:rsid w:val="00C55CE5"/>
    <w:rsid w:val="00C721DD"/>
    <w:rsid w:val="00C80C4A"/>
    <w:rsid w:val="00C8294D"/>
    <w:rsid w:val="00C92ECE"/>
    <w:rsid w:val="00C9419A"/>
    <w:rsid w:val="00C95359"/>
    <w:rsid w:val="00CA5D74"/>
    <w:rsid w:val="00CB6B05"/>
    <w:rsid w:val="00CB7634"/>
    <w:rsid w:val="00CB78FF"/>
    <w:rsid w:val="00CC30E7"/>
    <w:rsid w:val="00CC6824"/>
    <w:rsid w:val="00CD4A4E"/>
    <w:rsid w:val="00D05F96"/>
    <w:rsid w:val="00D0641B"/>
    <w:rsid w:val="00D15993"/>
    <w:rsid w:val="00D21F86"/>
    <w:rsid w:val="00D25D6B"/>
    <w:rsid w:val="00D30CD2"/>
    <w:rsid w:val="00D434B6"/>
    <w:rsid w:val="00D46F9C"/>
    <w:rsid w:val="00D51F0B"/>
    <w:rsid w:val="00D6574B"/>
    <w:rsid w:val="00D70681"/>
    <w:rsid w:val="00D82759"/>
    <w:rsid w:val="00D96A06"/>
    <w:rsid w:val="00DE0B40"/>
    <w:rsid w:val="00DE3D73"/>
    <w:rsid w:val="00DE5956"/>
    <w:rsid w:val="00DF152D"/>
    <w:rsid w:val="00DF24CF"/>
    <w:rsid w:val="00E104C3"/>
    <w:rsid w:val="00E116A1"/>
    <w:rsid w:val="00E13EDA"/>
    <w:rsid w:val="00E22F5A"/>
    <w:rsid w:val="00E2376B"/>
    <w:rsid w:val="00E273C3"/>
    <w:rsid w:val="00E33296"/>
    <w:rsid w:val="00E36234"/>
    <w:rsid w:val="00E40699"/>
    <w:rsid w:val="00E4143F"/>
    <w:rsid w:val="00E503CA"/>
    <w:rsid w:val="00E61428"/>
    <w:rsid w:val="00E61436"/>
    <w:rsid w:val="00E72277"/>
    <w:rsid w:val="00E73F47"/>
    <w:rsid w:val="00E80FFB"/>
    <w:rsid w:val="00EA0E43"/>
    <w:rsid w:val="00EB2569"/>
    <w:rsid w:val="00EC2BB0"/>
    <w:rsid w:val="00F01655"/>
    <w:rsid w:val="00F04FBD"/>
    <w:rsid w:val="00F066C2"/>
    <w:rsid w:val="00F078B0"/>
    <w:rsid w:val="00F1678C"/>
    <w:rsid w:val="00F16B8C"/>
    <w:rsid w:val="00F27911"/>
    <w:rsid w:val="00F564FC"/>
    <w:rsid w:val="00F60D2B"/>
    <w:rsid w:val="00F6150B"/>
    <w:rsid w:val="00F63A0D"/>
    <w:rsid w:val="00F65269"/>
    <w:rsid w:val="00F654B8"/>
    <w:rsid w:val="00F65985"/>
    <w:rsid w:val="00F67A80"/>
    <w:rsid w:val="00FB37BD"/>
    <w:rsid w:val="00FC266A"/>
    <w:rsid w:val="00FD1A68"/>
    <w:rsid w:val="00FD4774"/>
    <w:rsid w:val="00FD7C16"/>
    <w:rsid w:val="00FE1CDA"/>
    <w:rsid w:val="00FE4037"/>
    <w:rsid w:val="00FE57BF"/>
    <w:rsid w:val="00FF4DC1"/>
    <w:rsid w:val="012B4701"/>
    <w:rsid w:val="01A473FF"/>
    <w:rsid w:val="01D628BE"/>
    <w:rsid w:val="02CC7B09"/>
    <w:rsid w:val="036A7762"/>
    <w:rsid w:val="037C716B"/>
    <w:rsid w:val="03930A79"/>
    <w:rsid w:val="03CA2248"/>
    <w:rsid w:val="03E219EE"/>
    <w:rsid w:val="04137DFA"/>
    <w:rsid w:val="05667807"/>
    <w:rsid w:val="056C5A14"/>
    <w:rsid w:val="066C1739"/>
    <w:rsid w:val="06D927DC"/>
    <w:rsid w:val="076C7F34"/>
    <w:rsid w:val="08A70B11"/>
    <w:rsid w:val="091A424A"/>
    <w:rsid w:val="09671F72"/>
    <w:rsid w:val="0972111F"/>
    <w:rsid w:val="09BC05EC"/>
    <w:rsid w:val="09E10052"/>
    <w:rsid w:val="09FB7366"/>
    <w:rsid w:val="0A6D7B38"/>
    <w:rsid w:val="0B15662E"/>
    <w:rsid w:val="0CDA7707"/>
    <w:rsid w:val="0E9E4764"/>
    <w:rsid w:val="0ECD6ED4"/>
    <w:rsid w:val="0F8B28D2"/>
    <w:rsid w:val="0FBF79A8"/>
    <w:rsid w:val="10030B85"/>
    <w:rsid w:val="10190546"/>
    <w:rsid w:val="12AA1929"/>
    <w:rsid w:val="12AB2A46"/>
    <w:rsid w:val="1384217A"/>
    <w:rsid w:val="14E629C1"/>
    <w:rsid w:val="150D0E85"/>
    <w:rsid w:val="15296B66"/>
    <w:rsid w:val="155D48B9"/>
    <w:rsid w:val="160E6673"/>
    <w:rsid w:val="1708666A"/>
    <w:rsid w:val="19037FE5"/>
    <w:rsid w:val="19C24C2F"/>
    <w:rsid w:val="19F33BB6"/>
    <w:rsid w:val="1A310B82"/>
    <w:rsid w:val="1A8D7508"/>
    <w:rsid w:val="1AA94BBC"/>
    <w:rsid w:val="1AC437A4"/>
    <w:rsid w:val="1B5A59F0"/>
    <w:rsid w:val="1CDD1FCF"/>
    <w:rsid w:val="1CFA16FF"/>
    <w:rsid w:val="1D5202A2"/>
    <w:rsid w:val="1DA13AFA"/>
    <w:rsid w:val="1E000793"/>
    <w:rsid w:val="1E370533"/>
    <w:rsid w:val="1F182311"/>
    <w:rsid w:val="1F5844BB"/>
    <w:rsid w:val="1F69491A"/>
    <w:rsid w:val="1F980D5B"/>
    <w:rsid w:val="1FA3063F"/>
    <w:rsid w:val="1FAD3F88"/>
    <w:rsid w:val="208D2876"/>
    <w:rsid w:val="20F326ED"/>
    <w:rsid w:val="20F46465"/>
    <w:rsid w:val="210B63F6"/>
    <w:rsid w:val="211D3DA7"/>
    <w:rsid w:val="21FB3F4F"/>
    <w:rsid w:val="2211795D"/>
    <w:rsid w:val="22291FCF"/>
    <w:rsid w:val="22AB6B3F"/>
    <w:rsid w:val="23937AC8"/>
    <w:rsid w:val="23E00F22"/>
    <w:rsid w:val="24B0361B"/>
    <w:rsid w:val="25FD42CD"/>
    <w:rsid w:val="267F67D1"/>
    <w:rsid w:val="2A4E308A"/>
    <w:rsid w:val="2AC83C3E"/>
    <w:rsid w:val="2B822FEC"/>
    <w:rsid w:val="2BDA654F"/>
    <w:rsid w:val="2CA15303"/>
    <w:rsid w:val="2E7B3D35"/>
    <w:rsid w:val="2EA927A9"/>
    <w:rsid w:val="2EAB0AAB"/>
    <w:rsid w:val="2F991CA5"/>
    <w:rsid w:val="315076E8"/>
    <w:rsid w:val="32854830"/>
    <w:rsid w:val="332C4891"/>
    <w:rsid w:val="35E674FA"/>
    <w:rsid w:val="3652180C"/>
    <w:rsid w:val="36EF0E4D"/>
    <w:rsid w:val="378659C1"/>
    <w:rsid w:val="37922808"/>
    <w:rsid w:val="37EB1F18"/>
    <w:rsid w:val="38BD1B07"/>
    <w:rsid w:val="38F60B75"/>
    <w:rsid w:val="39FE4185"/>
    <w:rsid w:val="3A2B2AA0"/>
    <w:rsid w:val="3AD55680"/>
    <w:rsid w:val="3AE6337E"/>
    <w:rsid w:val="3B874CE3"/>
    <w:rsid w:val="3B9603ED"/>
    <w:rsid w:val="3BB07701"/>
    <w:rsid w:val="3C3519B4"/>
    <w:rsid w:val="3C756255"/>
    <w:rsid w:val="3C791FDE"/>
    <w:rsid w:val="3DC6320C"/>
    <w:rsid w:val="3EFB0C93"/>
    <w:rsid w:val="3F7B000C"/>
    <w:rsid w:val="3FBDE036"/>
    <w:rsid w:val="3FF3309B"/>
    <w:rsid w:val="40134E4D"/>
    <w:rsid w:val="41B45A71"/>
    <w:rsid w:val="43010842"/>
    <w:rsid w:val="432205D2"/>
    <w:rsid w:val="437E6337"/>
    <w:rsid w:val="44537B7B"/>
    <w:rsid w:val="45A4262C"/>
    <w:rsid w:val="45B846D6"/>
    <w:rsid w:val="46813FDD"/>
    <w:rsid w:val="47451867"/>
    <w:rsid w:val="47F008D6"/>
    <w:rsid w:val="48C46704"/>
    <w:rsid w:val="492D2391"/>
    <w:rsid w:val="49D62A28"/>
    <w:rsid w:val="49E8450A"/>
    <w:rsid w:val="4A4A0D21"/>
    <w:rsid w:val="4A6E0CD3"/>
    <w:rsid w:val="4AD60806"/>
    <w:rsid w:val="4BF74ED8"/>
    <w:rsid w:val="4BFC429C"/>
    <w:rsid w:val="4C013FBC"/>
    <w:rsid w:val="4C5FC75B"/>
    <w:rsid w:val="4C7402D7"/>
    <w:rsid w:val="4C8B22A5"/>
    <w:rsid w:val="4F0F2539"/>
    <w:rsid w:val="4F1B7FA7"/>
    <w:rsid w:val="4F7C497F"/>
    <w:rsid w:val="4FE039D8"/>
    <w:rsid w:val="503A176D"/>
    <w:rsid w:val="51581605"/>
    <w:rsid w:val="51C26265"/>
    <w:rsid w:val="528A2602"/>
    <w:rsid w:val="529B7BC9"/>
    <w:rsid w:val="53853260"/>
    <w:rsid w:val="53C775DA"/>
    <w:rsid w:val="53E06252"/>
    <w:rsid w:val="55F10BEA"/>
    <w:rsid w:val="5862495B"/>
    <w:rsid w:val="5A53152E"/>
    <w:rsid w:val="5AB77ABD"/>
    <w:rsid w:val="5C2B2A4F"/>
    <w:rsid w:val="5CC63083"/>
    <w:rsid w:val="5CC83CEB"/>
    <w:rsid w:val="5CEB76B4"/>
    <w:rsid w:val="5D464BE3"/>
    <w:rsid w:val="5DE30E18"/>
    <w:rsid w:val="5F3D2D8C"/>
    <w:rsid w:val="5FF39DF9"/>
    <w:rsid w:val="603262EF"/>
    <w:rsid w:val="60B13450"/>
    <w:rsid w:val="60FE2644"/>
    <w:rsid w:val="625E7607"/>
    <w:rsid w:val="63021D41"/>
    <w:rsid w:val="63057A83"/>
    <w:rsid w:val="63AD76F5"/>
    <w:rsid w:val="642A7E72"/>
    <w:rsid w:val="64F551FD"/>
    <w:rsid w:val="654F5217"/>
    <w:rsid w:val="657F3B1C"/>
    <w:rsid w:val="660D1128"/>
    <w:rsid w:val="66553BDD"/>
    <w:rsid w:val="67397F49"/>
    <w:rsid w:val="677671A1"/>
    <w:rsid w:val="691A4E3E"/>
    <w:rsid w:val="691C78D4"/>
    <w:rsid w:val="6ACA6966"/>
    <w:rsid w:val="6AF6662F"/>
    <w:rsid w:val="6B596BBE"/>
    <w:rsid w:val="6E2D7E8C"/>
    <w:rsid w:val="6E712470"/>
    <w:rsid w:val="6E7B6E4B"/>
    <w:rsid w:val="6EC60143"/>
    <w:rsid w:val="6F024E2E"/>
    <w:rsid w:val="6F2A4AF9"/>
    <w:rsid w:val="6FA348AB"/>
    <w:rsid w:val="701513F0"/>
    <w:rsid w:val="722B4B4E"/>
    <w:rsid w:val="7287124A"/>
    <w:rsid w:val="72E5624E"/>
    <w:rsid w:val="73987733"/>
    <w:rsid w:val="752244C4"/>
    <w:rsid w:val="75285696"/>
    <w:rsid w:val="76781F92"/>
    <w:rsid w:val="770045CD"/>
    <w:rsid w:val="77212C85"/>
    <w:rsid w:val="77534E09"/>
    <w:rsid w:val="775F515F"/>
    <w:rsid w:val="779C230C"/>
    <w:rsid w:val="796B2DFE"/>
    <w:rsid w:val="79FC2AD8"/>
    <w:rsid w:val="7AB67B89"/>
    <w:rsid w:val="7CE26037"/>
    <w:rsid w:val="7D8C038C"/>
    <w:rsid w:val="7DD30D3F"/>
    <w:rsid w:val="7E1153D8"/>
    <w:rsid w:val="7EAB7A4E"/>
    <w:rsid w:val="7F282D84"/>
    <w:rsid w:val="7F5576EC"/>
    <w:rsid w:val="7FA2808B"/>
    <w:rsid w:val="BF7F01BF"/>
    <w:rsid w:val="CFFA9BEF"/>
    <w:rsid w:val="DFDBE67B"/>
    <w:rsid w:val="DFFF6725"/>
    <w:rsid w:val="EEF20544"/>
    <w:rsid w:val="EFF9420B"/>
    <w:rsid w:val="F557AB4B"/>
    <w:rsid w:val="F5A7D12F"/>
    <w:rsid w:val="FFDF8FA6"/>
    <w:rsid w:val="FFEFF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style>
  <w:style w:type="paragraph" w:styleId="3">
    <w:name w:val="Balloon Text"/>
    <w:basedOn w:val="1"/>
    <w:link w:val="23"/>
    <w:qFormat/>
    <w:uiPriority w:val="0"/>
    <w:rPr>
      <w:sz w:val="18"/>
      <w:szCs w:val="18"/>
    </w:rPr>
  </w:style>
  <w:style w:type="paragraph" w:styleId="4">
    <w:name w:val="footer"/>
    <w:basedOn w:val="1"/>
    <w:link w:val="19"/>
    <w:qFormat/>
    <w:uiPriority w:val="0"/>
    <w:pPr>
      <w:tabs>
        <w:tab w:val="center" w:pos="4153"/>
        <w:tab w:val="right" w:pos="8306"/>
      </w:tabs>
    </w:pPr>
    <w:rPr>
      <w:sz w:val="18"/>
      <w:szCs w:val="18"/>
    </w:rPr>
  </w:style>
  <w:style w:type="paragraph" w:styleId="5">
    <w:name w:val="header"/>
    <w:basedOn w:val="1"/>
    <w:link w:val="18"/>
    <w:qFormat/>
    <w:uiPriority w:val="0"/>
    <w:pPr>
      <w:pBdr>
        <w:bottom w:val="single" w:color="auto" w:sz="6" w:space="1"/>
      </w:pBdr>
      <w:tabs>
        <w:tab w:val="center" w:pos="4153"/>
        <w:tab w:val="right" w:pos="8306"/>
      </w:tabs>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7">
    <w:name w:val="Normal (Web)"/>
    <w:basedOn w:val="1"/>
    <w:qFormat/>
    <w:uiPriority w:val="99"/>
    <w:pPr>
      <w:widowControl w:val="0"/>
      <w:kinsoku/>
      <w:autoSpaceDE/>
      <w:autoSpaceDN/>
      <w:adjustRightInd/>
      <w:snapToGrid/>
      <w:jc w:val="both"/>
      <w:textAlignment w:val="auto"/>
    </w:pPr>
    <w:rPr>
      <w:rFonts w:asciiTheme="minorHAnsi" w:hAnsiTheme="minorHAnsi" w:eastAsiaTheme="minorEastAsia" w:cstheme="minorBidi"/>
      <w:snapToGrid/>
      <w:color w:val="auto"/>
      <w:kern w:val="2"/>
      <w:sz w:val="24"/>
      <w:szCs w:val="24"/>
      <w:lang w:eastAsia="zh-CN"/>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rPr>
  </w:style>
  <w:style w:type="paragraph" w:styleId="17">
    <w:name w:val="List Paragraph"/>
    <w:basedOn w:val="1"/>
    <w:qFormat/>
    <w:uiPriority w:val="34"/>
    <w:pPr>
      <w:ind w:firstLine="420" w:firstLineChars="200"/>
    </w:pPr>
  </w:style>
  <w:style w:type="character" w:customStyle="1" w:styleId="18">
    <w:name w:val="页眉 字符"/>
    <w:basedOn w:val="11"/>
    <w:link w:val="5"/>
    <w:qFormat/>
    <w:uiPriority w:val="0"/>
    <w:rPr>
      <w:rFonts w:ascii="Arial" w:hAnsi="Arial" w:eastAsia="Arial" w:cs="Arial"/>
      <w:snapToGrid w:val="0"/>
      <w:color w:val="000000"/>
      <w:sz w:val="18"/>
      <w:szCs w:val="18"/>
      <w:lang w:eastAsia="en-US"/>
    </w:rPr>
  </w:style>
  <w:style w:type="character" w:customStyle="1" w:styleId="19">
    <w:name w:val="页脚 字符"/>
    <w:basedOn w:val="11"/>
    <w:link w:val="4"/>
    <w:qFormat/>
    <w:uiPriority w:val="0"/>
    <w:rPr>
      <w:rFonts w:ascii="Arial" w:hAnsi="Arial" w:eastAsia="Arial" w:cs="Arial"/>
      <w:snapToGrid w:val="0"/>
      <w:color w:val="000000"/>
      <w:sz w:val="18"/>
      <w:szCs w:val="18"/>
      <w:lang w:eastAsia="en-US"/>
    </w:rPr>
  </w:style>
  <w:style w:type="paragraph" w:customStyle="1" w:styleId="20">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21">
    <w:name w:val="批注文字 字符"/>
    <w:basedOn w:val="11"/>
    <w:link w:val="2"/>
    <w:semiHidden/>
    <w:qFormat/>
    <w:uiPriority w:val="99"/>
    <w:rPr>
      <w:rFonts w:ascii="Arial" w:hAnsi="Arial" w:eastAsia="Arial" w:cs="Arial"/>
      <w:snapToGrid w:val="0"/>
      <w:color w:val="000000"/>
      <w:sz w:val="21"/>
      <w:szCs w:val="21"/>
      <w:lang w:eastAsia="en-US"/>
    </w:rPr>
  </w:style>
  <w:style w:type="character" w:customStyle="1" w:styleId="22">
    <w:name w:val="批注主题 字符"/>
    <w:basedOn w:val="21"/>
    <w:link w:val="8"/>
    <w:qFormat/>
    <w:uiPriority w:val="0"/>
    <w:rPr>
      <w:rFonts w:ascii="Arial" w:hAnsi="Arial" w:eastAsia="Arial" w:cs="Arial"/>
      <w:b/>
      <w:bCs/>
      <w:snapToGrid w:val="0"/>
      <w:color w:val="000000"/>
      <w:sz w:val="21"/>
      <w:szCs w:val="21"/>
      <w:lang w:eastAsia="en-US"/>
    </w:rPr>
  </w:style>
  <w:style w:type="character" w:customStyle="1" w:styleId="23">
    <w:name w:val="批注框文本 字符"/>
    <w:basedOn w:val="11"/>
    <w:link w:val="3"/>
    <w:qFormat/>
    <w:uiPriority w:val="0"/>
    <w:rPr>
      <w:rFonts w:ascii="Arial" w:hAnsi="Arial" w:eastAsia="Arial" w:cs="Arial"/>
      <w:snapToGrid w:val="0"/>
      <w:color w:val="000000"/>
      <w:sz w:val="18"/>
      <w:szCs w:val="18"/>
      <w:lang w:eastAsia="en-US"/>
    </w:rPr>
  </w:style>
  <w:style w:type="paragraph" w:customStyle="1" w:styleId="24">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5">
    <w:name w:val="修订3"/>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E4720B19-EEC4-43BE-8B41-AA0BAD13777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1756</Words>
  <Characters>1936</Characters>
  <Lines>17</Lines>
  <Paragraphs>5</Paragraphs>
  <TotalTime>30</TotalTime>
  <ScaleCrop>false</ScaleCrop>
  <LinksUpToDate>false</LinksUpToDate>
  <CharactersWithSpaces>2043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2025-05-01T23:42:00Z</dcterms:created>
  <dc:creator>Data</dc:creator>
  <cp:lastModifiedBy>王璐</cp:lastModifiedBy>
  <dcterms:modified xsi:type="dcterms:W3CDTF">2025-12-31T09:01:11Z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2052-12.1.0.24034</vt:lpwstr>
  </property>
  <property fmtid="{D5CDD505-2E9C-101B-9397-08002B2CF9AE}" pid="5" name="ICV">
    <vt:lpwstr>F8714AF355C74F1BBFE5AEE6A3BBBB84_13</vt:lpwstr>
  </property>
  <property fmtid="{D5CDD505-2E9C-101B-9397-08002B2CF9AE}" pid="6" name="KSOTemplateDocerSaveRecord">
    <vt:lpwstr>eyJoZGlkIjoiN2IzMzA0YWE2NGEzMTM1MzNkM2QyYjVkMzViNTRjMjEiLCJ1c2VySWQiOiIxMjA2NjU3OTI1In0=</vt:lpwstr>
  </property>
</Properties>
</file>