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749" w14:textId="77777777" w:rsidR="004D1B9E" w:rsidRDefault="006A22C2" w:rsidP="00EC471D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6B18BC72" w14:textId="77777777" w:rsidR="004D1B9E" w:rsidRDefault="006A22C2" w:rsidP="00EC471D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463E81AB" w14:textId="08B5F6CC" w:rsidR="004D1B9E" w:rsidRDefault="006A22C2" w:rsidP="00EC471D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FE6A73">
        <w:rPr>
          <w:rFonts w:ascii="宋体" w:hAnsi="宋体"/>
          <w:b/>
          <w:bCs/>
          <w:iCs/>
          <w:sz w:val="32"/>
          <w:szCs w:val="32"/>
        </w:rPr>
        <w:t>12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FE6A73">
        <w:rPr>
          <w:rFonts w:ascii="宋体" w:hAnsi="宋体"/>
          <w:b/>
          <w:bCs/>
          <w:iCs/>
          <w:sz w:val="32"/>
          <w:szCs w:val="32"/>
        </w:rPr>
        <w:t>30</w:t>
      </w:r>
      <w:r w:rsidR="00C664AD">
        <w:rPr>
          <w:rFonts w:ascii="宋体" w:hAnsi="宋体"/>
          <w:b/>
          <w:bCs/>
          <w:iCs/>
          <w:sz w:val="32"/>
          <w:szCs w:val="32"/>
        </w:rPr>
        <w:t>日</w:t>
      </w:r>
      <w:r w:rsidR="00311680">
        <w:rPr>
          <w:rFonts w:ascii="宋体" w:hAnsi="宋体" w:hint="eastAsia"/>
          <w:b/>
          <w:bCs/>
          <w:iCs/>
          <w:sz w:val="32"/>
          <w:szCs w:val="32"/>
        </w:rPr>
        <w:t>-</w:t>
      </w:r>
      <w:r w:rsidR="00311680">
        <w:rPr>
          <w:rFonts w:ascii="宋体" w:hAnsi="宋体"/>
          <w:b/>
          <w:bCs/>
          <w:iCs/>
          <w:sz w:val="32"/>
          <w:szCs w:val="32"/>
        </w:rPr>
        <w:t>2026年</w:t>
      </w:r>
      <w:r w:rsidR="00311680">
        <w:rPr>
          <w:rFonts w:ascii="宋体" w:hAnsi="宋体" w:hint="eastAsia"/>
          <w:b/>
          <w:bCs/>
          <w:iCs/>
          <w:sz w:val="32"/>
          <w:szCs w:val="32"/>
        </w:rPr>
        <w:t>1月4日</w:t>
      </w:r>
      <w:r w:rsidR="00EC471D">
        <w:rPr>
          <w:rFonts w:ascii="宋体" w:hAnsi="宋体" w:hint="eastAsia"/>
          <w:b/>
          <w:bCs/>
          <w:iCs/>
          <w:sz w:val="32"/>
          <w:szCs w:val="32"/>
        </w:rPr>
        <w:t>投资者交流会</w:t>
      </w:r>
      <w:r w:rsidR="00BE4F40">
        <w:rPr>
          <w:rFonts w:ascii="宋体" w:hAnsi="宋体"/>
          <w:b/>
          <w:bCs/>
          <w:iCs/>
          <w:sz w:val="32"/>
          <w:szCs w:val="32"/>
        </w:rPr>
        <w:t>会议记录</w:t>
      </w:r>
    </w:p>
    <w:p w14:paraId="7FC29C83" w14:textId="2BF46340" w:rsidR="004D1B9E" w:rsidRDefault="006A22C2" w:rsidP="00EC471D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 w:rsidR="004B5E49">
        <w:rPr>
          <w:rFonts w:ascii="宋体" w:hAnsi="宋体"/>
          <w:sz w:val="24"/>
        </w:rPr>
        <w:t>025</w:t>
      </w:r>
      <w:r>
        <w:rPr>
          <w:rFonts w:ascii="宋体" w:hAnsi="宋体" w:hint="eastAsia"/>
          <w:sz w:val="24"/>
        </w:rPr>
        <w:t>年</w:t>
      </w:r>
      <w:r w:rsidR="00FE6A73"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311680">
        <w:rPr>
          <w:rFonts w:ascii="宋体" w:hAnsi="宋体"/>
          <w:sz w:val="24"/>
        </w:rPr>
        <w:t>30</w:t>
      </w:r>
      <w:r>
        <w:rPr>
          <w:rFonts w:ascii="宋体" w:hAnsi="宋体"/>
          <w:sz w:val="24"/>
        </w:rPr>
        <w:t>日</w:t>
      </w:r>
      <w:r w:rsidR="00225A6D">
        <w:rPr>
          <w:rFonts w:ascii="宋体" w:hAnsi="宋体" w:hint="eastAsia"/>
          <w:sz w:val="24"/>
        </w:rPr>
        <w:t>-</w:t>
      </w:r>
      <w:r w:rsidR="00311680">
        <w:rPr>
          <w:rFonts w:ascii="宋体" w:hAnsi="宋体"/>
          <w:sz w:val="24"/>
        </w:rPr>
        <w:t>2026年1月</w:t>
      </w:r>
      <w:r w:rsidR="00311680">
        <w:rPr>
          <w:rFonts w:ascii="宋体" w:hAnsi="宋体" w:hint="eastAsia"/>
          <w:sz w:val="24"/>
        </w:rPr>
        <w:t>4</w:t>
      </w:r>
      <w:r w:rsidR="00225A6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6C076469" w14:textId="77777777" w:rsidR="004D1B9E" w:rsidRDefault="006A22C2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684C0983" w14:textId="77777777" w:rsidR="00F5571B" w:rsidRDefault="00F5571B" w:rsidP="00F5571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副总裁、董事会秘书兼财务总监：</w:t>
      </w:r>
      <w:proofErr w:type="gramStart"/>
      <w:r>
        <w:rPr>
          <w:rFonts w:hAnsi="宋体" w:hint="eastAsia"/>
          <w:sz w:val="24"/>
        </w:rPr>
        <w:t>钟喜玉女</w:t>
      </w:r>
      <w:proofErr w:type="gramEnd"/>
      <w:r>
        <w:rPr>
          <w:rFonts w:hAnsi="宋体" w:hint="eastAsia"/>
          <w:sz w:val="24"/>
        </w:rPr>
        <w:t>士</w:t>
      </w:r>
    </w:p>
    <w:p w14:paraId="4815D2B6" w14:textId="77777777" w:rsidR="00F5571B" w:rsidRDefault="00F5571B" w:rsidP="00F5571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战略发展总监：吴</w:t>
      </w:r>
      <w:proofErr w:type="gramStart"/>
      <w:r>
        <w:rPr>
          <w:rFonts w:hAnsi="宋体" w:hint="eastAsia"/>
          <w:sz w:val="24"/>
        </w:rPr>
        <w:t>浩</w:t>
      </w:r>
      <w:proofErr w:type="gramEnd"/>
      <w:r>
        <w:rPr>
          <w:rFonts w:hAnsi="宋体" w:hint="eastAsia"/>
          <w:sz w:val="24"/>
        </w:rPr>
        <w:t>先生</w:t>
      </w:r>
    </w:p>
    <w:p w14:paraId="25366C16" w14:textId="0033267C" w:rsidR="00583C38" w:rsidRDefault="00583C38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投资者关系经理</w:t>
      </w:r>
      <w:r>
        <w:rPr>
          <w:rFonts w:hAnsi="宋体" w:hint="eastAsia"/>
          <w:sz w:val="24"/>
        </w:rPr>
        <w:t>：</w:t>
      </w:r>
      <w:proofErr w:type="gramStart"/>
      <w:r>
        <w:rPr>
          <w:rFonts w:hAnsi="宋体"/>
          <w:sz w:val="24"/>
        </w:rPr>
        <w:t>张乐维</w:t>
      </w:r>
      <w:r>
        <w:rPr>
          <w:rFonts w:hAnsi="宋体" w:hint="eastAsia"/>
          <w:sz w:val="24"/>
        </w:rPr>
        <w:t>先生</w:t>
      </w:r>
      <w:proofErr w:type="gramEnd"/>
    </w:p>
    <w:p w14:paraId="45581FBD" w14:textId="77777777" w:rsidR="00583C38" w:rsidRDefault="00583C38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5A29377F" w14:textId="77777777" w:rsidR="004D1B9E" w:rsidRDefault="006A22C2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机构参会：</w:t>
      </w:r>
    </w:p>
    <w:p w14:paraId="1A0750C6" w14:textId="59BA84F4" w:rsidR="00A37AD3" w:rsidRPr="00A37AD3" w:rsidRDefault="00A37AD3" w:rsidP="00EC471D">
      <w:pPr>
        <w:pStyle w:val="a5"/>
        <w:spacing w:line="420" w:lineRule="exact"/>
        <w:ind w:firstLineChars="200" w:firstLine="480"/>
        <w:rPr>
          <w:rFonts w:hAnsi="宋体"/>
          <w:b/>
          <w:sz w:val="24"/>
        </w:rPr>
      </w:pPr>
      <w:bookmarkStart w:id="0" w:name="OLE_LINK76"/>
      <w:bookmarkStart w:id="1" w:name="OLE_LINK77"/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</w:t>
      </w: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>2月</w:t>
      </w:r>
      <w:r w:rsidR="00311680">
        <w:rPr>
          <w:rFonts w:hAnsi="宋体"/>
          <w:sz w:val="24"/>
        </w:rPr>
        <w:t>30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</w:t>
      </w:r>
      <w:r>
        <w:rPr>
          <w:rFonts w:hAnsi="宋体" w:cs="宋体" w:hint="eastAsia"/>
          <w:sz w:val="24"/>
        </w:rPr>
        <w:t>国金基金、南方基金、</w:t>
      </w:r>
      <w:r w:rsidRPr="00A37AD3">
        <w:rPr>
          <w:rFonts w:hAnsi="宋体" w:cs="宋体" w:hint="eastAsia"/>
          <w:sz w:val="24"/>
        </w:rPr>
        <w:t>嘉实基金</w:t>
      </w:r>
      <w:r>
        <w:rPr>
          <w:rFonts w:hAnsi="宋体" w:cs="宋体" w:hint="eastAsia"/>
          <w:sz w:val="24"/>
        </w:rPr>
        <w:t>、</w:t>
      </w:r>
      <w:r w:rsidRPr="00A37AD3">
        <w:rPr>
          <w:rFonts w:hAnsi="宋体" w:cs="宋体" w:hint="eastAsia"/>
          <w:sz w:val="24"/>
        </w:rPr>
        <w:t>智诚海威</w:t>
      </w:r>
      <w:r>
        <w:rPr>
          <w:rFonts w:hAnsi="宋体" w:cs="宋体" w:hint="eastAsia"/>
          <w:sz w:val="24"/>
        </w:rPr>
        <w:t>、</w:t>
      </w:r>
      <w:proofErr w:type="gramStart"/>
      <w:r w:rsidRPr="00A37AD3">
        <w:rPr>
          <w:rFonts w:hAnsi="宋体" w:cs="宋体" w:hint="eastAsia"/>
          <w:sz w:val="24"/>
        </w:rPr>
        <w:t>纳轩投资</w:t>
      </w:r>
      <w:proofErr w:type="gramEnd"/>
      <w:r>
        <w:rPr>
          <w:rFonts w:hAnsi="宋体" w:cs="宋体" w:hint="eastAsia"/>
          <w:sz w:val="24"/>
        </w:rPr>
        <w:t>、</w:t>
      </w:r>
      <w:proofErr w:type="gramStart"/>
      <w:r w:rsidRPr="00A37AD3">
        <w:rPr>
          <w:rFonts w:hAnsi="宋体" w:cs="宋体" w:hint="eastAsia"/>
          <w:sz w:val="24"/>
        </w:rPr>
        <w:t>鑫</w:t>
      </w:r>
      <w:proofErr w:type="gramEnd"/>
      <w:r w:rsidRPr="00A37AD3">
        <w:rPr>
          <w:rFonts w:hAnsi="宋体" w:cs="宋体" w:hint="eastAsia"/>
          <w:sz w:val="24"/>
        </w:rPr>
        <w:t>巢资本</w:t>
      </w:r>
      <w:r>
        <w:rPr>
          <w:rFonts w:hAnsi="宋体" w:cs="宋体" w:hint="eastAsia"/>
          <w:sz w:val="24"/>
        </w:rPr>
        <w:t>、国联民生、长江证券、国盛证券</w:t>
      </w:r>
    </w:p>
    <w:p w14:paraId="0FF268F0" w14:textId="2D520473" w:rsidR="00583C38" w:rsidRDefault="00F5571B" w:rsidP="00F5571B">
      <w:pPr>
        <w:pStyle w:val="a5"/>
        <w:spacing w:line="420" w:lineRule="exact"/>
        <w:ind w:firstLineChars="200" w:firstLine="480"/>
        <w:rPr>
          <w:rFonts w:hAnsi="宋体" w:cs="宋体"/>
          <w:sz w:val="24"/>
        </w:rPr>
      </w:pPr>
      <w:bookmarkStart w:id="2" w:name="OLE_LINK1"/>
      <w:bookmarkStart w:id="3" w:name="OLE_LINK2"/>
      <w:r w:rsidRPr="00F90DCC">
        <w:rPr>
          <w:rFonts w:hAnsi="宋体" w:cs="宋体" w:hint="eastAsia"/>
          <w:sz w:val="24"/>
        </w:rPr>
        <w:t>2</w:t>
      </w:r>
      <w:r w:rsidRPr="00F90DCC">
        <w:rPr>
          <w:rFonts w:hAnsi="宋体" w:cs="宋体"/>
          <w:sz w:val="24"/>
        </w:rPr>
        <w:t>025年</w:t>
      </w:r>
      <w:r w:rsidR="00311680">
        <w:rPr>
          <w:rFonts w:hAnsi="宋体" w:cs="宋体"/>
          <w:sz w:val="24"/>
        </w:rPr>
        <w:t>12</w:t>
      </w:r>
      <w:r w:rsidRPr="00F90DCC">
        <w:rPr>
          <w:rFonts w:hAnsi="宋体" w:cs="宋体" w:hint="eastAsia"/>
          <w:sz w:val="24"/>
        </w:rPr>
        <w:t>月</w:t>
      </w:r>
      <w:r w:rsidR="00311680">
        <w:rPr>
          <w:rFonts w:hAnsi="宋体" w:cs="宋体" w:hint="eastAsia"/>
          <w:sz w:val="24"/>
        </w:rPr>
        <w:t>3</w:t>
      </w:r>
      <w:r w:rsidR="00311680">
        <w:rPr>
          <w:rFonts w:hAnsi="宋体" w:cs="宋体"/>
          <w:sz w:val="24"/>
        </w:rPr>
        <w:t>1</w:t>
      </w:r>
      <w:r w:rsidRPr="00F90DCC">
        <w:rPr>
          <w:rFonts w:hAnsi="宋体" w:cs="宋体"/>
          <w:sz w:val="24"/>
        </w:rPr>
        <w:t>日</w:t>
      </w:r>
      <w:r w:rsidR="00583C38">
        <w:rPr>
          <w:rFonts w:hAnsi="宋体" w:cs="宋体" w:hint="eastAsia"/>
          <w:sz w:val="24"/>
        </w:rPr>
        <w:t xml:space="preserve"> </w:t>
      </w:r>
      <w:r w:rsidR="00A37AD3">
        <w:rPr>
          <w:rFonts w:hAnsi="宋体" w:cs="宋体" w:hint="eastAsia"/>
          <w:sz w:val="24"/>
        </w:rPr>
        <w:t>摩根基金、</w:t>
      </w:r>
      <w:r w:rsidR="00A37AD3" w:rsidRPr="00A37AD3">
        <w:rPr>
          <w:rFonts w:hAnsi="宋体" w:cs="宋体"/>
          <w:sz w:val="24"/>
        </w:rPr>
        <w:t>Prime Zone</w:t>
      </w:r>
      <w:r w:rsidR="00A37AD3">
        <w:rPr>
          <w:rFonts w:hAnsi="宋体" w:cs="宋体" w:hint="eastAsia"/>
          <w:sz w:val="24"/>
        </w:rPr>
        <w:t>、</w:t>
      </w:r>
      <w:r w:rsidR="00A37AD3" w:rsidRPr="00A37AD3">
        <w:rPr>
          <w:rFonts w:hAnsi="宋体" w:cs="宋体"/>
          <w:sz w:val="24"/>
        </w:rPr>
        <w:t>PX Capita</w:t>
      </w:r>
      <w:r w:rsidR="00A37AD3">
        <w:rPr>
          <w:rFonts w:hAnsi="宋体" w:cs="宋体"/>
          <w:sz w:val="24"/>
        </w:rPr>
        <w:t>l</w:t>
      </w:r>
      <w:r w:rsidR="00A37AD3">
        <w:rPr>
          <w:rFonts w:hAnsi="宋体" w:cs="宋体" w:hint="eastAsia"/>
          <w:sz w:val="24"/>
        </w:rPr>
        <w:t>、国盛证券</w:t>
      </w:r>
    </w:p>
    <w:p w14:paraId="3785459D" w14:textId="238D2905" w:rsidR="00F5571B" w:rsidRDefault="00311680" w:rsidP="005F61F4">
      <w:pPr>
        <w:pStyle w:val="a5"/>
        <w:spacing w:line="420" w:lineRule="exact"/>
        <w:ind w:firstLineChars="200" w:firstLine="480"/>
        <w:rPr>
          <w:rFonts w:hAnsi="宋体" w:cs="宋体"/>
          <w:sz w:val="24"/>
        </w:rPr>
      </w:pPr>
      <w:r>
        <w:rPr>
          <w:rFonts w:hAnsi="宋体" w:cs="宋体"/>
          <w:sz w:val="24"/>
        </w:rPr>
        <w:t>2026</w:t>
      </w:r>
      <w:r w:rsidR="00F5571B" w:rsidRPr="00F90DCC">
        <w:rPr>
          <w:rFonts w:hAnsi="宋体" w:cs="宋体"/>
          <w:sz w:val="24"/>
        </w:rPr>
        <w:t>年</w:t>
      </w:r>
      <w:r>
        <w:rPr>
          <w:rFonts w:hAnsi="宋体" w:cs="宋体"/>
          <w:sz w:val="24"/>
        </w:rPr>
        <w:t>1</w:t>
      </w:r>
      <w:r w:rsidR="00F5571B" w:rsidRPr="00F90DCC">
        <w:rPr>
          <w:rFonts w:hAnsi="宋体" w:cs="宋体" w:hint="eastAsia"/>
          <w:sz w:val="24"/>
        </w:rPr>
        <w:t>月</w:t>
      </w:r>
      <w:r>
        <w:rPr>
          <w:rFonts w:hAnsi="宋体" w:cs="宋体"/>
          <w:sz w:val="24"/>
        </w:rPr>
        <w:t>4</w:t>
      </w:r>
      <w:r w:rsidR="00F5571B" w:rsidRPr="00F90DCC">
        <w:rPr>
          <w:rFonts w:hAnsi="宋体" w:cs="宋体"/>
          <w:sz w:val="24"/>
        </w:rPr>
        <w:t>日</w:t>
      </w:r>
      <w:r w:rsidR="00583C38">
        <w:rPr>
          <w:rFonts w:hAnsi="宋体" w:cs="宋体" w:hint="eastAsia"/>
          <w:sz w:val="24"/>
        </w:rPr>
        <w:t xml:space="preserve"> </w:t>
      </w:r>
      <w:r w:rsidR="00A37AD3">
        <w:rPr>
          <w:rFonts w:hAnsi="宋体" w:cs="宋体" w:hint="eastAsia"/>
          <w:sz w:val="24"/>
        </w:rPr>
        <w:t>国泰基金、</w:t>
      </w:r>
      <w:proofErr w:type="gramStart"/>
      <w:r w:rsidR="00A37AD3">
        <w:rPr>
          <w:rFonts w:hAnsi="宋体" w:cs="宋体" w:hint="eastAsia"/>
          <w:sz w:val="24"/>
        </w:rPr>
        <w:t>睿</w:t>
      </w:r>
      <w:proofErr w:type="gramEnd"/>
      <w:r w:rsidR="00A37AD3">
        <w:rPr>
          <w:rFonts w:hAnsi="宋体" w:cs="宋体" w:hint="eastAsia"/>
          <w:sz w:val="24"/>
        </w:rPr>
        <w:t>郡投资、华创证券</w:t>
      </w:r>
    </w:p>
    <w:bookmarkEnd w:id="0"/>
    <w:bookmarkEnd w:id="1"/>
    <w:bookmarkEnd w:id="2"/>
    <w:bookmarkEnd w:id="3"/>
    <w:p w14:paraId="6C0B40FD" w14:textId="0B9CC6D3" w:rsidR="004D1B9E" w:rsidRDefault="008F0BD9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202</w:t>
      </w:r>
      <w:r>
        <w:rPr>
          <w:rFonts w:hAnsi="宋体"/>
          <w:b/>
          <w:bCs/>
          <w:sz w:val="24"/>
        </w:rPr>
        <w:t>5</w:t>
      </w:r>
      <w:r w:rsidR="00E517A4">
        <w:rPr>
          <w:rFonts w:hAnsi="宋体"/>
          <w:b/>
          <w:bCs/>
          <w:sz w:val="24"/>
        </w:rPr>
        <w:t>年三季</w:t>
      </w:r>
      <w:r w:rsidR="006A22C2">
        <w:rPr>
          <w:rFonts w:hAnsi="宋体" w:hint="eastAsia"/>
          <w:b/>
          <w:bCs/>
          <w:sz w:val="24"/>
        </w:rPr>
        <w:t>报主要情况介绍</w:t>
      </w:r>
    </w:p>
    <w:p w14:paraId="3A1307D6" w14:textId="435C44A0" w:rsidR="00394C3B" w:rsidRPr="000D62B1" w:rsidRDefault="00F5571B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B81113">
        <w:rPr>
          <w:rFonts w:ascii="宋体" w:hAnsi="宋体"/>
          <w:sz w:val="24"/>
        </w:rPr>
        <w:t>营收与利润：2025年1-9月，威</w:t>
      </w:r>
      <w:proofErr w:type="gramStart"/>
      <w:r w:rsidRPr="00B81113">
        <w:rPr>
          <w:rFonts w:ascii="宋体" w:hAnsi="宋体"/>
          <w:sz w:val="24"/>
        </w:rPr>
        <w:t>胜信息</w:t>
      </w:r>
      <w:proofErr w:type="gramEnd"/>
      <w:r w:rsidRPr="00B81113">
        <w:rPr>
          <w:rFonts w:ascii="宋体" w:hAnsi="宋体"/>
          <w:sz w:val="24"/>
        </w:rPr>
        <w:t>收入实现21亿元，同比增长8.8%；净利润实现4.7亿元，同比增长12%；经营现金流净额4亿元。</w:t>
      </w:r>
      <w:r>
        <w:rPr>
          <w:rFonts w:ascii="宋体" w:hAnsi="宋体"/>
          <w:sz w:val="24"/>
        </w:rPr>
        <w:cr/>
        <w:t xml:space="preserve">   </w:t>
      </w:r>
      <w:r w:rsidRPr="00B81113">
        <w:rPr>
          <w:rFonts w:ascii="宋体" w:hAnsi="宋体"/>
          <w:sz w:val="24"/>
        </w:rPr>
        <w:t>市场营收：国内市场营收17亿元，同比增长6.2%；国际市场营收3.98亿元，同比增长21%，国内市场占比81%，海外市场占比19%。年内印尼和沙特本地化子公司及产能已投放开业，将促进东南亚和中东区域未来收入增长。</w:t>
      </w:r>
      <w:r w:rsidRPr="00B81113">
        <w:rPr>
          <w:rFonts w:ascii="宋体" w:hAnsi="宋体"/>
          <w:sz w:val="24"/>
        </w:rPr>
        <w:cr/>
      </w:r>
      <w:r>
        <w:rPr>
          <w:rFonts w:ascii="宋体" w:hAnsi="宋体"/>
          <w:sz w:val="24"/>
        </w:rPr>
        <w:t xml:space="preserve">  </w:t>
      </w:r>
      <w:r w:rsidRPr="00B81113">
        <w:rPr>
          <w:rFonts w:ascii="宋体" w:hAnsi="宋体"/>
          <w:sz w:val="24"/>
        </w:rPr>
        <w:t>订单情况：1-9月新签合同24.9亿元，截至9月底，在手订单结余38.24亿元，</w:t>
      </w:r>
      <w:r>
        <w:rPr>
          <w:rFonts w:ascii="宋体" w:hAnsi="宋体" w:hint="eastAsia"/>
          <w:sz w:val="24"/>
        </w:rPr>
        <w:t>为后续</w:t>
      </w:r>
      <w:r>
        <w:rPr>
          <w:rFonts w:ascii="宋体" w:hAnsi="宋体"/>
          <w:sz w:val="24"/>
        </w:rPr>
        <w:t>业绩提升提供支撑</w:t>
      </w:r>
      <w:r w:rsidRPr="00B81113">
        <w:rPr>
          <w:rFonts w:ascii="宋体" w:hAnsi="宋体"/>
          <w:sz w:val="24"/>
        </w:rPr>
        <w:t>。</w:t>
      </w:r>
      <w:r>
        <w:rPr>
          <w:rFonts w:ascii="宋体" w:hAnsi="宋体"/>
          <w:sz w:val="24"/>
        </w:rPr>
        <w:cr/>
        <w:t xml:space="preserve">  </w:t>
      </w:r>
      <w:r w:rsidRPr="00B81113">
        <w:rPr>
          <w:rFonts w:ascii="宋体" w:hAnsi="宋体"/>
          <w:sz w:val="24"/>
        </w:rPr>
        <w:t>股份回购与分红：今年已实施完成第二期股份回购，使用资金1.5亿元，回购423万股。自上市以来累计实施两轮回购，共花费4.5亿元自有资金，回</w:t>
      </w:r>
      <w:proofErr w:type="gramStart"/>
      <w:r w:rsidRPr="00B81113">
        <w:rPr>
          <w:rFonts w:ascii="宋体" w:hAnsi="宋体"/>
          <w:sz w:val="24"/>
        </w:rPr>
        <w:t>购股份达1654万股</w:t>
      </w:r>
      <w:proofErr w:type="gramEnd"/>
      <w:r w:rsidRPr="00B81113">
        <w:rPr>
          <w:rFonts w:ascii="宋体" w:hAnsi="宋体"/>
          <w:sz w:val="24"/>
        </w:rPr>
        <w:t>，其中800多万股已回购注销增厚股东收益，400万股用于去年员工持股计划。今年中期首次进行中期分红，计划未来五年保持每年40%基准现金分红，构建长期稳定回报机制。</w:t>
      </w:r>
      <w:r w:rsidRPr="00B81113">
        <w:rPr>
          <w:rFonts w:ascii="宋体" w:hAnsi="宋体"/>
          <w:sz w:val="24"/>
        </w:rPr>
        <w:cr/>
      </w:r>
    </w:p>
    <w:p w14:paraId="5193DF35" w14:textId="7CB4F731" w:rsidR="00A87C7E" w:rsidRPr="005046B1" w:rsidRDefault="006A22C2" w:rsidP="005046B1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lastRenderedPageBreak/>
        <w:t>投资者问答</w:t>
      </w:r>
      <w:r w:rsidR="00486A69" w:rsidRPr="00486A69">
        <w:rPr>
          <w:rFonts w:ascii="宋体" w:hAnsi="宋体"/>
          <w:bCs/>
          <w:sz w:val="24"/>
        </w:rPr>
        <w:t xml:space="preserve"> </w:t>
      </w:r>
    </w:p>
    <w:p w14:paraId="7FC18C99" w14:textId="05AFDEBD" w:rsidR="00A87C7E" w:rsidRPr="005046B1" w:rsidRDefault="00A87C7E" w:rsidP="005046B1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5046B1">
        <w:rPr>
          <w:rFonts w:ascii="宋体" w:hAnsi="宋体"/>
          <w:b/>
          <w:bCs/>
          <w:sz w:val="24"/>
        </w:rPr>
        <w:t>Q:</w:t>
      </w:r>
      <w:r w:rsidR="00CF0A2C" w:rsidRPr="005046B1">
        <w:rPr>
          <w:rFonts w:ascii="宋体" w:hAnsi="宋体" w:hint="eastAsia"/>
          <w:b/>
          <w:bCs/>
          <w:sz w:val="24"/>
        </w:rPr>
        <w:t>公司的国家级卓越智能工厂投产</w:t>
      </w:r>
      <w:r w:rsidRPr="005046B1">
        <w:rPr>
          <w:rFonts w:ascii="宋体" w:hAnsi="宋体" w:hint="eastAsia"/>
          <w:b/>
          <w:bCs/>
          <w:sz w:val="24"/>
        </w:rPr>
        <w:t>，将带来哪些经营提升？</w:t>
      </w:r>
    </w:p>
    <w:p w14:paraId="7C5E8FC7" w14:textId="4444739A" w:rsidR="00A87C7E" w:rsidRDefault="00A87C7E" w:rsidP="007F197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>
        <w:rPr>
          <w:rFonts w:ascii="宋体" w:hAnsi="宋体"/>
          <w:bCs/>
          <w:sz w:val="24"/>
        </w:rPr>
        <w:t>:</w:t>
      </w:r>
      <w:r w:rsidR="00F563AF">
        <w:rPr>
          <w:rFonts w:ascii="宋体" w:hAnsi="宋体" w:hint="eastAsia"/>
          <w:bCs/>
          <w:sz w:val="24"/>
        </w:rPr>
        <w:t>公司国家级卓越智能工厂的正式揭牌投产，是对“</w:t>
      </w:r>
      <w:r w:rsidR="00970F37">
        <w:rPr>
          <w:rFonts w:ascii="宋体" w:hAnsi="宋体" w:hint="eastAsia"/>
          <w:bCs/>
          <w:sz w:val="24"/>
        </w:rPr>
        <w:t>十五五”</w:t>
      </w:r>
      <w:r w:rsidRPr="00A87C7E">
        <w:rPr>
          <w:rFonts w:ascii="宋体" w:hAnsi="宋体" w:hint="eastAsia"/>
          <w:bCs/>
          <w:sz w:val="24"/>
        </w:rPr>
        <w:t>规划“先进制造业升级”要求的积极</w:t>
      </w:r>
      <w:proofErr w:type="gramStart"/>
      <w:r w:rsidRPr="00A87C7E">
        <w:rPr>
          <w:rFonts w:ascii="宋体" w:hAnsi="宋体" w:hint="eastAsia"/>
          <w:bCs/>
          <w:sz w:val="24"/>
        </w:rPr>
        <w:t>践行</w:t>
      </w:r>
      <w:proofErr w:type="gramEnd"/>
      <w:r w:rsidR="00751ED7">
        <w:rPr>
          <w:rFonts w:ascii="宋体" w:hAnsi="宋体" w:hint="eastAsia"/>
          <w:bCs/>
          <w:sz w:val="24"/>
        </w:rPr>
        <w:t>，</w:t>
      </w:r>
      <w:r w:rsidRPr="00A87C7E">
        <w:rPr>
          <w:rFonts w:ascii="宋体" w:hAnsi="宋体" w:hint="eastAsia"/>
          <w:bCs/>
          <w:sz w:val="24"/>
        </w:rPr>
        <w:t>该工厂以“AI+先进制造深度融合”为核心理念，构建了覆盖设计、生产、物流、质量的全流程数字化体系，实现了“装备控制+制造执行+经营管理+经营决策”四位一体的智能制造模式。目前已完成两大核心制造基地升级，10号厂房专注数字电网核心元器件生产，2号厂房聚焦智能水、燃气表生产，形成了“国内核心基地+海外基地”的全球化生产网络。</w:t>
      </w:r>
      <w:r w:rsidR="007F1971" w:rsidRPr="007F1971">
        <w:rPr>
          <w:rFonts w:ascii="宋体" w:hAnsi="宋体" w:hint="eastAsia"/>
          <w:bCs/>
          <w:sz w:val="24"/>
        </w:rPr>
        <w:t>依托工业互联网平台实现各基地研发、生产、供应链、质量管控的全链条协同，为全球能源物联网领域客户提供高可靠、高性价比的产品解决方案，助力公司全球业务高质量规模化增长。</w:t>
      </w:r>
    </w:p>
    <w:p w14:paraId="5212F965" w14:textId="77777777" w:rsidR="005046B1" w:rsidRPr="005046B1" w:rsidRDefault="005046B1" w:rsidP="00990178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3CF66ACA" w14:textId="3DACF4B1" w:rsidR="005046B1" w:rsidRPr="005046B1" w:rsidRDefault="005046B1" w:rsidP="005046B1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Cs/>
          <w:sz w:val="24"/>
        </w:rPr>
      </w:pPr>
      <w:bookmarkStart w:id="4" w:name="_Toc163486487"/>
      <w:r>
        <w:rPr>
          <w:rFonts w:ascii="宋体" w:hAnsi="宋体"/>
          <w:b/>
          <w:bCs/>
          <w:sz w:val="24"/>
        </w:rPr>
        <w:t>Q:</w:t>
      </w:r>
      <w:r w:rsidRPr="005046B1">
        <w:rPr>
          <w:rFonts w:ascii="宋体" w:hAnsi="宋体"/>
          <w:b/>
          <w:bCs/>
          <w:sz w:val="24"/>
        </w:rPr>
        <w:t>电力公司为何要把电力线载波作为本地通讯的主要模式</w:t>
      </w:r>
      <w:bookmarkEnd w:id="4"/>
      <w:r w:rsidRPr="005046B1">
        <w:rPr>
          <w:rFonts w:ascii="宋体" w:hAnsi="宋体" w:hint="eastAsia"/>
          <w:b/>
          <w:bCs/>
          <w:sz w:val="24"/>
        </w:rPr>
        <w:t>？</w:t>
      </w:r>
      <w:r w:rsidRPr="005046B1">
        <w:rPr>
          <w:rFonts w:ascii="宋体" w:hAnsi="宋体"/>
          <w:bCs/>
          <w:sz w:val="24"/>
        </w:rPr>
        <w:t xml:space="preserve"> </w:t>
      </w:r>
    </w:p>
    <w:p w14:paraId="546B8BB7" w14:textId="7B6155CC" w:rsidR="005046B1" w:rsidRPr="005046B1" w:rsidRDefault="005046B1" w:rsidP="005046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 w:rsidRPr="005046B1">
        <w:rPr>
          <w:rFonts w:ascii="宋体" w:hAnsi="宋体" w:hint="eastAsia"/>
          <w:bCs/>
          <w:sz w:val="24"/>
        </w:rPr>
        <w:t>:</w:t>
      </w:r>
      <w:r w:rsidRPr="005046B1">
        <w:rPr>
          <w:rFonts w:ascii="宋体" w:hAnsi="宋体"/>
          <w:bCs/>
          <w:sz w:val="24"/>
        </w:rPr>
        <w:t>电力线载波通信可以利用现有电力线、通过载波方式将模拟信号进行高速传输的技术，不需要重新架设网络，具有投资小、灵活性强、覆盖范围广阔等特点，在电力系统被广泛使用。目前，电力线载波是国内智能电网用电信息采集</w:t>
      </w:r>
      <w:proofErr w:type="gramStart"/>
      <w:r w:rsidRPr="005046B1">
        <w:rPr>
          <w:rFonts w:ascii="宋体" w:hAnsi="宋体"/>
          <w:bCs/>
          <w:sz w:val="24"/>
        </w:rPr>
        <w:t>领域本地</w:t>
      </w:r>
      <w:proofErr w:type="gramEnd"/>
      <w:r w:rsidRPr="005046B1">
        <w:rPr>
          <w:rFonts w:ascii="宋体" w:hAnsi="宋体"/>
          <w:bCs/>
          <w:sz w:val="24"/>
        </w:rPr>
        <w:t xml:space="preserve">通信的最主要方式，用于实现现场设备仪表之间的数据传输。 </w:t>
      </w:r>
    </w:p>
    <w:p w14:paraId="58186755" w14:textId="77777777" w:rsidR="005046B1" w:rsidRPr="005046B1" w:rsidRDefault="005046B1" w:rsidP="005046B1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4D218D10" w14:textId="77777777" w:rsidR="00A87C7E" w:rsidRPr="006C1FFA" w:rsidRDefault="00A87C7E" w:rsidP="00A87C7E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6C1FFA">
        <w:rPr>
          <w:rFonts w:ascii="宋体" w:hAnsi="宋体" w:hint="eastAsia"/>
          <w:b/>
          <w:bCs/>
          <w:sz w:val="24"/>
        </w:rPr>
        <w:t>Q</w:t>
      </w:r>
      <w:r w:rsidRPr="006C1FFA">
        <w:rPr>
          <w:rFonts w:ascii="宋体" w:hAnsi="宋体"/>
          <w:b/>
          <w:bCs/>
          <w:sz w:val="24"/>
        </w:rPr>
        <w:t>:公司的分红情况以及未来的分红规划？</w:t>
      </w:r>
    </w:p>
    <w:p w14:paraId="1B2D8145" w14:textId="6260996E" w:rsidR="00A87C7E" w:rsidRDefault="00A87C7E" w:rsidP="00A87C7E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>
        <w:rPr>
          <w:rFonts w:ascii="宋体" w:hAnsi="宋体"/>
          <w:bCs/>
          <w:sz w:val="24"/>
        </w:rPr>
        <w:t>:</w:t>
      </w:r>
      <w:r w:rsidRPr="00C03113">
        <w:rPr>
          <w:rFonts w:hint="eastAsia"/>
        </w:rPr>
        <w:t xml:space="preserve"> </w:t>
      </w:r>
      <w:r w:rsidRPr="00C03113">
        <w:rPr>
          <w:rFonts w:ascii="宋体" w:hAnsi="宋体" w:hint="eastAsia"/>
          <w:bCs/>
          <w:sz w:val="24"/>
        </w:rPr>
        <w:t xml:space="preserve">公司始终高度重视股东回报，以实际行动践行责任担当：自上市以来，已累计派发现金红利 10.8 亿元，同时完成约 2 亿元股份回购注销，合计现金分红与回购并注销金额已达 12.8 </w:t>
      </w:r>
      <w:r w:rsidR="00751ED7">
        <w:rPr>
          <w:rFonts w:ascii="宋体" w:hAnsi="宋体" w:hint="eastAsia"/>
          <w:bCs/>
          <w:sz w:val="24"/>
        </w:rPr>
        <w:t>亿元，远超上市募集资金金额；2</w:t>
      </w:r>
      <w:r w:rsidR="00751ED7">
        <w:rPr>
          <w:rFonts w:ascii="宋体" w:hAnsi="宋体"/>
          <w:bCs/>
          <w:sz w:val="24"/>
        </w:rPr>
        <w:t>02</w:t>
      </w:r>
      <w:bookmarkStart w:id="5" w:name="_GoBack"/>
      <w:bookmarkEnd w:id="5"/>
      <w:r w:rsidR="00751ED7">
        <w:rPr>
          <w:rFonts w:ascii="宋体" w:hAnsi="宋体"/>
          <w:bCs/>
          <w:sz w:val="24"/>
        </w:rPr>
        <w:t>5年</w:t>
      </w:r>
      <w:r w:rsidRPr="00C03113">
        <w:rPr>
          <w:rFonts w:ascii="宋体" w:hAnsi="宋体" w:hint="eastAsia"/>
          <w:bCs/>
          <w:sz w:val="24"/>
        </w:rPr>
        <w:t xml:space="preserve"> 1 月公司发布第二期回购计划，已用自有资金 1.5 亿元回购 423 万股，且已派发首次中期股息（每 10 股派现 2.5 元）；并承诺未来五年基准现金分红派息率40%，并同步发布市值管理制度，通过强化市值管理持续提升股东回报水平。</w:t>
      </w:r>
    </w:p>
    <w:p w14:paraId="03A6BF41" w14:textId="77777777" w:rsidR="005046B1" w:rsidRDefault="005046B1" w:rsidP="005046B1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2F03DA02" w14:textId="77777777" w:rsidR="005046B1" w:rsidRPr="005046B1" w:rsidRDefault="005046B1" w:rsidP="005046B1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bookmarkStart w:id="6" w:name="_Toc163486473"/>
      <w:r w:rsidRPr="005046B1">
        <w:rPr>
          <w:rFonts w:ascii="宋体" w:hAnsi="宋体"/>
          <w:b/>
          <w:bCs/>
          <w:sz w:val="24"/>
        </w:rPr>
        <w:t>Q:</w:t>
      </w:r>
      <w:r w:rsidRPr="005046B1">
        <w:rPr>
          <w:rFonts w:ascii="宋体" w:hAnsi="宋体" w:hint="eastAsia"/>
          <w:b/>
          <w:bCs/>
          <w:sz w:val="24"/>
        </w:rPr>
        <w:t>公司在海外针对不同市场的综合解决方案是标准化的吗？</w:t>
      </w:r>
      <w:bookmarkEnd w:id="6"/>
    </w:p>
    <w:p w14:paraId="4B4EBB4B" w14:textId="736381B7" w:rsidR="005046B1" w:rsidRPr="005046B1" w:rsidRDefault="005046B1" w:rsidP="00D4762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 w:rsidRPr="005046B1">
        <w:rPr>
          <w:rFonts w:ascii="宋体" w:hAnsi="宋体" w:hint="eastAsia"/>
          <w:bCs/>
          <w:sz w:val="24"/>
        </w:rPr>
        <w:t>:海外市场整体是遵循相关国际标准，包括系统、通信和感知产品，各个市场也要求产品具备国际知名实验室的认证，各国自己的检测机构也基本上是参照国际标准开展测试。但针对各个具体的市场，在产品功能、系统定义和测试标准方面，会有差异。此外，各个市场在应用场景方面，会有差异，会要求在整体解决方案上有一定的灵活性，包括不同技术的组合方案。</w:t>
      </w:r>
    </w:p>
    <w:p w14:paraId="26741812" w14:textId="77777777" w:rsidR="005046B1" w:rsidRPr="005046B1" w:rsidRDefault="005046B1" w:rsidP="005046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4ECC2CA0" w14:textId="61F4BA74" w:rsidR="005046B1" w:rsidRPr="005046B1" w:rsidRDefault="005046B1" w:rsidP="005046B1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bookmarkStart w:id="7" w:name="_Toc163486481"/>
      <w:r w:rsidRPr="005046B1">
        <w:rPr>
          <w:rFonts w:ascii="宋体" w:hAnsi="宋体"/>
          <w:b/>
          <w:bCs/>
          <w:sz w:val="24"/>
        </w:rPr>
        <w:t>Q:</w:t>
      </w:r>
      <w:r w:rsidR="00F644EF">
        <w:rPr>
          <w:rFonts w:ascii="宋体" w:hAnsi="宋体" w:hint="eastAsia"/>
          <w:b/>
          <w:bCs/>
          <w:sz w:val="24"/>
        </w:rPr>
        <w:t>公司的通信芯片</w:t>
      </w:r>
      <w:r>
        <w:rPr>
          <w:rFonts w:ascii="宋体" w:hAnsi="宋体" w:hint="eastAsia"/>
          <w:b/>
          <w:bCs/>
          <w:sz w:val="24"/>
        </w:rPr>
        <w:t>在海外应用</w:t>
      </w:r>
      <w:r>
        <w:rPr>
          <w:rFonts w:ascii="宋体" w:hAnsi="宋体"/>
          <w:b/>
          <w:bCs/>
          <w:sz w:val="24"/>
        </w:rPr>
        <w:t>情况</w:t>
      </w:r>
      <w:r w:rsidRPr="005046B1">
        <w:rPr>
          <w:rFonts w:ascii="宋体" w:hAnsi="宋体" w:hint="eastAsia"/>
          <w:b/>
          <w:bCs/>
          <w:sz w:val="24"/>
        </w:rPr>
        <w:t>？</w:t>
      </w:r>
      <w:bookmarkEnd w:id="7"/>
    </w:p>
    <w:p w14:paraId="09D8D7E9" w14:textId="77777777" w:rsidR="005046B1" w:rsidRPr="005046B1" w:rsidRDefault="005046B1" w:rsidP="005046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 w:rsidRPr="005046B1">
        <w:rPr>
          <w:rFonts w:ascii="宋体" w:hAnsi="宋体" w:hint="eastAsia"/>
          <w:bCs/>
          <w:sz w:val="24"/>
        </w:rPr>
        <w:t>：在海外市场，</w:t>
      </w:r>
      <w:r w:rsidRPr="005046B1">
        <w:rPr>
          <w:rFonts w:ascii="宋体" w:hAnsi="宋体"/>
          <w:bCs/>
          <w:sz w:val="24"/>
        </w:rPr>
        <w:t>B</w:t>
      </w:r>
      <w:r w:rsidRPr="005046B1">
        <w:rPr>
          <w:rFonts w:ascii="宋体" w:hAnsi="宋体" w:hint="eastAsia"/>
          <w:bCs/>
          <w:sz w:val="24"/>
        </w:rPr>
        <w:t>PLC芯片的通信模组已批量交付与现场运行，主要在孟加拉等东南亚国家。此外，公司推出了基于Wi-SUN国际标准的通信</w:t>
      </w:r>
      <w:proofErr w:type="gramStart"/>
      <w:r w:rsidRPr="005046B1">
        <w:rPr>
          <w:rFonts w:ascii="宋体" w:hAnsi="宋体" w:hint="eastAsia"/>
          <w:bCs/>
          <w:sz w:val="24"/>
        </w:rPr>
        <w:t>芯片与模组</w:t>
      </w:r>
      <w:proofErr w:type="gramEnd"/>
      <w:r w:rsidRPr="005046B1">
        <w:rPr>
          <w:rFonts w:ascii="宋体" w:hAnsi="宋体" w:hint="eastAsia"/>
          <w:bCs/>
          <w:sz w:val="24"/>
        </w:rPr>
        <w:t>，也实现了海外批量交付，目前公司的自</w:t>
      </w:r>
      <w:proofErr w:type="gramStart"/>
      <w:r w:rsidRPr="005046B1">
        <w:rPr>
          <w:rFonts w:ascii="宋体" w:hAnsi="宋体" w:hint="eastAsia"/>
          <w:bCs/>
          <w:sz w:val="24"/>
        </w:rPr>
        <w:t>研</w:t>
      </w:r>
      <w:proofErr w:type="gramEnd"/>
      <w:r w:rsidRPr="005046B1">
        <w:rPr>
          <w:rFonts w:ascii="宋体" w:hAnsi="宋体" w:hint="eastAsia"/>
          <w:bCs/>
          <w:sz w:val="24"/>
        </w:rPr>
        <w:t>通信芯片可覆盖全球70%以上国家电力AMI通信方案。</w:t>
      </w:r>
    </w:p>
    <w:p w14:paraId="63D52985" w14:textId="77777777" w:rsidR="005046B1" w:rsidRPr="005046B1" w:rsidRDefault="005046B1" w:rsidP="00A87C7E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0FD6246D" w14:textId="77777777" w:rsidR="00A87C7E" w:rsidRPr="00F75A9A" w:rsidRDefault="00A87C7E" w:rsidP="00A87C7E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75A9A">
        <w:rPr>
          <w:rFonts w:ascii="宋体" w:hAnsi="宋体" w:hint="eastAsia"/>
          <w:b/>
          <w:bCs/>
          <w:sz w:val="24"/>
        </w:rPr>
        <w:t>Q：</w:t>
      </w:r>
      <w:r>
        <w:rPr>
          <w:rFonts w:ascii="宋体" w:hAnsi="宋体" w:hint="eastAsia"/>
          <w:b/>
          <w:bCs/>
          <w:sz w:val="24"/>
        </w:rPr>
        <w:t>请介绍一下公司海外发展战略</w:t>
      </w:r>
      <w:r w:rsidRPr="00F75A9A">
        <w:rPr>
          <w:rFonts w:ascii="宋体" w:hAnsi="宋体" w:hint="eastAsia"/>
          <w:b/>
          <w:bCs/>
          <w:sz w:val="24"/>
        </w:rPr>
        <w:t>？</w:t>
      </w:r>
    </w:p>
    <w:p w14:paraId="2540162F" w14:textId="77777777" w:rsidR="00A87C7E" w:rsidRPr="00C03113" w:rsidRDefault="00A87C7E" w:rsidP="00A87C7E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/>
          <w:bCs/>
          <w:sz w:val="24"/>
        </w:rPr>
        <w:t>A</w:t>
      </w:r>
      <w:r w:rsidRPr="00F75A9A">
        <w:rPr>
          <w:rFonts w:ascii="宋体" w:hAnsi="宋体" w:hint="eastAsia"/>
          <w:bCs/>
          <w:sz w:val="24"/>
        </w:rPr>
        <w:t>：海外业务可持续发展是公司坚定的战略方向。海外市场公司重点布局东盟十国、中东海湾六国和非洲政治稳定经济活跃的新兴市场国家。受全球能源短缺和制造业重构的影响，这些新兴国家在能源</w:t>
      </w:r>
      <w:r>
        <w:rPr>
          <w:rFonts w:ascii="宋体" w:hAnsi="宋体" w:hint="eastAsia"/>
          <w:bCs/>
          <w:sz w:val="24"/>
        </w:rPr>
        <w:t>、</w:t>
      </w:r>
      <w:r w:rsidRPr="00F75A9A">
        <w:rPr>
          <w:rFonts w:ascii="宋体" w:hAnsi="宋体" w:hint="eastAsia"/>
          <w:bCs/>
          <w:sz w:val="24"/>
        </w:rPr>
        <w:t>电</w:t>
      </w:r>
      <w:r>
        <w:rPr>
          <w:rFonts w:ascii="宋体" w:hAnsi="宋体" w:hint="eastAsia"/>
          <w:bCs/>
          <w:sz w:val="24"/>
        </w:rPr>
        <w:t>、</w:t>
      </w:r>
      <w:r w:rsidRPr="00F75A9A">
        <w:rPr>
          <w:rFonts w:ascii="宋体" w:hAnsi="宋体" w:hint="eastAsia"/>
          <w:bCs/>
          <w:sz w:val="24"/>
        </w:rPr>
        <w:t>水</w:t>
      </w:r>
      <w:r>
        <w:rPr>
          <w:rFonts w:ascii="宋体" w:hAnsi="宋体" w:hint="eastAsia"/>
          <w:bCs/>
          <w:sz w:val="24"/>
        </w:rPr>
        <w:t>、</w:t>
      </w:r>
      <w:proofErr w:type="gramStart"/>
      <w:r w:rsidRPr="00F75A9A">
        <w:rPr>
          <w:rFonts w:ascii="宋体" w:hAnsi="宋体" w:hint="eastAsia"/>
          <w:bCs/>
          <w:sz w:val="24"/>
        </w:rPr>
        <w:t>气基础</w:t>
      </w:r>
      <w:proofErr w:type="gramEnd"/>
      <w:r w:rsidRPr="00F75A9A">
        <w:rPr>
          <w:rFonts w:ascii="宋体" w:hAnsi="宋体" w:hint="eastAsia"/>
          <w:bCs/>
          <w:sz w:val="24"/>
        </w:rPr>
        <w:t>设施的数字化和智能化是趋势和刚需，对此，公司有丰富而成熟的解决方案，技术路线和产品成熟齐备，技术团队完成少量本地化优化即可满足海外业务发展。公司在国内市场领先的同时，仍在不断创新，拥有下一代新技术的储备，满足下一代新标准需求。公司每年持续投入新技术研发，产生了业绩和技术积累的积极效应。公司的组织架构与时俱进，跟随国内和海外战略客户的需求导向进行适应和创新发展，整体上使公司的核心竞争力侧重在“物联网+芯片+人工智能”的技术领先和技术输出，以综合解决方案的能力保持国内领先的同时，不断提升海外业务的占比，由国际主流向国际领先地位看齐</w:t>
      </w:r>
      <w:r w:rsidRPr="00F75A9A">
        <w:rPr>
          <w:rFonts w:ascii="宋体" w:hAnsi="宋体" w:hint="eastAsia"/>
          <w:sz w:val="24"/>
        </w:rPr>
        <w:t>。</w:t>
      </w:r>
    </w:p>
    <w:p w14:paraId="488690DF" w14:textId="65A144B8" w:rsidR="00A87C7E" w:rsidRPr="00A87C7E" w:rsidRDefault="00A87C7E" w:rsidP="00A87C7E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sectPr w:rsidR="00A87C7E" w:rsidRPr="00A87C7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4434F" w14:textId="77777777" w:rsidR="00931434" w:rsidRDefault="00931434">
      <w:r>
        <w:separator/>
      </w:r>
    </w:p>
  </w:endnote>
  <w:endnote w:type="continuationSeparator" w:id="0">
    <w:p w14:paraId="182925C4" w14:textId="77777777" w:rsidR="00931434" w:rsidRDefault="0093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5AA821A7" w14:textId="77777777" w:rsidR="00920584" w:rsidRDefault="0092058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ED7" w:rsidRPr="00751ED7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807F" w14:textId="77777777" w:rsidR="00931434" w:rsidRDefault="00931434">
      <w:r>
        <w:separator/>
      </w:r>
    </w:p>
  </w:footnote>
  <w:footnote w:type="continuationSeparator" w:id="0">
    <w:p w14:paraId="7AF8D121" w14:textId="77777777" w:rsidR="00931434" w:rsidRDefault="0093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906"/>
    <w:multiLevelType w:val="multilevel"/>
    <w:tmpl w:val="B2A2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25EE2"/>
    <w:multiLevelType w:val="multilevel"/>
    <w:tmpl w:val="BDF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A340F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14D01757"/>
    <w:multiLevelType w:val="multilevel"/>
    <w:tmpl w:val="376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81EF9"/>
    <w:multiLevelType w:val="multilevel"/>
    <w:tmpl w:val="D002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21210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42267698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47624DA"/>
    <w:multiLevelType w:val="multilevel"/>
    <w:tmpl w:val="DBEA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027E8"/>
    <w:multiLevelType w:val="multilevel"/>
    <w:tmpl w:val="58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D5E79"/>
    <w:multiLevelType w:val="multilevel"/>
    <w:tmpl w:val="1CA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219E0"/>
    <w:multiLevelType w:val="multilevel"/>
    <w:tmpl w:val="DC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3D0A09"/>
    <w:multiLevelType w:val="multilevel"/>
    <w:tmpl w:val="6812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F2258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3567BF"/>
    <w:multiLevelType w:val="multilevel"/>
    <w:tmpl w:val="BBB2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5" w15:restartNumberingAfterBreak="0">
    <w:nsid w:val="71C323C4"/>
    <w:multiLevelType w:val="multilevel"/>
    <w:tmpl w:val="7F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96FCE"/>
    <w:multiLevelType w:val="multilevel"/>
    <w:tmpl w:val="074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50BEC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8" w15:restartNumberingAfterBreak="0">
    <w:nsid w:val="7D4D34AC"/>
    <w:multiLevelType w:val="multilevel"/>
    <w:tmpl w:val="CEE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3"/>
  </w:num>
  <w:num w:numId="5">
    <w:abstractNumId w:val="11"/>
  </w:num>
  <w:num w:numId="6">
    <w:abstractNumId w:val="12"/>
  </w:num>
  <w:num w:numId="7">
    <w:abstractNumId w:val="2"/>
  </w:num>
  <w:num w:numId="8">
    <w:abstractNumId w:val="17"/>
  </w:num>
  <w:num w:numId="9">
    <w:abstractNumId w:val="5"/>
  </w:num>
  <w:num w:numId="10">
    <w:abstractNumId w:val="6"/>
  </w:num>
  <w:num w:numId="11">
    <w:abstractNumId w:val="8"/>
  </w:num>
  <w:num w:numId="12">
    <w:abstractNumId w:val="15"/>
  </w:num>
  <w:num w:numId="13">
    <w:abstractNumId w:val="16"/>
  </w:num>
  <w:num w:numId="14">
    <w:abstractNumId w:val="9"/>
  </w:num>
  <w:num w:numId="15">
    <w:abstractNumId w:val="1"/>
  </w:num>
  <w:num w:numId="16">
    <w:abstractNumId w:val="3"/>
  </w:num>
  <w:num w:numId="17">
    <w:abstractNumId w:val="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1EDC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4762D"/>
    <w:rsid w:val="00050564"/>
    <w:rsid w:val="00051218"/>
    <w:rsid w:val="00053E85"/>
    <w:rsid w:val="00053FE4"/>
    <w:rsid w:val="000559A7"/>
    <w:rsid w:val="000619A7"/>
    <w:rsid w:val="00061AF6"/>
    <w:rsid w:val="0006525A"/>
    <w:rsid w:val="000657A5"/>
    <w:rsid w:val="00065FD3"/>
    <w:rsid w:val="00067C47"/>
    <w:rsid w:val="000720E2"/>
    <w:rsid w:val="0007247D"/>
    <w:rsid w:val="00073DB5"/>
    <w:rsid w:val="000747E3"/>
    <w:rsid w:val="000748A0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5DB2"/>
    <w:rsid w:val="000D61E9"/>
    <w:rsid w:val="000D62B1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1D3B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0F83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57E52"/>
    <w:rsid w:val="00165654"/>
    <w:rsid w:val="00170E4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0E91"/>
    <w:rsid w:val="001836D1"/>
    <w:rsid w:val="001871E8"/>
    <w:rsid w:val="001904BB"/>
    <w:rsid w:val="00191D34"/>
    <w:rsid w:val="00192240"/>
    <w:rsid w:val="0019259D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3EBF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312D"/>
    <w:rsid w:val="00264107"/>
    <w:rsid w:val="0026765E"/>
    <w:rsid w:val="00267D9F"/>
    <w:rsid w:val="00275D88"/>
    <w:rsid w:val="00280616"/>
    <w:rsid w:val="002814F4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3D79"/>
    <w:rsid w:val="002C540A"/>
    <w:rsid w:val="002C5C59"/>
    <w:rsid w:val="002C6142"/>
    <w:rsid w:val="002C76E4"/>
    <w:rsid w:val="002D0C22"/>
    <w:rsid w:val="002D129C"/>
    <w:rsid w:val="002D4481"/>
    <w:rsid w:val="002D450F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0EDE"/>
    <w:rsid w:val="003111F7"/>
    <w:rsid w:val="00311680"/>
    <w:rsid w:val="003117F6"/>
    <w:rsid w:val="00314B5F"/>
    <w:rsid w:val="00315318"/>
    <w:rsid w:val="00316AE0"/>
    <w:rsid w:val="003215DA"/>
    <w:rsid w:val="003240B3"/>
    <w:rsid w:val="00325933"/>
    <w:rsid w:val="00327C23"/>
    <w:rsid w:val="00330B7B"/>
    <w:rsid w:val="0033159F"/>
    <w:rsid w:val="00332C8A"/>
    <w:rsid w:val="00344487"/>
    <w:rsid w:val="00344715"/>
    <w:rsid w:val="003455A2"/>
    <w:rsid w:val="003471C6"/>
    <w:rsid w:val="00347FE2"/>
    <w:rsid w:val="0035208F"/>
    <w:rsid w:val="00352C09"/>
    <w:rsid w:val="00353B4A"/>
    <w:rsid w:val="00355707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34AF"/>
    <w:rsid w:val="00387CEC"/>
    <w:rsid w:val="00387ECB"/>
    <w:rsid w:val="00390630"/>
    <w:rsid w:val="0039075C"/>
    <w:rsid w:val="00392B90"/>
    <w:rsid w:val="00394C3B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2B82"/>
    <w:rsid w:val="003F4EF1"/>
    <w:rsid w:val="003F50A5"/>
    <w:rsid w:val="003F6B4E"/>
    <w:rsid w:val="003F77DF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5C14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1E25"/>
    <w:rsid w:val="004663BA"/>
    <w:rsid w:val="00467728"/>
    <w:rsid w:val="004707C3"/>
    <w:rsid w:val="00473182"/>
    <w:rsid w:val="0047646D"/>
    <w:rsid w:val="0048039F"/>
    <w:rsid w:val="004813B0"/>
    <w:rsid w:val="00483E2E"/>
    <w:rsid w:val="00486A69"/>
    <w:rsid w:val="00487EEB"/>
    <w:rsid w:val="004914E5"/>
    <w:rsid w:val="004938DB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5E49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7D0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46B1"/>
    <w:rsid w:val="00505E8E"/>
    <w:rsid w:val="005071C2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75D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7681E"/>
    <w:rsid w:val="0058129D"/>
    <w:rsid w:val="00582D00"/>
    <w:rsid w:val="005839AF"/>
    <w:rsid w:val="00583C38"/>
    <w:rsid w:val="00587E9F"/>
    <w:rsid w:val="005900D8"/>
    <w:rsid w:val="00590293"/>
    <w:rsid w:val="00592D9A"/>
    <w:rsid w:val="00593C7D"/>
    <w:rsid w:val="00594CD1"/>
    <w:rsid w:val="005950CE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C6D5D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5F61F4"/>
    <w:rsid w:val="00600266"/>
    <w:rsid w:val="006003B2"/>
    <w:rsid w:val="00601A41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41C6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B6A5A"/>
    <w:rsid w:val="006C1475"/>
    <w:rsid w:val="006C1FFA"/>
    <w:rsid w:val="006C3A70"/>
    <w:rsid w:val="006C51D5"/>
    <w:rsid w:val="006C53F9"/>
    <w:rsid w:val="006C5B81"/>
    <w:rsid w:val="006C621E"/>
    <w:rsid w:val="006C7F1A"/>
    <w:rsid w:val="006D1235"/>
    <w:rsid w:val="006D20AF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69FC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3EE6"/>
    <w:rsid w:val="0074618B"/>
    <w:rsid w:val="0074692B"/>
    <w:rsid w:val="00747666"/>
    <w:rsid w:val="0075086C"/>
    <w:rsid w:val="00751921"/>
    <w:rsid w:val="00751B86"/>
    <w:rsid w:val="00751ED7"/>
    <w:rsid w:val="007521B0"/>
    <w:rsid w:val="00753B49"/>
    <w:rsid w:val="00754B40"/>
    <w:rsid w:val="00764FF2"/>
    <w:rsid w:val="00765B9D"/>
    <w:rsid w:val="007662B5"/>
    <w:rsid w:val="0076665C"/>
    <w:rsid w:val="0077020E"/>
    <w:rsid w:val="00773115"/>
    <w:rsid w:val="00774DF4"/>
    <w:rsid w:val="0077651B"/>
    <w:rsid w:val="00776C76"/>
    <w:rsid w:val="0078190F"/>
    <w:rsid w:val="007823F9"/>
    <w:rsid w:val="007829D2"/>
    <w:rsid w:val="0078472D"/>
    <w:rsid w:val="007853E0"/>
    <w:rsid w:val="00786F28"/>
    <w:rsid w:val="00786FB7"/>
    <w:rsid w:val="007872E0"/>
    <w:rsid w:val="00787572"/>
    <w:rsid w:val="007911D2"/>
    <w:rsid w:val="007918E8"/>
    <w:rsid w:val="0079241C"/>
    <w:rsid w:val="0079284E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D7600"/>
    <w:rsid w:val="007E12B9"/>
    <w:rsid w:val="007E34F2"/>
    <w:rsid w:val="007E3983"/>
    <w:rsid w:val="007E3A31"/>
    <w:rsid w:val="007E72B4"/>
    <w:rsid w:val="007E7A42"/>
    <w:rsid w:val="007F1022"/>
    <w:rsid w:val="007F1425"/>
    <w:rsid w:val="007F1971"/>
    <w:rsid w:val="007F2FA4"/>
    <w:rsid w:val="007F5A7D"/>
    <w:rsid w:val="00807D02"/>
    <w:rsid w:val="00813C6D"/>
    <w:rsid w:val="00814A85"/>
    <w:rsid w:val="00816852"/>
    <w:rsid w:val="00820EEB"/>
    <w:rsid w:val="00821BCB"/>
    <w:rsid w:val="00821E86"/>
    <w:rsid w:val="0082215E"/>
    <w:rsid w:val="0082652E"/>
    <w:rsid w:val="00831EBE"/>
    <w:rsid w:val="0083426D"/>
    <w:rsid w:val="00834A3E"/>
    <w:rsid w:val="0083589D"/>
    <w:rsid w:val="00835E7E"/>
    <w:rsid w:val="00837ABB"/>
    <w:rsid w:val="00843A69"/>
    <w:rsid w:val="0084448F"/>
    <w:rsid w:val="008505B2"/>
    <w:rsid w:val="00851F8C"/>
    <w:rsid w:val="008537F5"/>
    <w:rsid w:val="00853F51"/>
    <w:rsid w:val="0085529F"/>
    <w:rsid w:val="00860E48"/>
    <w:rsid w:val="00860EEB"/>
    <w:rsid w:val="0086244E"/>
    <w:rsid w:val="00866A59"/>
    <w:rsid w:val="008670E8"/>
    <w:rsid w:val="008702B5"/>
    <w:rsid w:val="00870709"/>
    <w:rsid w:val="008715C8"/>
    <w:rsid w:val="00874223"/>
    <w:rsid w:val="008746E6"/>
    <w:rsid w:val="00875D3B"/>
    <w:rsid w:val="00876371"/>
    <w:rsid w:val="00876C89"/>
    <w:rsid w:val="0087741B"/>
    <w:rsid w:val="008808F6"/>
    <w:rsid w:val="00881CD7"/>
    <w:rsid w:val="00881E4B"/>
    <w:rsid w:val="0088293D"/>
    <w:rsid w:val="008872EE"/>
    <w:rsid w:val="00893EBF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38DB"/>
    <w:rsid w:val="008B4930"/>
    <w:rsid w:val="008B754E"/>
    <w:rsid w:val="008C1A2A"/>
    <w:rsid w:val="008C3D98"/>
    <w:rsid w:val="008C40BB"/>
    <w:rsid w:val="008C5917"/>
    <w:rsid w:val="008D027B"/>
    <w:rsid w:val="008D1526"/>
    <w:rsid w:val="008D16F0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4871"/>
    <w:rsid w:val="008F76C1"/>
    <w:rsid w:val="009020E2"/>
    <w:rsid w:val="00902D57"/>
    <w:rsid w:val="0090415B"/>
    <w:rsid w:val="009042F6"/>
    <w:rsid w:val="00905905"/>
    <w:rsid w:val="00906E4A"/>
    <w:rsid w:val="00907677"/>
    <w:rsid w:val="009114A3"/>
    <w:rsid w:val="009114D4"/>
    <w:rsid w:val="00912441"/>
    <w:rsid w:val="009130FA"/>
    <w:rsid w:val="009144B9"/>
    <w:rsid w:val="00914AF1"/>
    <w:rsid w:val="00916705"/>
    <w:rsid w:val="0091700A"/>
    <w:rsid w:val="0091742F"/>
    <w:rsid w:val="00920584"/>
    <w:rsid w:val="00922D36"/>
    <w:rsid w:val="0092301F"/>
    <w:rsid w:val="00925F18"/>
    <w:rsid w:val="009266C2"/>
    <w:rsid w:val="009275F7"/>
    <w:rsid w:val="00927DB2"/>
    <w:rsid w:val="00931434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0F37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0178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37AD3"/>
    <w:rsid w:val="00A43729"/>
    <w:rsid w:val="00A504D3"/>
    <w:rsid w:val="00A5131D"/>
    <w:rsid w:val="00A519D7"/>
    <w:rsid w:val="00A55013"/>
    <w:rsid w:val="00A609FA"/>
    <w:rsid w:val="00A61FC6"/>
    <w:rsid w:val="00A622B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87C7E"/>
    <w:rsid w:val="00A9115E"/>
    <w:rsid w:val="00A93DDE"/>
    <w:rsid w:val="00A945E6"/>
    <w:rsid w:val="00A94954"/>
    <w:rsid w:val="00A94F16"/>
    <w:rsid w:val="00A9650B"/>
    <w:rsid w:val="00AA1D55"/>
    <w:rsid w:val="00AA1EC1"/>
    <w:rsid w:val="00AA3177"/>
    <w:rsid w:val="00AA388B"/>
    <w:rsid w:val="00AA5B27"/>
    <w:rsid w:val="00AA60CB"/>
    <w:rsid w:val="00AB05FA"/>
    <w:rsid w:val="00AB0635"/>
    <w:rsid w:val="00AB13BE"/>
    <w:rsid w:val="00AB1626"/>
    <w:rsid w:val="00AB1C02"/>
    <w:rsid w:val="00AB2798"/>
    <w:rsid w:val="00AB428B"/>
    <w:rsid w:val="00AB4D2C"/>
    <w:rsid w:val="00AC0738"/>
    <w:rsid w:val="00AC2821"/>
    <w:rsid w:val="00AD1D83"/>
    <w:rsid w:val="00AD364F"/>
    <w:rsid w:val="00AD40E5"/>
    <w:rsid w:val="00AD528F"/>
    <w:rsid w:val="00AD71EE"/>
    <w:rsid w:val="00AE1A2A"/>
    <w:rsid w:val="00AE2F26"/>
    <w:rsid w:val="00AE3265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166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2DF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4F40"/>
    <w:rsid w:val="00BE55A7"/>
    <w:rsid w:val="00BE5631"/>
    <w:rsid w:val="00BE6C53"/>
    <w:rsid w:val="00BE6CE5"/>
    <w:rsid w:val="00BE7324"/>
    <w:rsid w:val="00BF107B"/>
    <w:rsid w:val="00BF180C"/>
    <w:rsid w:val="00BF27FC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271B"/>
    <w:rsid w:val="00C02B89"/>
    <w:rsid w:val="00C03113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559E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B7D55"/>
    <w:rsid w:val="00CC4CEA"/>
    <w:rsid w:val="00CC5F2C"/>
    <w:rsid w:val="00CC6FE6"/>
    <w:rsid w:val="00CD40B9"/>
    <w:rsid w:val="00CD4861"/>
    <w:rsid w:val="00CD5A46"/>
    <w:rsid w:val="00CD726B"/>
    <w:rsid w:val="00CE14AF"/>
    <w:rsid w:val="00CE19CC"/>
    <w:rsid w:val="00CE676C"/>
    <w:rsid w:val="00CE71EA"/>
    <w:rsid w:val="00CF0A2C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47623"/>
    <w:rsid w:val="00D53E4E"/>
    <w:rsid w:val="00D54C46"/>
    <w:rsid w:val="00D55691"/>
    <w:rsid w:val="00D61C5F"/>
    <w:rsid w:val="00D61ED9"/>
    <w:rsid w:val="00D6213E"/>
    <w:rsid w:val="00D627EA"/>
    <w:rsid w:val="00D62D1A"/>
    <w:rsid w:val="00D66887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4B1"/>
    <w:rsid w:val="00D76AB1"/>
    <w:rsid w:val="00D82E13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10C"/>
    <w:rsid w:val="00DC5DC1"/>
    <w:rsid w:val="00DC65EF"/>
    <w:rsid w:val="00DC6D68"/>
    <w:rsid w:val="00DD0132"/>
    <w:rsid w:val="00DD1CFF"/>
    <w:rsid w:val="00DD202B"/>
    <w:rsid w:val="00DD25E9"/>
    <w:rsid w:val="00DD2BF4"/>
    <w:rsid w:val="00DD4078"/>
    <w:rsid w:val="00DD5343"/>
    <w:rsid w:val="00DD568C"/>
    <w:rsid w:val="00DD7254"/>
    <w:rsid w:val="00DE210F"/>
    <w:rsid w:val="00DE3630"/>
    <w:rsid w:val="00DE3AE7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3A8B"/>
    <w:rsid w:val="00E346BF"/>
    <w:rsid w:val="00E34C7F"/>
    <w:rsid w:val="00E47EA1"/>
    <w:rsid w:val="00E50DFB"/>
    <w:rsid w:val="00E517A4"/>
    <w:rsid w:val="00E543D8"/>
    <w:rsid w:val="00E54A1B"/>
    <w:rsid w:val="00E55729"/>
    <w:rsid w:val="00E561B5"/>
    <w:rsid w:val="00E56AB3"/>
    <w:rsid w:val="00E610CE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0F80"/>
    <w:rsid w:val="00E97AB3"/>
    <w:rsid w:val="00EA0F9E"/>
    <w:rsid w:val="00EA2C4F"/>
    <w:rsid w:val="00EA31ED"/>
    <w:rsid w:val="00EA4D21"/>
    <w:rsid w:val="00EA4D2D"/>
    <w:rsid w:val="00EA66CE"/>
    <w:rsid w:val="00EB0E12"/>
    <w:rsid w:val="00EB29A3"/>
    <w:rsid w:val="00EB408D"/>
    <w:rsid w:val="00EB4597"/>
    <w:rsid w:val="00EB5C43"/>
    <w:rsid w:val="00EB5D74"/>
    <w:rsid w:val="00EB5FB5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1AA"/>
    <w:rsid w:val="00EF7A03"/>
    <w:rsid w:val="00EF7FF0"/>
    <w:rsid w:val="00F0128D"/>
    <w:rsid w:val="00F01341"/>
    <w:rsid w:val="00F0216A"/>
    <w:rsid w:val="00F0285A"/>
    <w:rsid w:val="00F02C6B"/>
    <w:rsid w:val="00F04B60"/>
    <w:rsid w:val="00F07FD9"/>
    <w:rsid w:val="00F10B98"/>
    <w:rsid w:val="00F11057"/>
    <w:rsid w:val="00F110CF"/>
    <w:rsid w:val="00F11AD2"/>
    <w:rsid w:val="00F129FB"/>
    <w:rsid w:val="00F15308"/>
    <w:rsid w:val="00F15468"/>
    <w:rsid w:val="00F15828"/>
    <w:rsid w:val="00F20AD0"/>
    <w:rsid w:val="00F25EF0"/>
    <w:rsid w:val="00F2675F"/>
    <w:rsid w:val="00F3117B"/>
    <w:rsid w:val="00F33AFE"/>
    <w:rsid w:val="00F35272"/>
    <w:rsid w:val="00F354B6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571B"/>
    <w:rsid w:val="00F563AF"/>
    <w:rsid w:val="00F57C54"/>
    <w:rsid w:val="00F61170"/>
    <w:rsid w:val="00F63E7F"/>
    <w:rsid w:val="00F644EF"/>
    <w:rsid w:val="00F6640A"/>
    <w:rsid w:val="00F674B5"/>
    <w:rsid w:val="00F70441"/>
    <w:rsid w:val="00F712C6"/>
    <w:rsid w:val="00F717D5"/>
    <w:rsid w:val="00F71E55"/>
    <w:rsid w:val="00F7435D"/>
    <w:rsid w:val="00F74FA7"/>
    <w:rsid w:val="00F75A9A"/>
    <w:rsid w:val="00F77F24"/>
    <w:rsid w:val="00F77FB1"/>
    <w:rsid w:val="00F82327"/>
    <w:rsid w:val="00F83966"/>
    <w:rsid w:val="00F83B43"/>
    <w:rsid w:val="00F86691"/>
    <w:rsid w:val="00F86C3C"/>
    <w:rsid w:val="00F9429D"/>
    <w:rsid w:val="00F94868"/>
    <w:rsid w:val="00F94DFF"/>
    <w:rsid w:val="00F9621F"/>
    <w:rsid w:val="00F967FF"/>
    <w:rsid w:val="00F96DBE"/>
    <w:rsid w:val="00FA08E3"/>
    <w:rsid w:val="00FA0AD6"/>
    <w:rsid w:val="00FA513B"/>
    <w:rsid w:val="00FA7E74"/>
    <w:rsid w:val="00FB0CCF"/>
    <w:rsid w:val="00FB1B67"/>
    <w:rsid w:val="00FB2B93"/>
    <w:rsid w:val="00FB3882"/>
    <w:rsid w:val="00FB48A3"/>
    <w:rsid w:val="00FB5C5A"/>
    <w:rsid w:val="00FB74EE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C21"/>
    <w:rsid w:val="00FE4F6A"/>
    <w:rsid w:val="00FE577C"/>
    <w:rsid w:val="00FE69A1"/>
    <w:rsid w:val="00FE6A73"/>
    <w:rsid w:val="00FF25B5"/>
    <w:rsid w:val="00FF3D68"/>
    <w:rsid w:val="00FF78CC"/>
    <w:rsid w:val="05CF0835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332E1-D979-4A1C-BA99-848A752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71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99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  <w:style w:type="character" w:customStyle="1" w:styleId="lb">
    <w:name w:val="lb"/>
    <w:basedOn w:val="a0"/>
    <w:rsid w:val="00FE69A1"/>
  </w:style>
  <w:style w:type="paragraph" w:styleId="30">
    <w:name w:val="toc 3"/>
    <w:basedOn w:val="a"/>
    <w:next w:val="a"/>
    <w:uiPriority w:val="39"/>
    <w:qFormat/>
    <w:rsid w:val="00EB5C43"/>
    <w:pPr>
      <w:ind w:left="420"/>
      <w:jc w:val="left"/>
    </w:pPr>
    <w:rPr>
      <w:rFonts w:ascii="等线" w:eastAsia="等线" w:hAnsi="等线" w:cs="宋体"/>
      <w:i/>
      <w:iCs/>
      <w:sz w:val="2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EF71AA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e">
    <w:name w:val="Date"/>
    <w:basedOn w:val="a"/>
    <w:next w:val="a"/>
    <w:link w:val="Char7"/>
    <w:uiPriority w:val="99"/>
    <w:semiHidden/>
    <w:unhideWhenUsed/>
    <w:rsid w:val="00A37AD3"/>
    <w:pPr>
      <w:ind w:leftChars="2500" w:left="100"/>
    </w:pPr>
  </w:style>
  <w:style w:type="character" w:customStyle="1" w:styleId="Char7">
    <w:name w:val="日期 Char"/>
    <w:basedOn w:val="a0"/>
    <w:link w:val="ae"/>
    <w:uiPriority w:val="99"/>
    <w:semiHidden/>
    <w:rsid w:val="00A37AD3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603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44258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9198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4309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7935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00327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4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145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1262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260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93832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30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40347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3164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6710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44795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3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E530F-C2CF-4EC9-8B03-46A3EC4B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 ch</dc:creator>
  <cp:lastModifiedBy>Administrator</cp:lastModifiedBy>
  <cp:revision>24</cp:revision>
  <cp:lastPrinted>2024-08-21T06:15:00Z</cp:lastPrinted>
  <dcterms:created xsi:type="dcterms:W3CDTF">2025-11-25T06:30:00Z</dcterms:created>
  <dcterms:modified xsi:type="dcterms:W3CDTF">2026-01-04T05:54:00Z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