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06E20" w14:textId="77777777" w:rsidR="00D26F4A" w:rsidRPr="009B033E" w:rsidRDefault="00D26F4A" w:rsidP="00D26F4A">
      <w:pPr>
        <w:spacing w:line="276" w:lineRule="auto"/>
        <w:rPr>
          <w:rFonts w:ascii="Times New Roman" w:hAnsi="Times New Roman"/>
          <w:sz w:val="24"/>
          <w:szCs w:val="24"/>
        </w:rPr>
      </w:pPr>
      <w:r w:rsidRPr="009B033E">
        <w:rPr>
          <w:rFonts w:ascii="Times New Roman" w:hAnsi="Times New Roman"/>
          <w:sz w:val="24"/>
          <w:szCs w:val="24"/>
        </w:rPr>
        <w:t>证券代码：</w:t>
      </w:r>
      <w:r w:rsidRPr="009B033E">
        <w:rPr>
          <w:rFonts w:ascii="Times New Roman" w:hAnsi="Times New Roman" w:hint="eastAsia"/>
          <w:sz w:val="24"/>
          <w:szCs w:val="24"/>
        </w:rPr>
        <w:t>603556</w:t>
      </w:r>
      <w:r w:rsidRPr="009B033E">
        <w:rPr>
          <w:rFonts w:ascii="Times New Roman" w:hAnsi="Times New Roman"/>
          <w:sz w:val="24"/>
          <w:szCs w:val="24"/>
        </w:rPr>
        <w:t xml:space="preserve">  </w:t>
      </w:r>
      <w:r w:rsidRPr="009B033E">
        <w:rPr>
          <w:rFonts w:ascii="Times New Roman" w:hAnsi="Times New Roman" w:hint="eastAsia"/>
          <w:sz w:val="24"/>
          <w:szCs w:val="24"/>
        </w:rPr>
        <w:t xml:space="preserve">                                </w:t>
      </w:r>
      <w:r w:rsidRPr="009B033E">
        <w:rPr>
          <w:rFonts w:ascii="Times New Roman" w:hAnsi="Times New Roman"/>
          <w:sz w:val="24"/>
          <w:szCs w:val="24"/>
        </w:rPr>
        <w:t>证券简称</w:t>
      </w:r>
      <w:r w:rsidRPr="009B033E">
        <w:rPr>
          <w:rFonts w:ascii="Times New Roman" w:hAnsi="Times New Roman" w:hint="eastAsia"/>
          <w:sz w:val="24"/>
          <w:szCs w:val="24"/>
        </w:rPr>
        <w:t>：海兴电力</w:t>
      </w:r>
    </w:p>
    <w:p w14:paraId="39ED8D4E" w14:textId="77777777" w:rsidR="00D26F4A" w:rsidRPr="009B033E" w:rsidRDefault="00D26F4A" w:rsidP="00D26F4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52AE58" w14:textId="77777777" w:rsidR="00D26F4A" w:rsidRPr="005376E2" w:rsidRDefault="00D26F4A" w:rsidP="00D26F4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E2">
        <w:rPr>
          <w:rFonts w:ascii="Times New Roman" w:hAnsi="Times New Roman" w:hint="eastAsia"/>
          <w:b/>
          <w:sz w:val="28"/>
          <w:szCs w:val="28"/>
        </w:rPr>
        <w:t>杭州海兴电力科技股份有限公司</w:t>
      </w:r>
    </w:p>
    <w:p w14:paraId="23F74AF9" w14:textId="77777777" w:rsidR="00D26F4A" w:rsidRPr="005376E2" w:rsidRDefault="00D26F4A" w:rsidP="00D26F4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E2">
        <w:rPr>
          <w:rFonts w:ascii="Times New Roman" w:hAnsi="Times New Roman" w:hint="eastAsia"/>
          <w:b/>
          <w:sz w:val="28"/>
          <w:szCs w:val="28"/>
        </w:rPr>
        <w:t>投资者</w:t>
      </w:r>
      <w:r w:rsidRPr="005376E2">
        <w:rPr>
          <w:rFonts w:ascii="Times New Roman" w:hAnsi="Times New Roman"/>
          <w:b/>
          <w:sz w:val="28"/>
          <w:szCs w:val="28"/>
        </w:rPr>
        <w:t>关系活动</w:t>
      </w:r>
      <w:r w:rsidRPr="005376E2">
        <w:rPr>
          <w:rFonts w:ascii="Times New Roman" w:hAnsi="Times New Roman" w:hint="eastAsia"/>
          <w:b/>
          <w:sz w:val="28"/>
          <w:szCs w:val="28"/>
        </w:rPr>
        <w:t>记录</w:t>
      </w:r>
      <w:r w:rsidRPr="005376E2">
        <w:rPr>
          <w:rFonts w:ascii="Times New Roman" w:hAnsi="Times New Roman"/>
          <w:b/>
          <w:sz w:val="28"/>
          <w:szCs w:val="28"/>
        </w:rPr>
        <w:t>表</w:t>
      </w:r>
    </w:p>
    <w:p w14:paraId="6104069A" w14:textId="47EF0AE4" w:rsidR="00D26F4A" w:rsidRPr="005376E2" w:rsidRDefault="00D26F4A" w:rsidP="00D26F4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E2">
        <w:rPr>
          <w:rFonts w:ascii="Times New Roman" w:hAnsi="Times New Roman" w:hint="eastAsia"/>
          <w:b/>
          <w:sz w:val="28"/>
          <w:szCs w:val="28"/>
        </w:rPr>
        <w:t>（</w:t>
      </w:r>
      <w:r w:rsidRPr="005376E2">
        <w:rPr>
          <w:rFonts w:ascii="Times New Roman" w:hAnsi="Times New Roman"/>
          <w:b/>
          <w:sz w:val="28"/>
          <w:szCs w:val="28"/>
        </w:rPr>
        <w:t>2025-1</w:t>
      </w:r>
      <w:r w:rsidR="007D5638">
        <w:rPr>
          <w:rFonts w:ascii="Times New Roman" w:hAnsi="Times New Roman"/>
          <w:b/>
          <w:sz w:val="28"/>
          <w:szCs w:val="28"/>
        </w:rPr>
        <w:t>2</w:t>
      </w:r>
      <w:r w:rsidRPr="005376E2">
        <w:rPr>
          <w:rFonts w:ascii="Times New Roman" w:hAnsi="Times New Roman" w:hint="eastAsia"/>
          <w:b/>
          <w:sz w:val="28"/>
          <w:szCs w:val="28"/>
        </w:rPr>
        <w:t>）</w:t>
      </w:r>
    </w:p>
    <w:p w14:paraId="727E1B1B" w14:textId="02AEB7C1" w:rsidR="00D26F4A" w:rsidRPr="001D3BFA" w:rsidRDefault="00D26F4A" w:rsidP="00D26F4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9B033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93"/>
      </w:tblGrid>
      <w:tr w:rsidR="00D26F4A" w:rsidRPr="008A4F0A" w14:paraId="2256750F" w14:textId="77777777" w:rsidTr="00ED1A78">
        <w:trPr>
          <w:trHeight w:val="20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0DA" w14:textId="77777777" w:rsidR="00D26F4A" w:rsidRPr="008A4F0A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09C0" w14:textId="77777777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特定对象调研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分析师会议</w:t>
            </w:r>
          </w:p>
          <w:p w14:paraId="4D57DCA5" w14:textId="7628B3E7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媒体采访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</w:t>
            </w:r>
            <w:r w:rsidR="007D5638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业绩说明会</w:t>
            </w:r>
          </w:p>
          <w:p w14:paraId="3EB8943C" w14:textId="77777777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新闻发布会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路演活动</w:t>
            </w:r>
          </w:p>
          <w:p w14:paraId="4A1BAA06" w14:textId="77777777" w:rsidR="00D26F4A" w:rsidRPr="00261A60" w:rsidRDefault="00D26F4A" w:rsidP="00C41EEC">
            <w:pPr>
              <w:tabs>
                <w:tab w:val="left" w:pos="257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 xml:space="preserve">            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其他</w:t>
            </w:r>
          </w:p>
        </w:tc>
      </w:tr>
      <w:tr w:rsidR="00D26F4A" w:rsidRPr="008A4F0A" w14:paraId="37B2ECF2" w14:textId="77777777" w:rsidTr="00ED1A78">
        <w:trPr>
          <w:trHeight w:val="11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81DC" w14:textId="77777777" w:rsidR="00D26F4A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3EE3C4B7" w14:textId="77777777" w:rsidR="00D26F4A" w:rsidRPr="004B25D9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Cs/>
                <w:iCs/>
                <w:szCs w:val="21"/>
              </w:rPr>
            </w:pPr>
            <w:r w:rsidRPr="004B25D9">
              <w:rPr>
                <w:rFonts w:ascii="Times New Roman" w:eastAsia="宋体" w:hAnsi="Times New Roman" w:hint="eastAsia"/>
                <w:bCs/>
                <w:iCs/>
                <w:szCs w:val="21"/>
              </w:rPr>
              <w:t>（排名不分先后）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7A9F" w14:textId="652B86B3" w:rsidR="00D26F4A" w:rsidRPr="00261A60" w:rsidRDefault="00353626" w:rsidP="00C41EEC">
            <w:pPr>
              <w:spacing w:line="360" w:lineRule="auto"/>
              <w:ind w:leftChars="-1" w:left="-1" w:hanging="1"/>
              <w:rPr>
                <w:rFonts w:ascii="Times New Roman" w:eastAsia="宋体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中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金资管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、财通证券、</w:t>
            </w:r>
            <w:proofErr w:type="gramStart"/>
            <w:r w:rsidR="00E17475" w:rsidRPr="00E17475">
              <w:rPr>
                <w:rFonts w:ascii="Times New Roman" w:eastAsia="宋体" w:hAnsi="Times New Roman"/>
                <w:bCs/>
                <w:iCs/>
                <w:sz w:val="24"/>
                <w:szCs w:val="20"/>
              </w:rPr>
              <w:t>聚鸣投资</w:t>
            </w:r>
            <w:bookmarkStart w:id="0" w:name="_GoBack"/>
            <w:bookmarkEnd w:id="0"/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</w:t>
            </w:r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易方达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基金</w:t>
            </w:r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、广发基金、华夏基金、中</w:t>
            </w:r>
            <w:proofErr w:type="gramStart"/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信建投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证券</w:t>
            </w:r>
            <w:proofErr w:type="gramEnd"/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、中信证券、国信证券、招商基金、嘉实基金、</w:t>
            </w:r>
            <w:r w:rsidR="007D5638" w:rsidRPr="007D5638">
              <w:rPr>
                <w:rFonts w:ascii="Times New Roman" w:eastAsia="宋体" w:hAnsi="Times New Roman"/>
                <w:bCs/>
                <w:iCs/>
                <w:sz w:val="24"/>
                <w:szCs w:val="20"/>
              </w:rPr>
              <w:t>BNP Paribas</w:t>
            </w:r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</w:t>
            </w:r>
            <w:r w:rsidRPr="00353626">
              <w:rPr>
                <w:rFonts w:ascii="Times New Roman" w:eastAsia="宋体" w:hAnsi="Times New Roman"/>
                <w:bCs/>
                <w:iCs/>
                <w:sz w:val="24"/>
                <w:szCs w:val="20"/>
              </w:rPr>
              <w:t>Polymer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</w:t>
            </w:r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兴业证券、长城证券、国联民生证券、红杉中国、诺安基金、长江证券、</w:t>
            </w:r>
            <w:r w:rsidR="00041292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西部证券、</w:t>
            </w:r>
            <w:r w:rsidR="007D5638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永安期货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、华源证券</w:t>
            </w:r>
            <w:r w:rsidR="00D26F4A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等</w:t>
            </w:r>
          </w:p>
        </w:tc>
      </w:tr>
      <w:tr w:rsidR="00D26F4A" w:rsidRPr="008A4F0A" w14:paraId="7310871E" w14:textId="77777777" w:rsidTr="00ED1A7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C8D1" w14:textId="77777777" w:rsidR="00D26F4A" w:rsidRPr="008A4F0A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004" w14:textId="0FDC9E03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</w:t>
            </w:r>
            <w:r w:rsidR="007D563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-</w:t>
            </w:r>
            <w:r w:rsidR="009212AE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</w:t>
            </w:r>
            <w:r w:rsidR="00AC6DA5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</w:t>
            </w:r>
            <w:r w:rsidR="009212AE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</w:t>
            </w:r>
            <w:r w:rsidR="009212AE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</w:t>
            </w:r>
            <w:r w:rsidR="009212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26F4A" w:rsidRPr="008A4F0A" w14:paraId="57D3F791" w14:textId="77777777" w:rsidTr="00ED1A7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68B" w14:textId="77777777" w:rsidR="00D26F4A" w:rsidRPr="008A4F0A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会议方式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B05" w14:textId="4394DEE0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现场调研、电话会、券商策略会</w:t>
            </w:r>
          </w:p>
        </w:tc>
      </w:tr>
      <w:tr w:rsidR="00D26F4A" w:rsidRPr="008A4F0A" w14:paraId="4DDE5F3B" w14:textId="77777777" w:rsidTr="00ED1A7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D93F" w14:textId="77777777" w:rsidR="00ED1A78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上市公司</w:t>
            </w:r>
          </w:p>
          <w:p w14:paraId="79CD4CF7" w14:textId="6D170C11" w:rsidR="00D26F4A" w:rsidRPr="008A4F0A" w:rsidRDefault="00D26F4A" w:rsidP="00C41EEC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接待人员姓名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9105" w14:textId="77777777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董事会秘书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金依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、证券事务代表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吴阳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阳</w:t>
            </w:r>
            <w:proofErr w:type="gramEnd"/>
          </w:p>
        </w:tc>
      </w:tr>
      <w:tr w:rsidR="00D26F4A" w:rsidRPr="008A4F0A" w14:paraId="77563242" w14:textId="77777777" w:rsidTr="00ED1A78">
        <w:trPr>
          <w:trHeight w:val="4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248" w14:textId="77777777" w:rsidR="00D26F4A" w:rsidRPr="008A4F0A" w:rsidRDefault="00D26F4A" w:rsidP="00DF1DE0">
            <w:pPr>
              <w:spacing w:line="276" w:lineRule="auto"/>
              <w:jc w:val="center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E25" w14:textId="6536AAD7" w:rsidR="006F3081" w:rsidRDefault="006F3081" w:rsidP="006F30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F3081">
              <w:rPr>
                <w:rFonts w:ascii="宋体" w:eastAsia="宋体" w:hAnsi="宋体" w:hint="eastAsia"/>
                <w:sz w:val="24"/>
                <w:szCs w:val="24"/>
              </w:rPr>
              <w:t>董事会秘书金依先生为投资者就公司近期的经营情况</w:t>
            </w:r>
            <w:r w:rsidR="00CE7DE2">
              <w:rPr>
                <w:rFonts w:ascii="宋体" w:eastAsia="宋体" w:hAnsi="宋体" w:hint="eastAsia"/>
                <w:sz w:val="24"/>
                <w:szCs w:val="24"/>
              </w:rPr>
              <w:t>和业务布局</w:t>
            </w:r>
            <w:r w:rsidRPr="006F3081">
              <w:rPr>
                <w:rFonts w:ascii="宋体" w:eastAsia="宋体" w:hAnsi="宋体" w:hint="eastAsia"/>
                <w:sz w:val="24"/>
                <w:szCs w:val="24"/>
              </w:rPr>
              <w:t>进行了介绍并回答了投资者问题。主要内容如下：</w:t>
            </w:r>
          </w:p>
          <w:p w14:paraId="069CC101" w14:textId="5985C620" w:rsidR="00D46AA0" w:rsidRPr="009212AE" w:rsidRDefault="009212AE" w:rsidP="00D46A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OLE_LINK1"/>
            <w:r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Q</w:t>
            </w:r>
            <w:r w:rsidR="00D46AA0"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：公司未来的业务的战略方向和增长点是什么？</w:t>
            </w:r>
          </w:p>
          <w:p w14:paraId="1910DD21" w14:textId="7D6D05B6" w:rsidR="00B63BC7" w:rsidRPr="00B63BC7" w:rsidRDefault="009212AE" w:rsidP="00B63B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D46AA0" w:rsidRPr="00D46AA0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46AA0" w:rsidRPr="0059169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 w:rsidR="00B63BC7" w:rsidRPr="00B63BC7">
              <w:rPr>
                <w:rFonts w:ascii="宋体" w:eastAsia="宋体" w:hAnsi="宋体" w:hint="eastAsia"/>
                <w:sz w:val="24"/>
                <w:szCs w:val="24"/>
              </w:rPr>
              <w:t>公司已明确以</w:t>
            </w:r>
            <w:r w:rsidR="00B63BC7" w:rsidRPr="00B63BC7">
              <w:rPr>
                <w:rFonts w:ascii="宋体" w:eastAsia="宋体" w:hAnsi="宋体"/>
                <w:sz w:val="24"/>
                <w:szCs w:val="24"/>
              </w:rPr>
              <w:t xml:space="preserve"> “电”和 “水”为两大核心发展方向，致力于成为全球领先的数字能源与智慧水</w:t>
            </w:r>
            <w:proofErr w:type="gramStart"/>
            <w:r w:rsidR="00B63BC7" w:rsidRPr="00B63BC7">
              <w:rPr>
                <w:rFonts w:ascii="宋体" w:eastAsia="宋体" w:hAnsi="宋体"/>
                <w:sz w:val="24"/>
                <w:szCs w:val="24"/>
              </w:rPr>
              <w:t>务</w:t>
            </w:r>
            <w:proofErr w:type="gramEnd"/>
            <w:r w:rsidR="00B63BC7" w:rsidRPr="00B63BC7">
              <w:rPr>
                <w:rFonts w:ascii="宋体" w:eastAsia="宋体" w:hAnsi="宋体"/>
                <w:sz w:val="24"/>
                <w:szCs w:val="24"/>
              </w:rPr>
              <w:t>解决方案提供商。</w:t>
            </w:r>
          </w:p>
          <w:p w14:paraId="742DBCD8" w14:textId="77777777" w:rsidR="00B63BC7" w:rsidRDefault="00B63BC7" w:rsidP="00B63B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63BC7">
              <w:rPr>
                <w:rFonts w:ascii="宋体" w:eastAsia="宋体" w:hAnsi="宋体" w:hint="eastAsia"/>
                <w:sz w:val="24"/>
                <w:szCs w:val="24"/>
              </w:rPr>
              <w:t>在电力领域，公司将持续巩固在智能电网市场的领先优势，推动业务从智能计量、配网自动化向数字能源管理实现全面布局。公司的目标不仅是成为设备与方案的供应商，更是助力电力客户实现数字化转型与能源转型的长期合作伙伴。公司将紧抓全球电网升级、分布式</w:t>
            </w:r>
            <w:proofErr w:type="gramStart"/>
            <w:r w:rsidRPr="00B63BC7">
              <w:rPr>
                <w:rFonts w:ascii="宋体" w:eastAsia="宋体" w:hAnsi="宋体" w:hint="eastAsia"/>
                <w:sz w:val="24"/>
                <w:szCs w:val="24"/>
              </w:rPr>
              <w:t>绿电高</w:t>
            </w:r>
            <w:proofErr w:type="gramEnd"/>
            <w:r w:rsidRPr="00B63BC7">
              <w:rPr>
                <w:rFonts w:ascii="宋体" w:eastAsia="宋体" w:hAnsi="宋体" w:hint="eastAsia"/>
                <w:sz w:val="24"/>
                <w:szCs w:val="24"/>
              </w:rPr>
              <w:t>比例接入及能效提升带来的重大机遇，为客户提供更高效、更可靠的系统解决方案。</w:t>
            </w:r>
          </w:p>
          <w:p w14:paraId="3EF77A14" w14:textId="1623BD9C" w:rsidR="007D329F" w:rsidRDefault="00D46AA0" w:rsidP="00B63B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46AA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在水</w:t>
            </w:r>
            <w:proofErr w:type="gramStart"/>
            <w:r w:rsidRPr="00D46AA0">
              <w:rPr>
                <w:rFonts w:ascii="宋体" w:eastAsia="宋体" w:hAnsi="宋体" w:hint="eastAsia"/>
                <w:sz w:val="24"/>
                <w:szCs w:val="24"/>
              </w:rPr>
              <w:t>务</w:t>
            </w:r>
            <w:proofErr w:type="gramEnd"/>
            <w:r w:rsidRPr="00D46AA0">
              <w:rPr>
                <w:rFonts w:ascii="宋体" w:eastAsia="宋体" w:hAnsi="宋体" w:hint="eastAsia"/>
                <w:sz w:val="24"/>
                <w:szCs w:val="24"/>
              </w:rPr>
              <w:t>领域，</w:t>
            </w:r>
            <w:r w:rsidR="000231C8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的战略视野已从智能计量延伸至更广阔的水资源管理</w:t>
            </w:r>
            <w:r w:rsidR="00936A76">
              <w:rPr>
                <w:rFonts w:ascii="宋体" w:eastAsia="宋体" w:hAnsi="宋体" w:hint="eastAsia"/>
                <w:sz w:val="24"/>
                <w:szCs w:val="24"/>
              </w:rPr>
              <w:t>领域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。除持续拓展全球智能水表业务外，</w:t>
            </w:r>
            <w:r w:rsidR="000231C8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正战略性</w:t>
            </w:r>
            <w:r w:rsidR="00B63BC7">
              <w:rPr>
                <w:rFonts w:ascii="宋体" w:eastAsia="宋体" w:hAnsi="宋体" w:hint="eastAsia"/>
                <w:sz w:val="24"/>
                <w:szCs w:val="24"/>
              </w:rPr>
              <w:t>布局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海水淡化这一关键水资源解决方案市场。依托在电力能效管理、自动控制</w:t>
            </w:r>
            <w:r w:rsidR="00B63BC7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系统集成方面的核心技术</w:t>
            </w:r>
            <w:r w:rsidR="00B63BC7">
              <w:rPr>
                <w:rFonts w:ascii="宋体" w:eastAsia="宋体" w:hAnsi="宋体" w:hint="eastAsia"/>
                <w:sz w:val="24"/>
                <w:szCs w:val="24"/>
              </w:rPr>
              <w:t>积淀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63BC7">
              <w:rPr>
                <w:rFonts w:ascii="宋体" w:eastAsia="宋体" w:hAnsi="宋体" w:hint="eastAsia"/>
                <w:sz w:val="24"/>
                <w:szCs w:val="24"/>
              </w:rPr>
              <w:t>公司将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r w:rsidR="006531B1">
              <w:rPr>
                <w:rFonts w:ascii="宋体" w:eastAsia="宋体" w:hAnsi="宋体" w:hint="eastAsia"/>
                <w:sz w:val="24"/>
                <w:szCs w:val="24"/>
              </w:rPr>
              <w:t>全球</w:t>
            </w:r>
            <w:r w:rsidRPr="00D46AA0">
              <w:rPr>
                <w:rFonts w:ascii="宋体" w:eastAsia="宋体" w:hAnsi="宋体" w:hint="eastAsia"/>
                <w:sz w:val="24"/>
                <w:szCs w:val="24"/>
              </w:rPr>
              <w:t>水资源短缺地区提供高效、节能的海水淡化设施及整体运营解决方案。</w:t>
            </w:r>
          </w:p>
          <w:p w14:paraId="3880DC06" w14:textId="50A7E7D4" w:rsidR="00612D36" w:rsidRDefault="00D46AA0" w:rsidP="00D46A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46AA0">
              <w:rPr>
                <w:rFonts w:ascii="宋体" w:eastAsia="宋体" w:hAnsi="宋体" w:hint="eastAsia"/>
                <w:sz w:val="24"/>
                <w:szCs w:val="24"/>
              </w:rPr>
              <w:t>电力与水务两大业务将在技术、市场与资源管理上形成强大的战略协同，共同构建公司未来长期、可持续的增长双引擎。</w:t>
            </w:r>
          </w:p>
          <w:bookmarkEnd w:id="1"/>
          <w:p w14:paraId="7FA97E6E" w14:textId="50D76365" w:rsidR="00572A35" w:rsidRPr="009212AE" w:rsidRDefault="009212AE" w:rsidP="00D46A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Q</w:t>
            </w:r>
            <w:r w:rsidR="00572A35"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：公司的分红政策是怎样的，未来能否保持高比例分红？</w:t>
            </w:r>
          </w:p>
          <w:p w14:paraId="36CB3F44" w14:textId="7793C6CE" w:rsidR="00572A35" w:rsidRDefault="009212AE" w:rsidP="00572A3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572A35" w:rsidRPr="00572A35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在股东回报方面，公司始终坚持高比例分红政策，以切实行动回馈投资者的信任。</w:t>
            </w:r>
            <w:r w:rsidR="00B952EF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过去五年（2020-2024年），</w:t>
            </w:r>
            <w:r w:rsidR="00267D50">
              <w:rPr>
                <w:rFonts w:ascii="宋体" w:eastAsia="宋体" w:hAnsi="宋体" w:hint="eastAsia"/>
                <w:sz w:val="24"/>
                <w:szCs w:val="24"/>
              </w:rPr>
              <w:t>公司累计现金分红</w:t>
            </w:r>
            <w:r w:rsidR="00E43481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43481">
              <w:rPr>
                <w:rFonts w:ascii="宋体" w:eastAsia="宋体" w:hAnsi="宋体"/>
                <w:sz w:val="24"/>
                <w:szCs w:val="24"/>
              </w:rPr>
              <w:t>6.03</w:t>
            </w:r>
            <w:r w:rsidR="00E43481">
              <w:rPr>
                <w:rFonts w:ascii="宋体" w:eastAsia="宋体" w:hAnsi="宋体" w:hint="eastAsia"/>
                <w:sz w:val="24"/>
                <w:szCs w:val="24"/>
              </w:rPr>
              <w:t>亿元，</w:t>
            </w:r>
            <w:proofErr w:type="gramStart"/>
            <w:r w:rsidR="00E43481">
              <w:rPr>
                <w:rFonts w:ascii="宋体" w:eastAsia="宋体" w:hAnsi="宋体" w:hint="eastAsia"/>
                <w:sz w:val="24"/>
                <w:szCs w:val="24"/>
              </w:rPr>
              <w:t>占归母净</w:t>
            </w:r>
            <w:proofErr w:type="gramEnd"/>
            <w:r w:rsidR="00E43481">
              <w:rPr>
                <w:rFonts w:ascii="宋体" w:eastAsia="宋体" w:hAnsi="宋体" w:hint="eastAsia"/>
                <w:sz w:val="24"/>
                <w:szCs w:val="24"/>
              </w:rPr>
              <w:t>利润比例为4</w:t>
            </w:r>
            <w:r w:rsidR="00E43481">
              <w:rPr>
                <w:rFonts w:ascii="宋体" w:eastAsia="宋体" w:hAnsi="宋体"/>
                <w:sz w:val="24"/>
                <w:szCs w:val="24"/>
              </w:rPr>
              <w:t>6.56%</w:t>
            </w:r>
            <w:r w:rsidR="00E4348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持续实施了稳定、</w:t>
            </w:r>
            <w:r w:rsidR="00211D75">
              <w:rPr>
                <w:rFonts w:ascii="宋体" w:eastAsia="宋体" w:hAnsi="宋体" w:hint="eastAsia"/>
                <w:sz w:val="24"/>
                <w:szCs w:val="24"/>
              </w:rPr>
              <w:t>高比例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的现金分红。未来，公司仍将秉承这一原则，即在满足战略发展</w:t>
            </w:r>
            <w:r w:rsidR="00EB35C5">
              <w:rPr>
                <w:rFonts w:ascii="宋体" w:eastAsia="宋体" w:hAnsi="宋体" w:hint="eastAsia"/>
                <w:sz w:val="24"/>
                <w:szCs w:val="24"/>
              </w:rPr>
              <w:t>，且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无重大资本性支出</w:t>
            </w:r>
            <w:r w:rsidR="00084B57">
              <w:rPr>
                <w:rFonts w:ascii="宋体" w:eastAsia="宋体" w:hAnsi="宋体" w:hint="eastAsia"/>
                <w:sz w:val="24"/>
                <w:szCs w:val="24"/>
              </w:rPr>
              <w:t>以及对外投资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计划时，</w:t>
            </w:r>
            <w:r w:rsidR="00335131">
              <w:rPr>
                <w:rFonts w:ascii="宋体" w:eastAsia="宋体" w:hAnsi="宋体" w:hint="eastAsia"/>
                <w:sz w:val="24"/>
                <w:szCs w:val="24"/>
              </w:rPr>
              <w:t>继续</w:t>
            </w:r>
            <w:r w:rsidR="00572A35" w:rsidRPr="00572A35">
              <w:rPr>
                <w:rFonts w:ascii="宋体" w:eastAsia="宋体" w:hAnsi="宋体"/>
                <w:sz w:val="24"/>
                <w:szCs w:val="24"/>
              </w:rPr>
              <w:t>保持利润分配政策的连续性和稳定性，与全体股东共享公司发展的经营成果。</w:t>
            </w:r>
          </w:p>
          <w:p w14:paraId="2A72A98F" w14:textId="31C97C8C" w:rsidR="00D46AA0" w:rsidRPr="009212AE" w:rsidRDefault="009212AE" w:rsidP="00D46A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2" w:name="OLE_LINK2"/>
            <w:r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Q</w:t>
            </w:r>
            <w:r w:rsidR="00D46AA0"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：我们注意到</w:t>
            </w:r>
            <w:r w:rsidR="000E1130"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过去两年</w:t>
            </w:r>
            <w:r w:rsidR="00D46AA0"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公司在进行人员扩充，主要是出于什么考虑？</w:t>
            </w:r>
          </w:p>
          <w:p w14:paraId="679D3274" w14:textId="29D2B01D" w:rsidR="00591693" w:rsidRDefault="009212AE" w:rsidP="00BA5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D46AA0" w:rsidRPr="00D46AA0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46AA0" w:rsidRPr="0059169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公司近</w:t>
            </w:r>
            <w:r w:rsidR="003A5F8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的人员扩充，是基于对未来发展战略的前瞻性布局和业务增长需要的积极准备。</w:t>
            </w:r>
            <w:r w:rsidR="00904CE1">
              <w:rPr>
                <w:rFonts w:ascii="宋体" w:eastAsia="宋体" w:hAnsi="宋体" w:hint="eastAsia"/>
                <w:sz w:val="24"/>
                <w:szCs w:val="24"/>
              </w:rPr>
              <w:t>这一</w:t>
            </w:r>
            <w:r w:rsidR="0004325B">
              <w:rPr>
                <w:rFonts w:ascii="宋体" w:eastAsia="宋体" w:hAnsi="宋体" w:hint="eastAsia"/>
                <w:sz w:val="24"/>
                <w:szCs w:val="24"/>
              </w:rPr>
              <w:t>人员扩充</w:t>
            </w:r>
            <w:r w:rsidR="00904CE1">
              <w:rPr>
                <w:rFonts w:ascii="宋体" w:eastAsia="宋体" w:hAnsi="宋体" w:hint="eastAsia"/>
                <w:sz w:val="24"/>
                <w:szCs w:val="24"/>
              </w:rPr>
              <w:t>举措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不仅是</w:t>
            </w:r>
            <w:r w:rsidR="004B046B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人才结构的持续优化，更是面向未来业务发展进行的有针对性、有规模的人才储备。公司重点加大了在高端研发、</w:t>
            </w:r>
            <w:r w:rsidR="00786DFB">
              <w:rPr>
                <w:rFonts w:ascii="宋体" w:eastAsia="宋体" w:hAnsi="宋体" w:hint="eastAsia"/>
                <w:sz w:val="24"/>
                <w:szCs w:val="24"/>
              </w:rPr>
              <w:t>国内外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销售以及具有国际视野的高级管理类人才等关键领域的引进与投入。这一举措旨在为公司持续推进的技术创新、海外市场的</w:t>
            </w:r>
            <w:r w:rsidR="00904CE1">
              <w:rPr>
                <w:rFonts w:ascii="宋体" w:eastAsia="宋体" w:hAnsi="宋体" w:hint="eastAsia"/>
                <w:sz w:val="24"/>
                <w:szCs w:val="24"/>
              </w:rPr>
              <w:t>深度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拓展、新业务领域的开拓提供坚实的组织保障和人才基础。高素质、专业化团队</w:t>
            </w:r>
            <w:r w:rsidR="00904CE1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6C39ED">
              <w:rPr>
                <w:rFonts w:ascii="宋体" w:eastAsia="宋体" w:hAnsi="宋体" w:hint="eastAsia"/>
                <w:sz w:val="24"/>
                <w:szCs w:val="24"/>
              </w:rPr>
              <w:t>不断扩充</w:t>
            </w:r>
            <w:r w:rsidR="003A5F8C" w:rsidRPr="003A5F8C">
              <w:rPr>
                <w:rFonts w:ascii="宋体" w:eastAsia="宋体" w:hAnsi="宋体" w:hint="eastAsia"/>
                <w:sz w:val="24"/>
                <w:szCs w:val="24"/>
              </w:rPr>
              <w:t>，将成为公司把握全球市场机遇、实现长期战略目标的核心支柱。</w:t>
            </w:r>
          </w:p>
          <w:p w14:paraId="7A8DEF22" w14:textId="615AB0E7" w:rsidR="00591693" w:rsidRPr="009212AE" w:rsidRDefault="009212AE" w:rsidP="00BA5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Q</w:t>
            </w:r>
            <w:r w:rsidR="00D46AA0" w:rsidRPr="009212AE">
              <w:rPr>
                <w:rFonts w:ascii="宋体" w:eastAsia="宋体" w:hAnsi="宋体" w:hint="eastAsia"/>
                <w:b/>
                <w:sz w:val="24"/>
                <w:szCs w:val="24"/>
              </w:rPr>
              <w:t>：公司将如何激励和留住这些人才？</w:t>
            </w:r>
          </w:p>
          <w:p w14:paraId="5CD1CA99" w14:textId="2E7131FB" w:rsidR="008205B8" w:rsidRPr="00591693" w:rsidRDefault="009212AE" w:rsidP="00B544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D46AA0" w:rsidRPr="00D46AA0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46AA0" w:rsidRPr="0059169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公司始终将人才视为最宝贵的财富，致力于打造“共创</w:t>
            </w:r>
            <w:r w:rsidR="00907F45" w:rsidRPr="00D46AA0">
              <w:rPr>
                <w:rFonts w:ascii="宋体" w:eastAsia="宋体" w:hAnsi="宋体"/>
                <w:sz w:val="24"/>
                <w:szCs w:val="24"/>
              </w:rPr>
              <w:t>、共担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、共享”的</w:t>
            </w:r>
            <w:r w:rsidR="00907F45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文化，并构建了具有行业竞争力的全面激励体系。</w:t>
            </w:r>
            <w:r w:rsidR="00851054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不仅提供富有吸引力的薪酬福利，还长期推行与业绩紧密挂钩的利润分享计划，让员工能</w:t>
            </w:r>
            <w:r w:rsidR="00327F3F">
              <w:rPr>
                <w:rFonts w:ascii="宋体" w:eastAsia="宋体" w:hAnsi="宋体" w:hint="eastAsia"/>
                <w:sz w:val="24"/>
                <w:szCs w:val="24"/>
              </w:rPr>
              <w:t>够</w:t>
            </w:r>
            <w:r w:rsidR="00A87337">
              <w:rPr>
                <w:rFonts w:ascii="宋体" w:eastAsia="宋体" w:hAnsi="宋体" w:hint="eastAsia"/>
                <w:sz w:val="24"/>
                <w:szCs w:val="24"/>
              </w:rPr>
              <w:t>及时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分享到公司成长的成果。此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lastRenderedPageBreak/>
              <w:t>外，公司</w:t>
            </w:r>
            <w:r w:rsidR="000E0A15">
              <w:rPr>
                <w:rFonts w:ascii="宋体" w:eastAsia="宋体" w:hAnsi="宋体" w:hint="eastAsia"/>
                <w:sz w:val="24"/>
                <w:szCs w:val="24"/>
              </w:rPr>
              <w:t>今年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公告的股份回购计划，其用途</w:t>
            </w:r>
            <w:r w:rsidR="00773D40">
              <w:rPr>
                <w:rFonts w:ascii="宋体" w:eastAsia="宋体" w:hAnsi="宋体" w:hint="eastAsia"/>
                <w:sz w:val="24"/>
                <w:szCs w:val="24"/>
              </w:rPr>
              <w:t>已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明确用于未来实施员工持股计划或股权激励，旨在建立核心团队与公司长期价值、股东利益深度绑定的长效机制。</w:t>
            </w:r>
            <w:r w:rsidR="002D16B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相信，通过短期与长期相结合的</w:t>
            </w:r>
            <w:r w:rsidR="009C2DBF" w:rsidRPr="00D46AA0">
              <w:rPr>
                <w:rFonts w:ascii="宋体" w:eastAsia="宋体" w:hAnsi="宋体"/>
                <w:sz w:val="24"/>
                <w:szCs w:val="24"/>
              </w:rPr>
              <w:t>激励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模式，能够</w:t>
            </w:r>
            <w:r w:rsidR="008E6491">
              <w:rPr>
                <w:rFonts w:ascii="宋体" w:eastAsia="宋体" w:hAnsi="宋体" w:hint="eastAsia"/>
                <w:sz w:val="24"/>
                <w:szCs w:val="24"/>
              </w:rPr>
              <w:t>更加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有效激</w:t>
            </w:r>
            <w:r w:rsidR="007456CE">
              <w:rPr>
                <w:rFonts w:ascii="宋体" w:eastAsia="宋体" w:hAnsi="宋体" w:hint="eastAsia"/>
                <w:sz w:val="24"/>
                <w:szCs w:val="24"/>
              </w:rPr>
              <w:t>发</w:t>
            </w:r>
            <w:r w:rsidR="00D46AA0" w:rsidRPr="00D46AA0">
              <w:rPr>
                <w:rFonts w:ascii="宋体" w:eastAsia="宋体" w:hAnsi="宋体"/>
                <w:sz w:val="24"/>
                <w:szCs w:val="24"/>
              </w:rPr>
              <w:t>团队活力，保障公司的持续创新与稳健发展。</w:t>
            </w:r>
            <w:bookmarkEnd w:id="2"/>
          </w:p>
        </w:tc>
      </w:tr>
      <w:tr w:rsidR="00D26F4A" w:rsidRPr="008A4F0A" w14:paraId="346962A3" w14:textId="77777777" w:rsidTr="00ED1A7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16A5" w14:textId="77777777" w:rsidR="00D26F4A" w:rsidRPr="008A4F0A" w:rsidRDefault="00D26F4A" w:rsidP="00C41EEC">
            <w:pPr>
              <w:spacing w:line="276" w:lineRule="auto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DC4" w14:textId="3BC1A66E" w:rsidR="00D26F4A" w:rsidRPr="00261A60" w:rsidRDefault="00D26F4A" w:rsidP="00C41EEC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="0014091E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12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14091E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31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49F9D990" w14:textId="77777777" w:rsidR="00D26F4A" w:rsidRPr="009B033E" w:rsidRDefault="00D26F4A" w:rsidP="00D26F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24430BB" w14:textId="77777777" w:rsidR="00912F2A" w:rsidRDefault="00912F2A"/>
    <w:sectPr w:rsidR="00912F2A" w:rsidSect="0047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E487C" w14:textId="77777777" w:rsidR="002E01E5" w:rsidRDefault="002E01E5" w:rsidP="00D1685E">
      <w:r>
        <w:separator/>
      </w:r>
    </w:p>
  </w:endnote>
  <w:endnote w:type="continuationSeparator" w:id="0">
    <w:p w14:paraId="7A357A87" w14:textId="77777777" w:rsidR="002E01E5" w:rsidRDefault="002E01E5" w:rsidP="00D1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A0CA5" w14:textId="77777777" w:rsidR="002E01E5" w:rsidRDefault="002E01E5" w:rsidP="00D1685E">
      <w:r>
        <w:separator/>
      </w:r>
    </w:p>
  </w:footnote>
  <w:footnote w:type="continuationSeparator" w:id="0">
    <w:p w14:paraId="2C0B8CC6" w14:textId="77777777" w:rsidR="002E01E5" w:rsidRDefault="002E01E5" w:rsidP="00D1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4A"/>
    <w:rsid w:val="00012B61"/>
    <w:rsid w:val="00014A42"/>
    <w:rsid w:val="000231C8"/>
    <w:rsid w:val="00041292"/>
    <w:rsid w:val="0004325B"/>
    <w:rsid w:val="00084B57"/>
    <w:rsid w:val="00085D6D"/>
    <w:rsid w:val="000C23FE"/>
    <w:rsid w:val="000E068A"/>
    <w:rsid w:val="000E0A15"/>
    <w:rsid w:val="000E1130"/>
    <w:rsid w:val="000E4DC7"/>
    <w:rsid w:val="00100E70"/>
    <w:rsid w:val="0014091E"/>
    <w:rsid w:val="001D3BFA"/>
    <w:rsid w:val="00211D75"/>
    <w:rsid w:val="00260818"/>
    <w:rsid w:val="00267D50"/>
    <w:rsid w:val="00290DCC"/>
    <w:rsid w:val="002D16B9"/>
    <w:rsid w:val="002E01E5"/>
    <w:rsid w:val="00327F3F"/>
    <w:rsid w:val="00335131"/>
    <w:rsid w:val="00336580"/>
    <w:rsid w:val="00343D98"/>
    <w:rsid w:val="00353626"/>
    <w:rsid w:val="00354456"/>
    <w:rsid w:val="00362F6F"/>
    <w:rsid w:val="003A5F8C"/>
    <w:rsid w:val="003C248F"/>
    <w:rsid w:val="003F60C2"/>
    <w:rsid w:val="00407638"/>
    <w:rsid w:val="0041593C"/>
    <w:rsid w:val="004660F1"/>
    <w:rsid w:val="00492033"/>
    <w:rsid w:val="0049491B"/>
    <w:rsid w:val="004B046B"/>
    <w:rsid w:val="004B25D9"/>
    <w:rsid w:val="004B3B01"/>
    <w:rsid w:val="004E5C87"/>
    <w:rsid w:val="004F70CE"/>
    <w:rsid w:val="00572A35"/>
    <w:rsid w:val="00591693"/>
    <w:rsid w:val="00593D21"/>
    <w:rsid w:val="00593EB2"/>
    <w:rsid w:val="00597849"/>
    <w:rsid w:val="005B2826"/>
    <w:rsid w:val="005B32D1"/>
    <w:rsid w:val="005C7A05"/>
    <w:rsid w:val="005E5788"/>
    <w:rsid w:val="00612D36"/>
    <w:rsid w:val="006150FC"/>
    <w:rsid w:val="006531B1"/>
    <w:rsid w:val="006B426C"/>
    <w:rsid w:val="006C39ED"/>
    <w:rsid w:val="006D1816"/>
    <w:rsid w:val="006F3081"/>
    <w:rsid w:val="007240B0"/>
    <w:rsid w:val="007456CE"/>
    <w:rsid w:val="00773D40"/>
    <w:rsid w:val="00786DFB"/>
    <w:rsid w:val="007D329F"/>
    <w:rsid w:val="007D5638"/>
    <w:rsid w:val="008205B8"/>
    <w:rsid w:val="00851054"/>
    <w:rsid w:val="00890DD3"/>
    <w:rsid w:val="008D3926"/>
    <w:rsid w:val="008D77C4"/>
    <w:rsid w:val="008E6491"/>
    <w:rsid w:val="00904CE1"/>
    <w:rsid w:val="00907F45"/>
    <w:rsid w:val="00912F2A"/>
    <w:rsid w:val="009212AE"/>
    <w:rsid w:val="00936A76"/>
    <w:rsid w:val="009C2DBF"/>
    <w:rsid w:val="009C33F3"/>
    <w:rsid w:val="00A87337"/>
    <w:rsid w:val="00AB4C7B"/>
    <w:rsid w:val="00AB620D"/>
    <w:rsid w:val="00AC6DA5"/>
    <w:rsid w:val="00B544EE"/>
    <w:rsid w:val="00B63BC7"/>
    <w:rsid w:val="00B70103"/>
    <w:rsid w:val="00B76D89"/>
    <w:rsid w:val="00B952EF"/>
    <w:rsid w:val="00BA5AEC"/>
    <w:rsid w:val="00BF1014"/>
    <w:rsid w:val="00C02588"/>
    <w:rsid w:val="00C64B44"/>
    <w:rsid w:val="00CA198F"/>
    <w:rsid w:val="00CC561A"/>
    <w:rsid w:val="00CD2ADF"/>
    <w:rsid w:val="00CE3547"/>
    <w:rsid w:val="00CE7DE2"/>
    <w:rsid w:val="00D1685E"/>
    <w:rsid w:val="00D26F4A"/>
    <w:rsid w:val="00D46AA0"/>
    <w:rsid w:val="00D87D6C"/>
    <w:rsid w:val="00D901A2"/>
    <w:rsid w:val="00DF1DE0"/>
    <w:rsid w:val="00DF794F"/>
    <w:rsid w:val="00E17475"/>
    <w:rsid w:val="00E3663B"/>
    <w:rsid w:val="00E43481"/>
    <w:rsid w:val="00E65B8B"/>
    <w:rsid w:val="00E90A19"/>
    <w:rsid w:val="00EB096C"/>
    <w:rsid w:val="00EB35C5"/>
    <w:rsid w:val="00ED1A78"/>
    <w:rsid w:val="00ED2428"/>
    <w:rsid w:val="00EF35A3"/>
    <w:rsid w:val="00F02329"/>
    <w:rsid w:val="00F27D06"/>
    <w:rsid w:val="00F6014D"/>
    <w:rsid w:val="00F93926"/>
    <w:rsid w:val="00FA531C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7A3B"/>
  <w15:chartTrackingRefBased/>
  <w15:docId w15:val="{A658884C-83A5-4C89-A8A1-F2D96CDF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26F4A"/>
    <w:pPr>
      <w:ind w:firstLineChars="200" w:firstLine="420"/>
    </w:pPr>
  </w:style>
  <w:style w:type="paragraph" w:styleId="a3">
    <w:name w:val="Balloon Text"/>
    <w:basedOn w:val="a"/>
    <w:link w:val="a4"/>
    <w:uiPriority w:val="99"/>
    <w:semiHidden/>
    <w:unhideWhenUsed/>
    <w:rsid w:val="0035362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5362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68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6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6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0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0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吴阳阳</cp:lastModifiedBy>
  <cp:revision>107</cp:revision>
  <dcterms:created xsi:type="dcterms:W3CDTF">2025-12-26T08:45:00Z</dcterms:created>
  <dcterms:modified xsi:type="dcterms:W3CDTF">2026-01-05T06:42:00Z</dcterms:modified>
</cp:coreProperties>
</file>