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7DC6" w14:textId="77777777" w:rsidR="00F01EA1" w:rsidRDefault="00551C9C">
      <w:pPr>
        <w:tabs>
          <w:tab w:val="left" w:pos="1440"/>
        </w:tabs>
        <w:spacing w:line="14" w:lineRule="auto"/>
        <w:jc w:val="center"/>
        <w:rPr>
          <w:rFonts w:ascii="黑体" w:eastAsia="黑体" w:hAnsi="黑体" w:hint="eastAsia"/>
          <w:sz w:val="32"/>
          <w:szCs w:val="28"/>
        </w:rPr>
      </w:pPr>
      <w:r>
        <w:rPr>
          <w:rFonts w:ascii="黑体" w:eastAsia="黑体" w:hAnsi="黑体" w:hint="eastAsia"/>
          <w:sz w:val="32"/>
          <w:szCs w:val="28"/>
        </w:rPr>
        <w:t>金诚信矿业管理股份有限公司</w:t>
      </w:r>
    </w:p>
    <w:p w14:paraId="65E719A0" w14:textId="77777777" w:rsidR="00F01EA1" w:rsidRDefault="00551C9C">
      <w:pPr>
        <w:tabs>
          <w:tab w:val="left" w:pos="1440"/>
        </w:tabs>
        <w:spacing w:line="14" w:lineRule="auto"/>
        <w:jc w:val="center"/>
        <w:rPr>
          <w:rFonts w:ascii="黑体" w:eastAsia="黑体" w:hAnsi="黑体" w:hint="eastAsia"/>
          <w:sz w:val="32"/>
          <w:szCs w:val="28"/>
        </w:rPr>
      </w:pPr>
      <w:r>
        <w:rPr>
          <w:rFonts w:ascii="黑体" w:eastAsia="黑体" w:hAnsi="黑体" w:hint="eastAsia"/>
          <w:sz w:val="32"/>
          <w:szCs w:val="28"/>
        </w:rPr>
        <w:t>投资者关系月度记录</w:t>
      </w:r>
    </w:p>
    <w:p w14:paraId="6DCF0356" w14:textId="5964DB84" w:rsidR="00F01EA1" w:rsidRDefault="00551C9C">
      <w:pPr>
        <w:tabs>
          <w:tab w:val="left" w:pos="1440"/>
        </w:tabs>
        <w:spacing w:after="240" w:line="14" w:lineRule="auto"/>
        <w:jc w:val="center"/>
        <w:rPr>
          <w:rFonts w:asciiTheme="minorEastAsia" w:hAnsiTheme="minorEastAsia" w:hint="eastAsia"/>
          <w:sz w:val="24"/>
          <w:szCs w:val="28"/>
        </w:rPr>
      </w:pPr>
      <w:r>
        <w:rPr>
          <w:rFonts w:asciiTheme="minorEastAsia" w:hAnsiTheme="minorEastAsia" w:hint="eastAsia"/>
          <w:sz w:val="24"/>
          <w:szCs w:val="28"/>
        </w:rPr>
        <w:t>（</w:t>
      </w:r>
      <w:r w:rsidR="00DA47AD">
        <w:rPr>
          <w:rFonts w:asciiTheme="minorEastAsia" w:hAnsiTheme="minorEastAsia" w:hint="eastAsia"/>
          <w:sz w:val="24"/>
          <w:szCs w:val="28"/>
        </w:rPr>
        <w:t>2</w:t>
      </w:r>
      <w:r w:rsidR="00DA47AD">
        <w:rPr>
          <w:rFonts w:asciiTheme="minorEastAsia" w:hAnsiTheme="minorEastAsia"/>
          <w:sz w:val="24"/>
          <w:szCs w:val="28"/>
        </w:rPr>
        <w:t>0</w:t>
      </w:r>
      <w:r w:rsidR="00CF6425">
        <w:rPr>
          <w:rFonts w:asciiTheme="minorEastAsia" w:hAnsiTheme="minorEastAsia"/>
          <w:sz w:val="24"/>
          <w:szCs w:val="28"/>
        </w:rPr>
        <w:t>25</w:t>
      </w:r>
      <w:r w:rsidR="00DA47AD">
        <w:rPr>
          <w:rFonts w:asciiTheme="minorEastAsia" w:hAnsiTheme="minorEastAsia"/>
          <w:sz w:val="24"/>
          <w:szCs w:val="28"/>
        </w:rPr>
        <w:t>年</w:t>
      </w:r>
      <w:r w:rsidR="004B6C64">
        <w:rPr>
          <w:rFonts w:asciiTheme="minorEastAsia" w:hAnsiTheme="minorEastAsia" w:hint="eastAsia"/>
          <w:sz w:val="24"/>
          <w:szCs w:val="28"/>
        </w:rPr>
        <w:t>1</w:t>
      </w:r>
      <w:r w:rsidR="00CA569E">
        <w:rPr>
          <w:rFonts w:asciiTheme="minorEastAsia" w:hAnsiTheme="minorEastAsia" w:hint="eastAsia"/>
          <w:sz w:val="24"/>
          <w:szCs w:val="28"/>
        </w:rPr>
        <w:t>2</w:t>
      </w:r>
      <w:r>
        <w:rPr>
          <w:rFonts w:asciiTheme="minorEastAsia" w:hAnsiTheme="minorEastAsia" w:hint="eastAsia"/>
          <w:sz w:val="24"/>
          <w:szCs w:val="28"/>
        </w:rPr>
        <w:t>月）</w:t>
      </w:r>
    </w:p>
    <w:tbl>
      <w:tblPr>
        <w:tblStyle w:val="TableNormal"/>
        <w:tblpPr w:leftFromText="180" w:rightFromText="180" w:vertAnchor="text" w:tblpXSpec="center" w:tblpY="1"/>
        <w:tblOverlap w:val="never"/>
        <w:tblW w:w="86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0"/>
        <w:gridCol w:w="7270"/>
      </w:tblGrid>
      <w:tr w:rsidR="00F01EA1" w14:paraId="06A7CD6B" w14:textId="77777777" w:rsidTr="00977CC6">
        <w:trPr>
          <w:trHeight w:val="2402"/>
        </w:trPr>
        <w:tc>
          <w:tcPr>
            <w:tcW w:w="1410" w:type="dxa"/>
            <w:vAlign w:val="center"/>
          </w:tcPr>
          <w:p w14:paraId="39BFEFE1" w14:textId="77777777" w:rsidR="00F01EA1" w:rsidRDefault="00551C9C">
            <w:pPr>
              <w:pStyle w:val="TableParagraph"/>
              <w:ind w:left="113"/>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活动类别</w:t>
            </w:r>
            <w:proofErr w:type="spellEnd"/>
          </w:p>
        </w:tc>
        <w:tc>
          <w:tcPr>
            <w:tcW w:w="7270" w:type="dxa"/>
            <w:vAlign w:val="center"/>
          </w:tcPr>
          <w:p w14:paraId="13626B79" w14:textId="77777777" w:rsidR="00F01EA1" w:rsidRDefault="00551C9C">
            <w:pPr>
              <w:pStyle w:val="TableParagraph"/>
              <w:numPr>
                <w:ilvl w:val="0"/>
                <w:numId w:val="1"/>
              </w:numPr>
              <w:tabs>
                <w:tab w:val="left" w:pos="312"/>
                <w:tab w:val="left" w:pos="2094"/>
              </w:tabs>
              <w:spacing w:line="360" w:lineRule="auto"/>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特定对象调研</w:t>
            </w:r>
            <w:r>
              <w:rPr>
                <w:rFonts w:asciiTheme="minorEastAsia" w:eastAsiaTheme="minorEastAsia" w:hAnsiTheme="minorEastAsia"/>
                <w:sz w:val="24"/>
                <w:szCs w:val="24"/>
                <w:lang w:eastAsia="zh-CN"/>
              </w:rPr>
              <w:tab/>
              <w:t>□分析师会议</w:t>
            </w:r>
          </w:p>
          <w:p w14:paraId="41C1C78A"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□媒体采访</w:t>
            </w:r>
            <w:r>
              <w:rPr>
                <w:rFonts w:asciiTheme="minorEastAsia" w:eastAsiaTheme="minorEastAsia" w:hAnsiTheme="minorEastAsia"/>
                <w:sz w:val="24"/>
                <w:szCs w:val="24"/>
                <w:lang w:eastAsia="zh-CN"/>
              </w:rPr>
              <w:tab/>
              <w:t>□业绩说明会</w:t>
            </w:r>
          </w:p>
          <w:p w14:paraId="4210D705"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□新闻发布会</w:t>
            </w:r>
            <w:r>
              <w:rPr>
                <w:rFonts w:asciiTheme="minorEastAsia" w:eastAsiaTheme="minorEastAsia" w:hAnsiTheme="minorEastAsia"/>
                <w:sz w:val="24"/>
                <w:szCs w:val="24"/>
                <w:lang w:eastAsia="zh-CN"/>
              </w:rPr>
              <w:tab/>
              <w:t>□路演活动</w:t>
            </w:r>
            <w:r>
              <w:rPr>
                <w:rFonts w:asciiTheme="minorEastAsia" w:eastAsiaTheme="minorEastAsia" w:hAnsiTheme="minorEastAsia" w:hint="eastAsia"/>
                <w:sz w:val="24"/>
                <w:szCs w:val="24"/>
                <w:lang w:eastAsia="zh-CN"/>
              </w:rPr>
              <w:t xml:space="preserve"> </w:t>
            </w:r>
          </w:p>
          <w:p w14:paraId="1B15A526" w14:textId="77777777" w:rsidR="00F01EA1" w:rsidRDefault="00551C9C">
            <w:pPr>
              <w:pStyle w:val="TableParagraph"/>
              <w:tabs>
                <w:tab w:val="left" w:pos="2094"/>
              </w:tabs>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□现场参观</w:t>
            </w:r>
          </w:p>
          <w:p w14:paraId="286D5D7A" w14:textId="77777777" w:rsidR="00F01EA1" w:rsidRDefault="00551C9C">
            <w:pPr>
              <w:pStyle w:val="TableParagraph"/>
              <w:spacing w:line="360" w:lineRule="auto"/>
              <w:ind w:left="112"/>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□其他</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u w:val="single"/>
                <w:lang w:eastAsia="zh-CN"/>
              </w:rPr>
              <w:t>文字具体说明</w:t>
            </w:r>
            <w:r>
              <w:rPr>
                <w:rFonts w:asciiTheme="minorEastAsia" w:eastAsiaTheme="minorEastAsia" w:hAnsiTheme="minorEastAsia" w:hint="eastAsia"/>
                <w:sz w:val="24"/>
                <w:szCs w:val="24"/>
                <w:lang w:eastAsia="zh-CN"/>
              </w:rPr>
              <w:t>）</w:t>
            </w:r>
          </w:p>
        </w:tc>
      </w:tr>
      <w:tr w:rsidR="00F01EA1" w14:paraId="489F7AE7" w14:textId="77777777" w:rsidTr="00977CC6">
        <w:trPr>
          <w:trHeight w:val="897"/>
        </w:trPr>
        <w:tc>
          <w:tcPr>
            <w:tcW w:w="1410" w:type="dxa"/>
            <w:vAlign w:val="center"/>
          </w:tcPr>
          <w:p w14:paraId="6E8028E8" w14:textId="77777777" w:rsidR="00F01EA1" w:rsidRPr="005523F9" w:rsidRDefault="00551C9C">
            <w:pPr>
              <w:pStyle w:val="TableParagraph"/>
              <w:spacing w:line="276" w:lineRule="auto"/>
              <w:ind w:left="113"/>
              <w:rPr>
                <w:rFonts w:cs="Arial" w:hint="eastAsia"/>
                <w:kern w:val="2"/>
                <w:sz w:val="24"/>
                <w:szCs w:val="24"/>
                <w:lang w:val="en-US" w:eastAsia="zh-CN" w:bidi="ar-SA"/>
              </w:rPr>
            </w:pPr>
            <w:r w:rsidRPr="005523F9">
              <w:rPr>
                <w:rFonts w:cs="Arial" w:hint="eastAsia"/>
                <w:kern w:val="2"/>
                <w:sz w:val="24"/>
                <w:szCs w:val="24"/>
                <w:lang w:val="en-US" w:eastAsia="zh-CN" w:bidi="ar-SA"/>
              </w:rPr>
              <w:t>参与单位名称</w:t>
            </w:r>
          </w:p>
        </w:tc>
        <w:tc>
          <w:tcPr>
            <w:tcW w:w="7270" w:type="dxa"/>
            <w:vAlign w:val="center"/>
          </w:tcPr>
          <w:p w14:paraId="323F6368" w14:textId="77777777" w:rsidR="004B6C64" w:rsidRDefault="00CA569E" w:rsidP="00361FFE">
            <w:pPr>
              <w:pStyle w:val="TableParagraph"/>
              <w:spacing w:line="360" w:lineRule="auto"/>
              <w:ind w:left="112"/>
              <w:jc w:val="both"/>
              <w:rPr>
                <w:rFonts w:cs="Arial" w:hint="eastAsia"/>
                <w:sz w:val="24"/>
                <w:szCs w:val="24"/>
                <w:lang w:eastAsia="zh-CN"/>
              </w:rPr>
            </w:pPr>
            <w:r w:rsidRPr="00CA569E">
              <w:rPr>
                <w:rFonts w:cs="Arial" w:hint="eastAsia"/>
                <w:sz w:val="24"/>
                <w:szCs w:val="24"/>
                <w:lang w:eastAsia="zh-CN"/>
              </w:rPr>
              <w:t>广发基金</w:t>
            </w:r>
            <w:r>
              <w:rPr>
                <w:rFonts w:cs="Arial" w:hint="eastAsia"/>
                <w:sz w:val="24"/>
                <w:szCs w:val="24"/>
                <w:lang w:eastAsia="zh-CN"/>
              </w:rPr>
              <w:t>、</w:t>
            </w:r>
            <w:r w:rsidRPr="00CA569E">
              <w:rPr>
                <w:rFonts w:cs="Arial" w:hint="eastAsia"/>
                <w:sz w:val="24"/>
                <w:szCs w:val="24"/>
                <w:lang w:eastAsia="zh-CN"/>
              </w:rPr>
              <w:t>华源证券</w:t>
            </w:r>
            <w:r>
              <w:rPr>
                <w:rFonts w:cs="Arial" w:hint="eastAsia"/>
                <w:sz w:val="24"/>
                <w:szCs w:val="24"/>
                <w:lang w:eastAsia="zh-CN"/>
              </w:rPr>
              <w:t>、</w:t>
            </w:r>
            <w:r w:rsidRPr="00CA569E">
              <w:rPr>
                <w:rFonts w:cs="Arial" w:hint="eastAsia"/>
                <w:sz w:val="24"/>
                <w:szCs w:val="24"/>
                <w:lang w:eastAsia="zh-CN"/>
              </w:rPr>
              <w:t>东证资管</w:t>
            </w:r>
            <w:r>
              <w:rPr>
                <w:rFonts w:cs="Arial" w:hint="eastAsia"/>
                <w:sz w:val="24"/>
                <w:szCs w:val="24"/>
                <w:lang w:eastAsia="zh-CN"/>
              </w:rPr>
              <w:t>、</w:t>
            </w:r>
            <w:r w:rsidRPr="00CA569E">
              <w:rPr>
                <w:rFonts w:cs="Arial" w:hint="eastAsia"/>
                <w:sz w:val="24"/>
                <w:szCs w:val="24"/>
                <w:lang w:eastAsia="zh-CN"/>
              </w:rPr>
              <w:t>紫金投资</w:t>
            </w:r>
            <w:r>
              <w:rPr>
                <w:rFonts w:cs="Arial" w:hint="eastAsia"/>
                <w:sz w:val="24"/>
                <w:szCs w:val="24"/>
                <w:lang w:eastAsia="zh-CN"/>
              </w:rPr>
              <w:t>、</w:t>
            </w:r>
            <w:r w:rsidRPr="00CA569E">
              <w:rPr>
                <w:rFonts w:cs="Arial" w:hint="eastAsia"/>
                <w:sz w:val="24"/>
                <w:szCs w:val="24"/>
                <w:lang w:eastAsia="zh-CN"/>
              </w:rPr>
              <w:t>方正证券</w:t>
            </w:r>
            <w:r>
              <w:rPr>
                <w:rFonts w:cs="Arial" w:hint="eastAsia"/>
                <w:sz w:val="24"/>
                <w:szCs w:val="24"/>
                <w:lang w:eastAsia="zh-CN"/>
              </w:rPr>
              <w:t>、</w:t>
            </w:r>
            <w:r w:rsidRPr="00CA569E">
              <w:rPr>
                <w:rFonts w:cs="Arial" w:hint="eastAsia"/>
                <w:sz w:val="24"/>
                <w:szCs w:val="24"/>
                <w:lang w:eastAsia="zh-CN"/>
              </w:rPr>
              <w:t>中加基金</w:t>
            </w:r>
            <w:r>
              <w:rPr>
                <w:rFonts w:cs="Arial" w:hint="eastAsia"/>
                <w:sz w:val="24"/>
                <w:szCs w:val="24"/>
                <w:lang w:eastAsia="zh-CN"/>
              </w:rPr>
              <w:t>、</w:t>
            </w:r>
          </w:p>
          <w:p w14:paraId="45AE3E79" w14:textId="6969288D" w:rsidR="00CA569E" w:rsidRPr="00E25EEC" w:rsidRDefault="00CA569E" w:rsidP="00361FFE">
            <w:pPr>
              <w:pStyle w:val="TableParagraph"/>
              <w:spacing w:line="360" w:lineRule="auto"/>
              <w:ind w:left="112"/>
              <w:jc w:val="both"/>
              <w:rPr>
                <w:rFonts w:cs="Arial" w:hint="eastAsia"/>
                <w:sz w:val="24"/>
                <w:szCs w:val="24"/>
                <w:lang w:eastAsia="zh-CN"/>
              </w:rPr>
            </w:pPr>
            <w:r w:rsidRPr="00CA569E">
              <w:rPr>
                <w:rFonts w:cs="Arial" w:hint="eastAsia"/>
                <w:sz w:val="24"/>
                <w:szCs w:val="24"/>
                <w:lang w:eastAsia="zh-CN"/>
              </w:rPr>
              <w:t>诺安基金</w:t>
            </w:r>
            <w:r>
              <w:rPr>
                <w:rFonts w:cs="Arial" w:hint="eastAsia"/>
                <w:sz w:val="24"/>
                <w:szCs w:val="24"/>
                <w:lang w:eastAsia="zh-CN"/>
              </w:rPr>
              <w:t>、</w:t>
            </w:r>
            <w:r w:rsidRPr="00CA569E">
              <w:rPr>
                <w:rFonts w:cs="Arial" w:hint="eastAsia"/>
                <w:sz w:val="24"/>
                <w:szCs w:val="24"/>
                <w:lang w:eastAsia="zh-CN"/>
              </w:rPr>
              <w:t>风炎投资</w:t>
            </w:r>
            <w:r>
              <w:rPr>
                <w:rFonts w:cs="Arial" w:hint="eastAsia"/>
                <w:sz w:val="24"/>
                <w:szCs w:val="24"/>
                <w:lang w:eastAsia="zh-CN"/>
              </w:rPr>
              <w:t>、</w:t>
            </w:r>
            <w:r w:rsidRPr="00CA569E">
              <w:rPr>
                <w:rFonts w:cs="Arial" w:hint="eastAsia"/>
                <w:sz w:val="24"/>
                <w:szCs w:val="24"/>
                <w:lang w:eastAsia="zh-CN"/>
              </w:rPr>
              <w:t>爱心人寿</w:t>
            </w:r>
            <w:r>
              <w:rPr>
                <w:rFonts w:cs="Arial" w:hint="eastAsia"/>
                <w:sz w:val="24"/>
                <w:szCs w:val="24"/>
                <w:lang w:eastAsia="zh-CN"/>
              </w:rPr>
              <w:t>、</w:t>
            </w:r>
            <w:r w:rsidRPr="00CA569E">
              <w:rPr>
                <w:rFonts w:cs="Arial" w:hint="eastAsia"/>
                <w:sz w:val="24"/>
                <w:szCs w:val="24"/>
                <w:lang w:eastAsia="zh-CN"/>
              </w:rPr>
              <w:t>建信基金</w:t>
            </w:r>
            <w:r w:rsidR="00587DFE">
              <w:rPr>
                <w:rFonts w:cs="Arial" w:hint="eastAsia"/>
                <w:sz w:val="24"/>
                <w:szCs w:val="24"/>
                <w:lang w:eastAsia="zh-CN"/>
              </w:rPr>
              <w:t>、</w:t>
            </w:r>
            <w:r w:rsidR="00587DFE" w:rsidRPr="00587DFE">
              <w:rPr>
                <w:rFonts w:cs="Arial" w:hint="eastAsia"/>
                <w:sz w:val="24"/>
                <w:szCs w:val="24"/>
                <w:lang w:eastAsia="zh-CN"/>
              </w:rPr>
              <w:t>汇添富</w:t>
            </w:r>
            <w:r w:rsidR="00587DFE">
              <w:rPr>
                <w:rFonts w:cs="Arial" w:hint="eastAsia"/>
                <w:sz w:val="24"/>
                <w:szCs w:val="24"/>
                <w:lang w:eastAsia="zh-CN"/>
              </w:rPr>
              <w:t>、</w:t>
            </w:r>
            <w:r w:rsidR="00587DFE" w:rsidRPr="00587DFE">
              <w:rPr>
                <w:rFonts w:cs="Arial" w:hint="eastAsia"/>
                <w:sz w:val="24"/>
                <w:szCs w:val="24"/>
                <w:lang w:eastAsia="zh-CN"/>
              </w:rPr>
              <w:t>国信证券</w:t>
            </w:r>
            <w:r w:rsidR="00587DFE">
              <w:rPr>
                <w:rFonts w:cs="Arial" w:hint="eastAsia"/>
                <w:sz w:val="24"/>
                <w:szCs w:val="24"/>
                <w:lang w:eastAsia="zh-CN"/>
              </w:rPr>
              <w:t>、</w:t>
            </w:r>
            <w:r w:rsidR="00587DFE" w:rsidRPr="00587DFE">
              <w:rPr>
                <w:rFonts w:cs="Arial" w:hint="eastAsia"/>
                <w:sz w:val="24"/>
                <w:szCs w:val="24"/>
                <w:lang w:eastAsia="zh-CN"/>
              </w:rPr>
              <w:t>中信证券</w:t>
            </w:r>
            <w:r w:rsidR="00587DFE">
              <w:rPr>
                <w:rFonts w:cs="Arial" w:hint="eastAsia"/>
                <w:sz w:val="24"/>
                <w:szCs w:val="24"/>
                <w:lang w:eastAsia="zh-CN"/>
              </w:rPr>
              <w:t>、</w:t>
            </w:r>
            <w:r w:rsidR="00587DFE" w:rsidRPr="00587DFE">
              <w:rPr>
                <w:rFonts w:cs="Arial" w:hint="eastAsia"/>
                <w:sz w:val="24"/>
                <w:szCs w:val="24"/>
                <w:lang w:eastAsia="zh-CN"/>
              </w:rPr>
              <w:t>嘉实基金</w:t>
            </w:r>
            <w:r w:rsidR="00587DFE">
              <w:rPr>
                <w:rFonts w:cs="Arial" w:hint="eastAsia"/>
                <w:sz w:val="24"/>
                <w:szCs w:val="24"/>
                <w:lang w:eastAsia="zh-CN"/>
              </w:rPr>
              <w:t>、</w:t>
            </w:r>
            <w:r w:rsidR="00587DFE" w:rsidRPr="00587DFE">
              <w:rPr>
                <w:rFonts w:cs="Arial" w:hint="eastAsia"/>
                <w:sz w:val="24"/>
                <w:szCs w:val="24"/>
                <w:lang w:eastAsia="zh-CN"/>
              </w:rPr>
              <w:t>鹏扬基金</w:t>
            </w:r>
            <w:r w:rsidR="00587DFE">
              <w:rPr>
                <w:rFonts w:cs="Arial" w:hint="eastAsia"/>
                <w:sz w:val="24"/>
                <w:szCs w:val="24"/>
                <w:lang w:eastAsia="zh-CN"/>
              </w:rPr>
              <w:t>、</w:t>
            </w:r>
            <w:r w:rsidR="00587DFE" w:rsidRPr="00587DFE">
              <w:rPr>
                <w:rFonts w:cs="Arial" w:hint="eastAsia"/>
                <w:sz w:val="24"/>
                <w:szCs w:val="24"/>
                <w:lang w:eastAsia="zh-CN"/>
              </w:rPr>
              <w:t>深高投资</w:t>
            </w:r>
            <w:r w:rsidR="00587DFE">
              <w:rPr>
                <w:rFonts w:cs="Arial" w:hint="eastAsia"/>
                <w:sz w:val="24"/>
                <w:szCs w:val="24"/>
                <w:lang w:eastAsia="zh-CN"/>
              </w:rPr>
              <w:t>、</w:t>
            </w:r>
            <w:r w:rsidR="00587DFE" w:rsidRPr="00587DFE">
              <w:rPr>
                <w:rFonts w:cs="Arial" w:hint="eastAsia"/>
                <w:sz w:val="24"/>
                <w:szCs w:val="24"/>
                <w:lang w:eastAsia="zh-CN"/>
              </w:rPr>
              <w:t>长盛基金</w:t>
            </w:r>
            <w:r w:rsidR="00587DFE">
              <w:rPr>
                <w:rFonts w:cs="Arial" w:hint="eastAsia"/>
                <w:sz w:val="24"/>
                <w:szCs w:val="24"/>
                <w:lang w:eastAsia="zh-CN"/>
              </w:rPr>
              <w:t>、</w:t>
            </w:r>
            <w:r w:rsidR="00587DFE" w:rsidRPr="00587DFE">
              <w:rPr>
                <w:rFonts w:cs="Arial" w:hint="eastAsia"/>
                <w:sz w:val="24"/>
                <w:szCs w:val="24"/>
                <w:lang w:eastAsia="zh-CN"/>
              </w:rPr>
              <w:t>新华资产</w:t>
            </w:r>
            <w:r w:rsidR="00587DFE">
              <w:rPr>
                <w:rFonts w:cs="Arial" w:hint="eastAsia"/>
                <w:sz w:val="24"/>
                <w:szCs w:val="24"/>
                <w:lang w:eastAsia="zh-CN"/>
              </w:rPr>
              <w:t>、</w:t>
            </w:r>
            <w:r w:rsidR="00587DFE" w:rsidRPr="00587DFE">
              <w:rPr>
                <w:rFonts w:cs="Arial" w:hint="eastAsia"/>
                <w:sz w:val="24"/>
                <w:szCs w:val="24"/>
                <w:lang w:eastAsia="zh-CN"/>
              </w:rPr>
              <w:t>正心谷</w:t>
            </w:r>
            <w:r w:rsidR="00587DFE">
              <w:rPr>
                <w:rFonts w:cs="Arial" w:hint="eastAsia"/>
                <w:sz w:val="24"/>
                <w:szCs w:val="24"/>
                <w:lang w:eastAsia="zh-CN"/>
              </w:rPr>
              <w:t>、</w:t>
            </w:r>
            <w:r w:rsidR="00587DFE" w:rsidRPr="00587DFE">
              <w:rPr>
                <w:rFonts w:cs="Arial" w:hint="eastAsia"/>
                <w:sz w:val="24"/>
                <w:szCs w:val="24"/>
                <w:lang w:eastAsia="zh-CN"/>
              </w:rPr>
              <w:t>金九瑞和</w:t>
            </w:r>
            <w:r w:rsidR="00587DFE">
              <w:rPr>
                <w:rFonts w:cs="Arial" w:hint="eastAsia"/>
                <w:sz w:val="24"/>
                <w:szCs w:val="24"/>
                <w:lang w:eastAsia="zh-CN"/>
              </w:rPr>
              <w:t>、</w:t>
            </w:r>
            <w:r w:rsidR="00587DFE" w:rsidRPr="00587DFE">
              <w:rPr>
                <w:rFonts w:cs="Arial" w:hint="eastAsia"/>
                <w:sz w:val="24"/>
                <w:szCs w:val="24"/>
                <w:lang w:eastAsia="zh-CN"/>
              </w:rPr>
              <w:t>太平洋资管</w:t>
            </w:r>
            <w:r w:rsidR="00587DFE">
              <w:rPr>
                <w:rFonts w:cs="Arial" w:hint="eastAsia"/>
                <w:sz w:val="24"/>
                <w:szCs w:val="24"/>
                <w:lang w:eastAsia="zh-CN"/>
              </w:rPr>
              <w:t>、</w:t>
            </w:r>
            <w:r w:rsidR="00587DFE" w:rsidRPr="00587DFE">
              <w:rPr>
                <w:rFonts w:cs="Arial" w:hint="eastAsia"/>
                <w:sz w:val="24"/>
                <w:szCs w:val="24"/>
                <w:lang w:eastAsia="zh-CN"/>
              </w:rPr>
              <w:t>旭阳集团</w:t>
            </w:r>
            <w:r w:rsidR="00587DFE">
              <w:rPr>
                <w:rFonts w:cs="Arial" w:hint="eastAsia"/>
                <w:sz w:val="24"/>
                <w:szCs w:val="24"/>
                <w:lang w:eastAsia="zh-CN"/>
              </w:rPr>
              <w:t>、</w:t>
            </w:r>
            <w:r w:rsidR="00587DFE" w:rsidRPr="00587DFE">
              <w:rPr>
                <w:rFonts w:cs="Arial" w:hint="eastAsia"/>
                <w:sz w:val="24"/>
                <w:szCs w:val="24"/>
                <w:lang w:eastAsia="zh-CN"/>
              </w:rPr>
              <w:t>天弘基金</w:t>
            </w:r>
            <w:r w:rsidR="00587DFE">
              <w:rPr>
                <w:rFonts w:cs="Arial" w:hint="eastAsia"/>
                <w:sz w:val="24"/>
                <w:szCs w:val="24"/>
                <w:lang w:eastAsia="zh-CN"/>
              </w:rPr>
              <w:t>、</w:t>
            </w:r>
            <w:r w:rsidR="00587DFE" w:rsidRPr="00587DFE">
              <w:rPr>
                <w:rFonts w:cs="Arial" w:hint="eastAsia"/>
                <w:sz w:val="24"/>
                <w:szCs w:val="24"/>
                <w:lang w:eastAsia="zh-CN"/>
              </w:rPr>
              <w:t>中投公司</w:t>
            </w:r>
            <w:r w:rsidR="00587DFE">
              <w:rPr>
                <w:rFonts w:cs="Arial" w:hint="eastAsia"/>
                <w:sz w:val="24"/>
                <w:szCs w:val="24"/>
                <w:lang w:eastAsia="zh-CN"/>
              </w:rPr>
              <w:t>、</w:t>
            </w:r>
            <w:r w:rsidR="00587DFE" w:rsidRPr="00587DFE">
              <w:rPr>
                <w:rFonts w:cs="Arial" w:hint="eastAsia"/>
                <w:sz w:val="24"/>
                <w:szCs w:val="24"/>
                <w:lang w:eastAsia="zh-CN"/>
              </w:rPr>
              <w:t>永安期货投资</w:t>
            </w:r>
            <w:r w:rsidR="00587DFE">
              <w:rPr>
                <w:rFonts w:cs="Arial" w:hint="eastAsia"/>
                <w:sz w:val="24"/>
                <w:szCs w:val="24"/>
                <w:lang w:eastAsia="zh-CN"/>
              </w:rPr>
              <w:t>、</w:t>
            </w:r>
            <w:r w:rsidR="00587DFE" w:rsidRPr="00587DFE">
              <w:rPr>
                <w:rFonts w:cs="Arial" w:hint="eastAsia"/>
                <w:sz w:val="24"/>
                <w:szCs w:val="24"/>
                <w:lang w:eastAsia="zh-CN"/>
              </w:rPr>
              <w:t>润辉投资</w:t>
            </w:r>
            <w:r w:rsidR="00587DFE">
              <w:rPr>
                <w:rFonts w:cs="Arial" w:hint="eastAsia"/>
                <w:sz w:val="24"/>
                <w:szCs w:val="24"/>
                <w:lang w:eastAsia="zh-CN"/>
              </w:rPr>
              <w:t>、</w:t>
            </w:r>
            <w:r w:rsidR="00587DFE" w:rsidRPr="00587DFE">
              <w:rPr>
                <w:rFonts w:cs="Arial" w:hint="eastAsia"/>
                <w:sz w:val="24"/>
                <w:szCs w:val="24"/>
                <w:lang w:eastAsia="zh-CN"/>
              </w:rPr>
              <w:t>明世伙伴</w:t>
            </w:r>
            <w:r w:rsidR="00587DFE">
              <w:rPr>
                <w:rFonts w:cs="Arial" w:hint="eastAsia"/>
                <w:sz w:val="24"/>
                <w:szCs w:val="24"/>
                <w:lang w:eastAsia="zh-CN"/>
              </w:rPr>
              <w:t>、</w:t>
            </w:r>
            <w:r w:rsidR="00587DFE" w:rsidRPr="00587DFE">
              <w:rPr>
                <w:rFonts w:cs="Arial" w:hint="eastAsia"/>
                <w:bCs/>
                <w:sz w:val="24"/>
                <w:szCs w:val="24"/>
                <w:lang w:val="en-US" w:eastAsia="zh-CN"/>
              </w:rPr>
              <w:t>广发证券</w:t>
            </w:r>
            <w:r w:rsidR="00587DFE">
              <w:rPr>
                <w:rFonts w:cs="Arial" w:hint="eastAsia"/>
                <w:bCs/>
                <w:sz w:val="24"/>
                <w:szCs w:val="24"/>
                <w:lang w:val="en-US" w:eastAsia="zh-CN"/>
              </w:rPr>
              <w:t>、</w:t>
            </w:r>
            <w:r w:rsidR="00587DFE" w:rsidRPr="00587DFE">
              <w:rPr>
                <w:rFonts w:cs="Arial" w:hint="eastAsia"/>
                <w:bCs/>
                <w:sz w:val="24"/>
                <w:szCs w:val="24"/>
                <w:lang w:val="en-US" w:eastAsia="zh-CN"/>
              </w:rPr>
              <w:t>长城财富</w:t>
            </w:r>
            <w:r w:rsidR="00587DFE">
              <w:rPr>
                <w:rFonts w:cs="Arial" w:hint="eastAsia"/>
                <w:bCs/>
                <w:sz w:val="24"/>
                <w:szCs w:val="24"/>
                <w:lang w:val="en-US" w:eastAsia="zh-CN"/>
              </w:rPr>
              <w:t>、</w:t>
            </w:r>
            <w:r w:rsidR="00587DFE" w:rsidRPr="00587DFE">
              <w:rPr>
                <w:rFonts w:cs="Arial" w:hint="eastAsia"/>
                <w:bCs/>
                <w:sz w:val="24"/>
                <w:szCs w:val="24"/>
                <w:lang w:val="en-US" w:eastAsia="zh-CN"/>
              </w:rPr>
              <w:t>首创证券</w:t>
            </w:r>
            <w:r w:rsidR="00587DFE">
              <w:rPr>
                <w:rFonts w:cs="Arial" w:hint="eastAsia"/>
                <w:bCs/>
                <w:sz w:val="24"/>
                <w:szCs w:val="24"/>
                <w:lang w:val="en-US" w:eastAsia="zh-CN"/>
              </w:rPr>
              <w:t>、</w:t>
            </w:r>
            <w:r w:rsidR="00587DFE" w:rsidRPr="00587DFE">
              <w:rPr>
                <w:rFonts w:cs="Arial" w:hint="eastAsia"/>
                <w:bCs/>
                <w:sz w:val="24"/>
                <w:szCs w:val="24"/>
                <w:lang w:val="en-US" w:eastAsia="zh-CN"/>
              </w:rPr>
              <w:t>国融证券</w:t>
            </w:r>
            <w:r w:rsidR="00587DFE">
              <w:rPr>
                <w:rFonts w:cs="Arial" w:hint="eastAsia"/>
                <w:bCs/>
                <w:sz w:val="24"/>
                <w:szCs w:val="24"/>
                <w:lang w:val="en-US" w:eastAsia="zh-CN"/>
              </w:rPr>
              <w:t>、</w:t>
            </w:r>
            <w:r w:rsidR="00587DFE" w:rsidRPr="00587DFE">
              <w:rPr>
                <w:rFonts w:cs="Arial" w:hint="eastAsia"/>
                <w:bCs/>
                <w:sz w:val="24"/>
                <w:szCs w:val="24"/>
                <w:lang w:val="en-US" w:eastAsia="zh-CN"/>
              </w:rPr>
              <w:t>巨杉资产</w:t>
            </w:r>
            <w:r w:rsidR="00587DFE">
              <w:rPr>
                <w:rFonts w:cs="Arial" w:hint="eastAsia"/>
                <w:bCs/>
                <w:sz w:val="24"/>
                <w:szCs w:val="24"/>
                <w:lang w:val="en-US" w:eastAsia="zh-CN"/>
              </w:rPr>
              <w:t>、</w:t>
            </w:r>
            <w:r w:rsidR="00587DFE" w:rsidRPr="00587DFE">
              <w:rPr>
                <w:rFonts w:cs="Arial" w:hint="eastAsia"/>
                <w:bCs/>
                <w:sz w:val="24"/>
                <w:szCs w:val="24"/>
                <w:lang w:val="en-US" w:eastAsia="zh-CN"/>
              </w:rPr>
              <w:t>融通基金</w:t>
            </w:r>
            <w:r w:rsidR="004D7E3E">
              <w:rPr>
                <w:rFonts w:cs="Arial" w:hint="eastAsia"/>
                <w:bCs/>
                <w:sz w:val="24"/>
                <w:szCs w:val="24"/>
                <w:lang w:val="en-US" w:eastAsia="zh-CN"/>
              </w:rPr>
              <w:t>、</w:t>
            </w:r>
            <w:r w:rsidR="004D7E3E" w:rsidRPr="004D7E3E">
              <w:rPr>
                <w:rFonts w:cs="Arial" w:hint="eastAsia"/>
                <w:bCs/>
                <w:sz w:val="24"/>
                <w:szCs w:val="24"/>
                <w:lang w:val="en-US" w:eastAsia="zh-CN"/>
              </w:rPr>
              <w:t>华福证券</w:t>
            </w:r>
            <w:r w:rsidR="004D7E3E">
              <w:rPr>
                <w:rFonts w:cs="Arial" w:hint="eastAsia"/>
                <w:bCs/>
                <w:sz w:val="24"/>
                <w:szCs w:val="24"/>
                <w:lang w:val="en-US" w:eastAsia="zh-CN"/>
              </w:rPr>
              <w:t>、</w:t>
            </w:r>
            <w:r w:rsidR="004D7E3E" w:rsidRPr="004D7E3E">
              <w:rPr>
                <w:rFonts w:cs="Arial" w:hint="eastAsia"/>
                <w:bCs/>
                <w:sz w:val="24"/>
                <w:szCs w:val="24"/>
                <w:lang w:val="en-US" w:eastAsia="zh-CN"/>
              </w:rPr>
              <w:t>南方基金</w:t>
            </w:r>
            <w:r w:rsidR="004D7E3E">
              <w:rPr>
                <w:rFonts w:cs="Arial" w:hint="eastAsia"/>
                <w:bCs/>
                <w:sz w:val="24"/>
                <w:szCs w:val="24"/>
                <w:lang w:val="en-US" w:eastAsia="zh-CN"/>
              </w:rPr>
              <w:t>、</w:t>
            </w:r>
            <w:r w:rsidR="004D7E3E" w:rsidRPr="004D7E3E">
              <w:rPr>
                <w:rFonts w:cs="Arial" w:hint="eastAsia"/>
                <w:bCs/>
                <w:sz w:val="24"/>
                <w:szCs w:val="24"/>
                <w:lang w:val="en-US" w:eastAsia="zh-CN"/>
              </w:rPr>
              <w:t>中信建投基金</w:t>
            </w:r>
            <w:r w:rsidR="004D7E3E">
              <w:rPr>
                <w:rFonts w:cs="Arial" w:hint="eastAsia"/>
                <w:bCs/>
                <w:sz w:val="24"/>
                <w:szCs w:val="24"/>
                <w:lang w:val="en-US" w:eastAsia="zh-CN"/>
              </w:rPr>
              <w:t>、</w:t>
            </w:r>
            <w:r w:rsidR="004D7E3E" w:rsidRPr="004D7E3E">
              <w:rPr>
                <w:rFonts w:cs="Arial" w:hint="eastAsia"/>
                <w:bCs/>
                <w:sz w:val="24"/>
                <w:szCs w:val="24"/>
                <w:lang w:val="en-US" w:eastAsia="zh-CN"/>
              </w:rPr>
              <w:t>国投证券</w:t>
            </w:r>
            <w:r w:rsidR="004D7E3E">
              <w:rPr>
                <w:rFonts w:cs="Arial" w:hint="eastAsia"/>
                <w:bCs/>
                <w:sz w:val="24"/>
                <w:szCs w:val="24"/>
                <w:lang w:val="en-US" w:eastAsia="zh-CN"/>
              </w:rPr>
              <w:t>、</w:t>
            </w:r>
            <w:r w:rsidR="004D7E3E" w:rsidRPr="004D7E3E">
              <w:rPr>
                <w:rFonts w:cs="Arial" w:hint="eastAsia"/>
                <w:bCs/>
                <w:sz w:val="24"/>
                <w:szCs w:val="24"/>
                <w:lang w:val="en-US" w:eastAsia="zh-CN"/>
              </w:rPr>
              <w:t>华夏基金</w:t>
            </w:r>
            <w:r w:rsidR="004D7E3E">
              <w:rPr>
                <w:rFonts w:cs="Arial" w:hint="eastAsia"/>
                <w:bCs/>
                <w:sz w:val="24"/>
                <w:szCs w:val="24"/>
                <w:lang w:val="en-US" w:eastAsia="zh-CN"/>
              </w:rPr>
              <w:t>、</w:t>
            </w:r>
            <w:r w:rsidR="004D7E3E" w:rsidRPr="004D7E3E">
              <w:rPr>
                <w:rFonts w:cs="Arial" w:hint="eastAsia"/>
                <w:bCs/>
                <w:sz w:val="24"/>
                <w:szCs w:val="24"/>
                <w:lang w:val="en-US" w:eastAsia="zh-CN"/>
              </w:rPr>
              <w:t>圆信永丰基金</w:t>
            </w:r>
            <w:r w:rsidR="004D7E3E">
              <w:rPr>
                <w:rFonts w:cs="Arial" w:hint="eastAsia"/>
                <w:bCs/>
                <w:sz w:val="24"/>
                <w:szCs w:val="24"/>
                <w:lang w:val="en-US" w:eastAsia="zh-CN"/>
              </w:rPr>
              <w:t>、</w:t>
            </w:r>
            <w:r w:rsidR="004D7E3E" w:rsidRPr="004D7E3E">
              <w:rPr>
                <w:rFonts w:cs="Arial" w:hint="eastAsia"/>
                <w:bCs/>
                <w:sz w:val="24"/>
                <w:szCs w:val="24"/>
                <w:lang w:val="en-US" w:eastAsia="zh-CN"/>
              </w:rPr>
              <w:t>友安众晟</w:t>
            </w:r>
          </w:p>
        </w:tc>
      </w:tr>
      <w:tr w:rsidR="00F01EA1" w14:paraId="3A6951EE" w14:textId="77777777" w:rsidTr="00977CC6">
        <w:trPr>
          <w:trHeight w:val="625"/>
        </w:trPr>
        <w:tc>
          <w:tcPr>
            <w:tcW w:w="1410" w:type="dxa"/>
            <w:vAlign w:val="center"/>
          </w:tcPr>
          <w:p w14:paraId="293ACCAE" w14:textId="77777777" w:rsidR="00F01EA1" w:rsidRPr="00895496" w:rsidRDefault="00551C9C">
            <w:pPr>
              <w:pStyle w:val="TableParagraph"/>
              <w:spacing w:before="4"/>
              <w:ind w:left="112"/>
              <w:rPr>
                <w:rFonts w:asciiTheme="minorEastAsia" w:eastAsiaTheme="minorEastAsia" w:hAnsiTheme="minorEastAsia" w:cstheme="minorEastAsia" w:hint="eastAsia"/>
                <w:sz w:val="24"/>
                <w:szCs w:val="24"/>
                <w:lang w:val="en-US"/>
              </w:rPr>
            </w:pPr>
            <w:proofErr w:type="spellStart"/>
            <w:r w:rsidRPr="00895496">
              <w:rPr>
                <w:rFonts w:asciiTheme="minorEastAsia" w:eastAsiaTheme="minorEastAsia" w:hAnsiTheme="minorEastAsia" w:cstheme="minorEastAsia" w:hint="eastAsia"/>
                <w:sz w:val="24"/>
                <w:szCs w:val="24"/>
                <w:lang w:val="en-US"/>
              </w:rPr>
              <w:t>时间</w:t>
            </w:r>
            <w:proofErr w:type="spellEnd"/>
          </w:p>
        </w:tc>
        <w:tc>
          <w:tcPr>
            <w:tcW w:w="7270" w:type="dxa"/>
            <w:vAlign w:val="center"/>
          </w:tcPr>
          <w:p w14:paraId="4FCB041B" w14:textId="5278BF52" w:rsidR="004B6C64" w:rsidRPr="00895496" w:rsidRDefault="00CA569E" w:rsidP="004B6C64">
            <w:pPr>
              <w:pStyle w:val="TableParagraph"/>
              <w:spacing w:before="4" w:line="360" w:lineRule="auto"/>
              <w:ind w:left="112"/>
              <w:jc w:val="both"/>
              <w:rPr>
                <w:rFonts w:asciiTheme="minorEastAsia" w:eastAsiaTheme="minorEastAsia" w:hAnsiTheme="minorEastAsia" w:cs="Arial" w:hint="eastAsia"/>
                <w:sz w:val="24"/>
                <w:szCs w:val="24"/>
                <w:lang w:val="en-US" w:eastAsia="zh-CN"/>
              </w:rPr>
            </w:pPr>
            <w:r>
              <w:rPr>
                <w:rFonts w:asciiTheme="minorEastAsia" w:eastAsiaTheme="minorEastAsia" w:hAnsiTheme="minorEastAsia" w:cs="Arial" w:hint="eastAsia"/>
                <w:sz w:val="24"/>
                <w:szCs w:val="24"/>
                <w:lang w:val="en-US" w:eastAsia="zh-CN"/>
              </w:rPr>
              <w:t>2025年12月3日、12月4日、</w:t>
            </w:r>
            <w:r w:rsidR="00587DFE">
              <w:rPr>
                <w:rFonts w:asciiTheme="minorEastAsia" w:eastAsiaTheme="minorEastAsia" w:hAnsiTheme="minorEastAsia" w:cs="Arial" w:hint="eastAsia"/>
                <w:sz w:val="24"/>
                <w:szCs w:val="24"/>
                <w:lang w:val="en-US" w:eastAsia="zh-CN"/>
              </w:rPr>
              <w:t>12月5日、12月19日</w:t>
            </w:r>
            <w:r w:rsidR="004D7E3E">
              <w:rPr>
                <w:rFonts w:asciiTheme="minorEastAsia" w:eastAsiaTheme="minorEastAsia" w:hAnsiTheme="minorEastAsia" w:cs="Arial" w:hint="eastAsia"/>
                <w:sz w:val="24"/>
                <w:szCs w:val="24"/>
                <w:lang w:val="en-US" w:eastAsia="zh-CN"/>
              </w:rPr>
              <w:t>、12月25日</w:t>
            </w:r>
          </w:p>
        </w:tc>
      </w:tr>
      <w:tr w:rsidR="00F01EA1" w14:paraId="2063671C" w14:textId="77777777" w:rsidTr="00977CC6">
        <w:trPr>
          <w:trHeight w:val="699"/>
        </w:trPr>
        <w:tc>
          <w:tcPr>
            <w:tcW w:w="1410" w:type="dxa"/>
            <w:vAlign w:val="center"/>
          </w:tcPr>
          <w:p w14:paraId="7578F44B" w14:textId="77777777" w:rsidR="00F01EA1" w:rsidRDefault="00551C9C">
            <w:pPr>
              <w:pStyle w:val="TableParagraph"/>
              <w:spacing w:before="120"/>
              <w:ind w:left="113"/>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地点</w:t>
            </w:r>
            <w:proofErr w:type="spellEnd"/>
          </w:p>
        </w:tc>
        <w:tc>
          <w:tcPr>
            <w:tcW w:w="7270" w:type="dxa"/>
            <w:vAlign w:val="center"/>
          </w:tcPr>
          <w:p w14:paraId="3C40E379" w14:textId="77777777" w:rsidR="00F01EA1" w:rsidRPr="00CE4E12" w:rsidRDefault="00482E79" w:rsidP="00FC0528">
            <w:pPr>
              <w:pStyle w:val="TableParagraph"/>
              <w:ind w:left="112"/>
              <w:rPr>
                <w:rFonts w:ascii="Arial" w:eastAsiaTheme="minorEastAsia" w:hAnsi="Arial" w:cs="Arial"/>
                <w:sz w:val="24"/>
                <w:szCs w:val="24"/>
                <w:lang w:eastAsia="zh-CN"/>
              </w:rPr>
            </w:pPr>
            <w:r>
              <w:rPr>
                <w:rFonts w:ascii="Arial" w:eastAsiaTheme="minorEastAsia" w:hAnsi="Arial" w:cs="Arial"/>
                <w:sz w:val="24"/>
                <w:szCs w:val="24"/>
                <w:lang w:eastAsia="zh-CN"/>
              </w:rPr>
              <w:t>现场调研</w:t>
            </w:r>
          </w:p>
        </w:tc>
      </w:tr>
      <w:tr w:rsidR="00F01EA1" w14:paraId="5570F9F4" w14:textId="77777777" w:rsidTr="00977CC6">
        <w:trPr>
          <w:trHeight w:val="961"/>
        </w:trPr>
        <w:tc>
          <w:tcPr>
            <w:tcW w:w="1410" w:type="dxa"/>
            <w:vAlign w:val="center"/>
          </w:tcPr>
          <w:p w14:paraId="207761F5" w14:textId="77777777" w:rsidR="00F01EA1" w:rsidRDefault="00551C9C">
            <w:pPr>
              <w:pStyle w:val="TableParagraph"/>
              <w:spacing w:before="4"/>
              <w:ind w:left="112"/>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上市公司接待人员</w:t>
            </w:r>
            <w:proofErr w:type="spellEnd"/>
          </w:p>
        </w:tc>
        <w:tc>
          <w:tcPr>
            <w:tcW w:w="7270" w:type="dxa"/>
            <w:vAlign w:val="center"/>
          </w:tcPr>
          <w:p w14:paraId="1EF5C41B" w14:textId="77777777" w:rsidR="00F01EA1" w:rsidRPr="00CE4E12" w:rsidRDefault="00551C9C" w:rsidP="00474481">
            <w:pPr>
              <w:pStyle w:val="TableParagraph"/>
              <w:spacing w:before="4"/>
              <w:ind w:left="112"/>
              <w:rPr>
                <w:rFonts w:ascii="Arial" w:eastAsiaTheme="minorEastAsia" w:hAnsi="Arial" w:cs="Arial"/>
                <w:sz w:val="24"/>
                <w:szCs w:val="24"/>
                <w:lang w:val="en-US" w:eastAsia="zh-CN"/>
              </w:rPr>
            </w:pPr>
            <w:r w:rsidRPr="00CE4E12">
              <w:rPr>
                <w:rFonts w:ascii="Arial" w:eastAsiaTheme="minorEastAsia" w:hAnsi="Arial" w:cs="Arial"/>
                <w:sz w:val="24"/>
                <w:szCs w:val="24"/>
                <w:lang w:val="en-US" w:eastAsia="zh-CN"/>
              </w:rPr>
              <w:t>董事会秘书</w:t>
            </w:r>
            <w:r w:rsidR="000923C5">
              <w:rPr>
                <w:rFonts w:ascii="Arial" w:eastAsiaTheme="minorEastAsia" w:hAnsi="Arial" w:cs="Arial"/>
                <w:sz w:val="24"/>
                <w:szCs w:val="24"/>
                <w:lang w:val="en-US" w:eastAsia="zh-CN"/>
              </w:rPr>
              <w:t>、</w:t>
            </w:r>
            <w:r w:rsidR="000923C5" w:rsidRPr="000923C5">
              <w:rPr>
                <w:rFonts w:ascii="Arial" w:eastAsiaTheme="minorEastAsia" w:hAnsi="Arial" w:cs="Arial" w:hint="eastAsia"/>
                <w:sz w:val="24"/>
                <w:szCs w:val="24"/>
                <w:lang w:val="en-US" w:eastAsia="zh-CN"/>
              </w:rPr>
              <w:t>投资者关系总监</w:t>
            </w:r>
          </w:p>
        </w:tc>
      </w:tr>
      <w:tr w:rsidR="00F01EA1" w14:paraId="4F2FA0BA" w14:textId="77777777" w:rsidTr="00977CC6">
        <w:trPr>
          <w:trHeight w:val="694"/>
        </w:trPr>
        <w:tc>
          <w:tcPr>
            <w:tcW w:w="1410" w:type="dxa"/>
            <w:vAlign w:val="center"/>
          </w:tcPr>
          <w:p w14:paraId="6A31DDAE" w14:textId="77777777" w:rsidR="00F01EA1" w:rsidRDefault="00551C9C">
            <w:pPr>
              <w:pStyle w:val="TableParagraph"/>
              <w:spacing w:before="4"/>
              <w:ind w:left="112"/>
              <w:rPr>
                <w:rFonts w:asciiTheme="minorEastAsia" w:eastAsiaTheme="minorEastAsia" w:hAnsiTheme="minorEastAsia" w:hint="eastAsia"/>
                <w:sz w:val="24"/>
                <w:szCs w:val="24"/>
                <w:lang w:val="en-US"/>
              </w:rPr>
            </w:pPr>
            <w:proofErr w:type="spellStart"/>
            <w:r>
              <w:rPr>
                <w:rFonts w:asciiTheme="minorEastAsia" w:eastAsiaTheme="minorEastAsia" w:hAnsiTheme="minorEastAsia" w:hint="eastAsia"/>
                <w:sz w:val="24"/>
                <w:szCs w:val="24"/>
                <w:lang w:val="en-US"/>
              </w:rPr>
              <w:t>调研主要内容汇总</w:t>
            </w:r>
            <w:proofErr w:type="spellEnd"/>
          </w:p>
        </w:tc>
        <w:tc>
          <w:tcPr>
            <w:tcW w:w="7270" w:type="dxa"/>
            <w:vAlign w:val="center"/>
          </w:tcPr>
          <w:p w14:paraId="0704F057" w14:textId="77777777" w:rsidR="00CA569E" w:rsidRPr="00CA569E" w:rsidRDefault="00CA569E" w:rsidP="00CA569E">
            <w:pPr>
              <w:widowControl/>
              <w:spacing w:line="360" w:lineRule="auto"/>
              <w:ind w:firstLineChars="200" w:firstLine="482"/>
              <w:rPr>
                <w:rFonts w:asciiTheme="minorEastAsia" w:hAnsiTheme="minorEastAsia" w:hint="eastAsia"/>
                <w:b/>
                <w:sz w:val="24"/>
                <w:szCs w:val="24"/>
                <w:lang w:eastAsia="zh-CN"/>
              </w:rPr>
            </w:pPr>
            <w:r w:rsidRPr="00CA569E">
              <w:rPr>
                <w:rFonts w:asciiTheme="minorEastAsia" w:hAnsiTheme="minorEastAsia" w:hint="eastAsia"/>
                <w:b/>
                <w:sz w:val="24"/>
                <w:szCs w:val="24"/>
                <w:lang w:eastAsia="zh-CN"/>
              </w:rPr>
              <w:t xml:space="preserve">1、哥伦比亚San Matias 铜金银矿的项目进展 </w:t>
            </w:r>
          </w:p>
          <w:p w14:paraId="6384DFAB" w14:textId="77777777" w:rsidR="00CA569E" w:rsidRPr="00CA569E" w:rsidRDefault="00CA569E" w:rsidP="00CA569E">
            <w:pPr>
              <w:widowControl/>
              <w:spacing w:line="360" w:lineRule="auto"/>
              <w:ind w:firstLineChars="200" w:firstLine="480"/>
              <w:rPr>
                <w:rFonts w:asciiTheme="minorEastAsia" w:hAnsiTheme="minorEastAsia" w:hint="eastAsia"/>
                <w:bCs/>
                <w:sz w:val="24"/>
                <w:szCs w:val="24"/>
                <w:lang w:eastAsia="zh-CN"/>
              </w:rPr>
            </w:pPr>
            <w:proofErr w:type="spellStart"/>
            <w:r w:rsidRPr="00CA569E">
              <w:rPr>
                <w:rFonts w:asciiTheme="minorEastAsia" w:hAnsiTheme="minorEastAsia" w:hint="eastAsia"/>
                <w:bCs/>
                <w:sz w:val="24"/>
                <w:szCs w:val="24"/>
                <w:lang w:eastAsia="zh-CN"/>
              </w:rPr>
              <w:t>Alacran</w:t>
            </w:r>
            <w:proofErr w:type="spellEnd"/>
            <w:r w:rsidRPr="00CA569E">
              <w:rPr>
                <w:rFonts w:asciiTheme="minorEastAsia" w:hAnsiTheme="minorEastAsia" w:hint="eastAsia"/>
                <w:bCs/>
                <w:sz w:val="24"/>
                <w:szCs w:val="24"/>
                <w:lang w:eastAsia="zh-CN"/>
              </w:rPr>
              <w:t xml:space="preserve"> 矿床开采计划（PTO）已获哥伦比亚国家矿业局（ANM）批准，环境影响评估报告（EIA）已提交哥伦比亚国家环境许可证管理局（ANLA），尚待批复。环境影响评估（EIA）获批是 San Matias 铜金银项目转入建设阶段的必要条件，相关许可是否能顺利通过以及获得许可所需时间，存在一定不确定性。</w:t>
            </w:r>
          </w:p>
          <w:p w14:paraId="7B858772" w14:textId="77777777" w:rsidR="00CA569E" w:rsidRPr="00CA569E" w:rsidRDefault="00CA569E" w:rsidP="00CA569E">
            <w:pPr>
              <w:widowControl/>
              <w:spacing w:line="360" w:lineRule="auto"/>
              <w:ind w:firstLineChars="200" w:firstLine="482"/>
              <w:rPr>
                <w:rFonts w:asciiTheme="minorEastAsia" w:hAnsiTheme="minorEastAsia" w:hint="eastAsia"/>
                <w:b/>
                <w:sz w:val="24"/>
                <w:szCs w:val="24"/>
                <w:lang w:eastAsia="zh-CN"/>
              </w:rPr>
            </w:pPr>
            <w:r w:rsidRPr="00CA569E">
              <w:rPr>
                <w:rFonts w:asciiTheme="minorEastAsia" w:hAnsiTheme="minorEastAsia" w:hint="eastAsia"/>
                <w:b/>
                <w:sz w:val="24"/>
                <w:szCs w:val="24"/>
                <w:lang w:eastAsia="zh-CN"/>
              </w:rPr>
              <w:t>2、</w:t>
            </w:r>
            <w:proofErr w:type="spellStart"/>
            <w:r w:rsidRPr="00CA569E">
              <w:rPr>
                <w:rFonts w:asciiTheme="minorEastAsia" w:hAnsiTheme="minorEastAsia" w:hint="eastAsia"/>
                <w:b/>
                <w:sz w:val="24"/>
                <w:szCs w:val="24"/>
                <w:lang w:eastAsia="zh-CN"/>
              </w:rPr>
              <w:t>Lonshi</w:t>
            </w:r>
            <w:proofErr w:type="spellEnd"/>
            <w:r w:rsidRPr="00CA569E">
              <w:rPr>
                <w:rFonts w:asciiTheme="minorEastAsia" w:hAnsiTheme="minorEastAsia" w:hint="eastAsia"/>
                <w:b/>
                <w:sz w:val="24"/>
                <w:szCs w:val="24"/>
                <w:lang w:eastAsia="zh-CN"/>
              </w:rPr>
              <w:t xml:space="preserve">铜矿东区的扩产建设情况 </w:t>
            </w:r>
          </w:p>
          <w:p w14:paraId="4CAA28EF" w14:textId="77777777" w:rsidR="00CA569E" w:rsidRPr="00CA569E" w:rsidRDefault="00CA569E" w:rsidP="00CA569E">
            <w:pPr>
              <w:widowControl/>
              <w:spacing w:line="360" w:lineRule="auto"/>
              <w:ind w:firstLineChars="200" w:firstLine="480"/>
              <w:rPr>
                <w:rFonts w:asciiTheme="minorEastAsia" w:hAnsiTheme="minorEastAsia" w:hint="eastAsia"/>
                <w:bCs/>
                <w:sz w:val="24"/>
                <w:szCs w:val="24"/>
                <w:lang w:eastAsia="zh-CN"/>
              </w:rPr>
            </w:pPr>
            <w:r w:rsidRPr="00CA569E">
              <w:rPr>
                <w:rFonts w:asciiTheme="minorEastAsia" w:hAnsiTheme="minorEastAsia" w:hint="eastAsia"/>
                <w:bCs/>
                <w:sz w:val="24"/>
                <w:szCs w:val="24"/>
                <w:lang w:eastAsia="zh-CN"/>
              </w:rPr>
              <w:lastRenderedPageBreak/>
              <w:t>根据公司于 2025 年 1 月发布的《刚果（金）龙溪铜矿东区采选工程可行性研究》，东区设计采用地下开采方式，设计开采规模为250-350万吨/年，计划基建工期4.5年，矿山投产后，第4年达产，共生产服务12年。为了平衡龙溪东区和西区的服务年限，随着东区投产，西区会逐年减产，龙溪东区和西区井下最大出矿量合计为450万吨/年。东区达产后，龙溪铜矿东区和西区合计年产约10万吨铜金属量。</w:t>
            </w:r>
          </w:p>
          <w:p w14:paraId="36F130DE" w14:textId="77777777" w:rsidR="00CA569E" w:rsidRPr="00CA569E" w:rsidRDefault="00CA569E" w:rsidP="00CA569E">
            <w:pPr>
              <w:widowControl/>
              <w:spacing w:line="360" w:lineRule="auto"/>
              <w:ind w:firstLineChars="200" w:firstLine="482"/>
              <w:rPr>
                <w:rFonts w:asciiTheme="minorEastAsia" w:hAnsiTheme="minorEastAsia" w:hint="eastAsia"/>
                <w:b/>
                <w:sz w:val="24"/>
                <w:szCs w:val="24"/>
                <w:lang w:eastAsia="zh-CN"/>
              </w:rPr>
            </w:pPr>
            <w:r w:rsidRPr="00CA569E">
              <w:rPr>
                <w:rFonts w:asciiTheme="minorEastAsia" w:hAnsiTheme="minorEastAsia" w:hint="eastAsia"/>
                <w:b/>
                <w:sz w:val="24"/>
                <w:szCs w:val="24"/>
                <w:lang w:eastAsia="zh-CN"/>
              </w:rPr>
              <w:t>3、</w:t>
            </w:r>
            <w:proofErr w:type="spellStart"/>
            <w:r w:rsidRPr="00CA569E">
              <w:rPr>
                <w:rFonts w:asciiTheme="minorEastAsia" w:hAnsiTheme="minorEastAsia" w:hint="eastAsia"/>
                <w:b/>
                <w:sz w:val="24"/>
                <w:szCs w:val="24"/>
                <w:lang w:eastAsia="zh-CN"/>
              </w:rPr>
              <w:t>Lubambe</w:t>
            </w:r>
            <w:proofErr w:type="spellEnd"/>
            <w:r w:rsidRPr="00CA569E">
              <w:rPr>
                <w:rFonts w:asciiTheme="minorEastAsia" w:hAnsiTheme="minorEastAsia" w:hint="eastAsia"/>
                <w:b/>
                <w:sz w:val="24"/>
                <w:szCs w:val="24"/>
                <w:lang w:eastAsia="zh-CN"/>
              </w:rPr>
              <w:t>铜矿项目技改情况</w:t>
            </w:r>
          </w:p>
          <w:p w14:paraId="5DEC7888" w14:textId="77777777" w:rsidR="00CA569E" w:rsidRPr="00CA569E" w:rsidRDefault="00CA569E" w:rsidP="00CA569E">
            <w:pPr>
              <w:widowControl/>
              <w:spacing w:line="360" w:lineRule="auto"/>
              <w:ind w:firstLineChars="200" w:firstLine="480"/>
              <w:rPr>
                <w:rFonts w:asciiTheme="minorEastAsia" w:hAnsiTheme="minorEastAsia" w:hint="eastAsia"/>
                <w:bCs/>
                <w:sz w:val="24"/>
                <w:szCs w:val="24"/>
                <w:lang w:eastAsia="zh-CN"/>
              </w:rPr>
            </w:pPr>
            <w:r w:rsidRPr="00CA569E">
              <w:rPr>
                <w:rFonts w:asciiTheme="minorEastAsia" w:hAnsiTheme="minorEastAsia" w:hint="eastAsia"/>
                <w:bCs/>
                <w:sz w:val="24"/>
                <w:szCs w:val="24"/>
                <w:lang w:eastAsia="zh-CN"/>
              </w:rPr>
              <w:t>自2024年下半年完成对赞比亚</w:t>
            </w:r>
            <w:proofErr w:type="spellStart"/>
            <w:r w:rsidRPr="00CA569E">
              <w:rPr>
                <w:rFonts w:asciiTheme="minorEastAsia" w:hAnsiTheme="minorEastAsia" w:hint="eastAsia"/>
                <w:bCs/>
                <w:sz w:val="24"/>
                <w:szCs w:val="24"/>
                <w:lang w:eastAsia="zh-CN"/>
              </w:rPr>
              <w:t>Lubambe</w:t>
            </w:r>
            <w:proofErr w:type="spellEnd"/>
            <w:r w:rsidRPr="00CA569E">
              <w:rPr>
                <w:rFonts w:asciiTheme="minorEastAsia" w:hAnsiTheme="minorEastAsia" w:hint="eastAsia"/>
                <w:bCs/>
                <w:sz w:val="24"/>
                <w:szCs w:val="24"/>
                <w:lang w:eastAsia="zh-CN"/>
              </w:rPr>
              <w:t xml:space="preserve">铜矿的收购以来，公司持续优化 </w:t>
            </w:r>
            <w:proofErr w:type="spellStart"/>
            <w:r w:rsidRPr="00CA569E">
              <w:rPr>
                <w:rFonts w:asciiTheme="minorEastAsia" w:hAnsiTheme="minorEastAsia" w:hint="eastAsia"/>
                <w:bCs/>
                <w:sz w:val="24"/>
                <w:szCs w:val="24"/>
                <w:lang w:eastAsia="zh-CN"/>
              </w:rPr>
              <w:t>Lubambe</w:t>
            </w:r>
            <w:proofErr w:type="spellEnd"/>
            <w:r w:rsidRPr="00CA569E">
              <w:rPr>
                <w:rFonts w:asciiTheme="minorEastAsia" w:hAnsiTheme="minorEastAsia" w:hint="eastAsia"/>
                <w:bCs/>
                <w:sz w:val="24"/>
                <w:szCs w:val="24"/>
                <w:lang w:eastAsia="zh-CN"/>
              </w:rPr>
              <w:t xml:space="preserve"> 铜矿经营管理工作，同时推进地质勘探、采掘生产、选矿生产、井下辅助系统改造等。预计随着技改方案的逐步推进，</w:t>
            </w:r>
            <w:proofErr w:type="spellStart"/>
            <w:r w:rsidRPr="00CA569E">
              <w:rPr>
                <w:rFonts w:asciiTheme="minorEastAsia" w:hAnsiTheme="minorEastAsia" w:hint="eastAsia"/>
                <w:bCs/>
                <w:sz w:val="24"/>
                <w:szCs w:val="24"/>
                <w:lang w:eastAsia="zh-CN"/>
              </w:rPr>
              <w:t>Lubambe</w:t>
            </w:r>
            <w:proofErr w:type="spellEnd"/>
            <w:r w:rsidRPr="00CA569E">
              <w:rPr>
                <w:rFonts w:asciiTheme="minorEastAsia" w:hAnsiTheme="minorEastAsia" w:hint="eastAsia"/>
                <w:bCs/>
                <w:sz w:val="24"/>
                <w:szCs w:val="24"/>
                <w:lang w:eastAsia="zh-CN"/>
              </w:rPr>
              <w:t>铜矿经营水平有望得到不断改善。</w:t>
            </w:r>
          </w:p>
          <w:p w14:paraId="53D8E8F9" w14:textId="77777777" w:rsidR="00CA569E" w:rsidRPr="00CA569E" w:rsidRDefault="00CA569E" w:rsidP="00CA569E">
            <w:pPr>
              <w:widowControl/>
              <w:spacing w:line="360" w:lineRule="auto"/>
              <w:ind w:firstLineChars="200" w:firstLine="482"/>
              <w:rPr>
                <w:rFonts w:asciiTheme="minorEastAsia" w:hAnsiTheme="minorEastAsia" w:hint="eastAsia"/>
                <w:b/>
                <w:sz w:val="24"/>
                <w:szCs w:val="24"/>
                <w:lang w:eastAsia="zh-CN"/>
              </w:rPr>
            </w:pPr>
            <w:r w:rsidRPr="00CA569E">
              <w:rPr>
                <w:rFonts w:asciiTheme="minorEastAsia" w:hAnsiTheme="minorEastAsia" w:hint="eastAsia"/>
                <w:b/>
                <w:sz w:val="24"/>
                <w:szCs w:val="24"/>
                <w:lang w:eastAsia="zh-CN"/>
              </w:rPr>
              <w:t>4、铜资源板块生产情况</w:t>
            </w:r>
          </w:p>
          <w:p w14:paraId="436E840E" w14:textId="77777777" w:rsidR="00CA569E" w:rsidRPr="00CA569E" w:rsidRDefault="00CA569E" w:rsidP="00CA569E">
            <w:pPr>
              <w:widowControl/>
              <w:spacing w:line="360" w:lineRule="auto"/>
              <w:ind w:firstLineChars="200" w:firstLine="480"/>
              <w:rPr>
                <w:rFonts w:asciiTheme="minorEastAsia" w:hAnsiTheme="minorEastAsia" w:hint="eastAsia"/>
                <w:bCs/>
                <w:sz w:val="24"/>
                <w:szCs w:val="24"/>
                <w:lang w:eastAsia="zh-CN"/>
              </w:rPr>
            </w:pPr>
            <w:r w:rsidRPr="00CA569E">
              <w:rPr>
                <w:rFonts w:asciiTheme="minorEastAsia" w:hAnsiTheme="minorEastAsia" w:hint="eastAsia"/>
                <w:bCs/>
                <w:sz w:val="24"/>
                <w:szCs w:val="24"/>
                <w:lang w:eastAsia="zh-CN"/>
              </w:rPr>
              <w:t>2025年前三季度，公司</w:t>
            </w:r>
            <w:proofErr w:type="spellStart"/>
            <w:r w:rsidRPr="00CA569E">
              <w:rPr>
                <w:rFonts w:asciiTheme="minorEastAsia" w:hAnsiTheme="minorEastAsia" w:hint="eastAsia"/>
                <w:bCs/>
                <w:sz w:val="24"/>
                <w:szCs w:val="24"/>
                <w:lang w:eastAsia="zh-CN"/>
              </w:rPr>
              <w:t>Dikulushi</w:t>
            </w:r>
            <w:proofErr w:type="spellEnd"/>
            <w:r w:rsidRPr="00CA569E">
              <w:rPr>
                <w:rFonts w:asciiTheme="minorEastAsia" w:hAnsiTheme="minorEastAsia" w:hint="eastAsia"/>
                <w:bCs/>
                <w:sz w:val="24"/>
                <w:szCs w:val="24"/>
                <w:lang w:eastAsia="zh-CN"/>
              </w:rPr>
              <w:t>铜矿、</w:t>
            </w:r>
            <w:proofErr w:type="spellStart"/>
            <w:r w:rsidRPr="00CA569E">
              <w:rPr>
                <w:rFonts w:asciiTheme="minorEastAsia" w:hAnsiTheme="minorEastAsia" w:hint="eastAsia"/>
                <w:bCs/>
                <w:sz w:val="24"/>
                <w:szCs w:val="24"/>
                <w:lang w:eastAsia="zh-CN"/>
              </w:rPr>
              <w:t>Lonshi</w:t>
            </w:r>
            <w:proofErr w:type="spellEnd"/>
            <w:r w:rsidRPr="00CA569E">
              <w:rPr>
                <w:rFonts w:asciiTheme="minorEastAsia" w:hAnsiTheme="minorEastAsia" w:hint="eastAsia"/>
                <w:bCs/>
                <w:sz w:val="24"/>
                <w:szCs w:val="24"/>
                <w:lang w:eastAsia="zh-CN"/>
              </w:rPr>
              <w:t>铜矿、</w:t>
            </w:r>
            <w:proofErr w:type="spellStart"/>
            <w:r w:rsidRPr="00CA569E">
              <w:rPr>
                <w:rFonts w:asciiTheme="minorEastAsia" w:hAnsiTheme="minorEastAsia" w:hint="eastAsia"/>
                <w:bCs/>
                <w:sz w:val="24"/>
                <w:szCs w:val="24"/>
                <w:lang w:eastAsia="zh-CN"/>
              </w:rPr>
              <w:t>Lubambe</w:t>
            </w:r>
            <w:proofErr w:type="spellEnd"/>
            <w:r w:rsidRPr="00CA569E">
              <w:rPr>
                <w:rFonts w:asciiTheme="minorEastAsia" w:hAnsiTheme="minorEastAsia" w:hint="eastAsia"/>
                <w:bCs/>
                <w:sz w:val="24"/>
                <w:szCs w:val="24"/>
                <w:lang w:eastAsia="zh-CN"/>
              </w:rPr>
              <w:t>铜矿合计生产64,053.11吨铜金属（当量），销售68,227.35吨铜金属（当量）。</w:t>
            </w:r>
          </w:p>
          <w:p w14:paraId="01CCE0A3" w14:textId="77777777" w:rsidR="00CA569E" w:rsidRPr="00CA569E" w:rsidRDefault="00CA569E" w:rsidP="00CA569E">
            <w:pPr>
              <w:widowControl/>
              <w:spacing w:line="360" w:lineRule="auto"/>
              <w:ind w:firstLineChars="200" w:firstLine="482"/>
              <w:rPr>
                <w:rFonts w:asciiTheme="minorEastAsia" w:hAnsiTheme="minorEastAsia" w:hint="eastAsia"/>
                <w:b/>
                <w:sz w:val="24"/>
                <w:szCs w:val="24"/>
                <w:lang w:eastAsia="zh-CN"/>
              </w:rPr>
            </w:pPr>
            <w:r w:rsidRPr="00CA569E">
              <w:rPr>
                <w:rFonts w:asciiTheme="minorEastAsia" w:hAnsiTheme="minorEastAsia" w:hint="eastAsia"/>
                <w:b/>
                <w:sz w:val="24"/>
                <w:szCs w:val="24"/>
                <w:lang w:eastAsia="zh-CN"/>
              </w:rPr>
              <w:t xml:space="preserve">5、科马考铜矿地下采矿业务的情况 </w:t>
            </w:r>
          </w:p>
          <w:p w14:paraId="2BD26EA2" w14:textId="77777777" w:rsidR="00CA569E" w:rsidRPr="00CA569E" w:rsidRDefault="00CA569E" w:rsidP="00CA569E">
            <w:pPr>
              <w:widowControl/>
              <w:spacing w:line="360" w:lineRule="auto"/>
              <w:ind w:firstLineChars="200" w:firstLine="480"/>
              <w:rPr>
                <w:rFonts w:asciiTheme="minorEastAsia" w:hAnsiTheme="minorEastAsia" w:hint="eastAsia"/>
                <w:bCs/>
                <w:sz w:val="24"/>
                <w:szCs w:val="24"/>
                <w:lang w:eastAsia="zh-CN"/>
              </w:rPr>
            </w:pPr>
            <w:r w:rsidRPr="00CA569E">
              <w:rPr>
                <w:rFonts w:asciiTheme="minorEastAsia" w:hAnsiTheme="minorEastAsia" w:hint="eastAsia"/>
                <w:bCs/>
                <w:sz w:val="24"/>
                <w:szCs w:val="24"/>
                <w:lang w:eastAsia="zh-CN"/>
              </w:rPr>
              <w:t>科马考项目是金诚信在博茨瓦纳承接的首个矿山开发服务项目，合同总价款约8.05亿美元。详细情况已于2025年5月20日发布相关公告。</w:t>
            </w:r>
          </w:p>
          <w:p w14:paraId="42EB1725" w14:textId="77777777" w:rsidR="00CA569E" w:rsidRPr="00CA569E" w:rsidRDefault="00CA569E" w:rsidP="00CA569E">
            <w:pPr>
              <w:widowControl/>
              <w:spacing w:line="360" w:lineRule="auto"/>
              <w:ind w:firstLineChars="200" w:firstLine="482"/>
              <w:rPr>
                <w:rFonts w:asciiTheme="minorEastAsia" w:hAnsiTheme="minorEastAsia" w:hint="eastAsia"/>
                <w:b/>
                <w:sz w:val="24"/>
                <w:szCs w:val="24"/>
                <w:lang w:eastAsia="zh-CN"/>
              </w:rPr>
            </w:pPr>
            <w:r w:rsidRPr="00CA569E">
              <w:rPr>
                <w:rFonts w:asciiTheme="minorEastAsia" w:hAnsiTheme="minorEastAsia" w:hint="eastAsia"/>
                <w:b/>
                <w:sz w:val="24"/>
                <w:szCs w:val="24"/>
                <w:lang w:eastAsia="zh-CN"/>
              </w:rPr>
              <w:t xml:space="preserve">6、卡库拉矿段作业的情况 </w:t>
            </w:r>
          </w:p>
          <w:p w14:paraId="4FE3AC33" w14:textId="77777777" w:rsidR="00CA569E" w:rsidRPr="00CA569E" w:rsidRDefault="00CA569E" w:rsidP="00CA569E">
            <w:pPr>
              <w:widowControl/>
              <w:spacing w:line="360" w:lineRule="auto"/>
              <w:ind w:firstLineChars="200" w:firstLine="480"/>
              <w:rPr>
                <w:rFonts w:asciiTheme="minorEastAsia" w:hAnsiTheme="minorEastAsia" w:hint="eastAsia"/>
                <w:bCs/>
                <w:sz w:val="24"/>
                <w:szCs w:val="24"/>
                <w:lang w:eastAsia="zh-CN"/>
              </w:rPr>
            </w:pPr>
            <w:r w:rsidRPr="00CA569E">
              <w:rPr>
                <w:rFonts w:asciiTheme="minorEastAsia" w:hAnsiTheme="minorEastAsia" w:hint="eastAsia"/>
                <w:bCs/>
                <w:sz w:val="24"/>
                <w:szCs w:val="24"/>
                <w:lang w:eastAsia="zh-CN"/>
              </w:rPr>
              <w:t>2025 年 5 月 27 日公司发布《金诚信关于暂停卡莫阿-卡库拉铜矿地下采矿作业服务的公告》，公司承接部分地下采矿作业服务的刚果（金）卡莫阿-卡库拉铜矿的卡库拉矿段接连发生多次矿震，该矿段东区发生多处冒顶片帮，虽然公司承接的主要为卡库拉矿段西区地下采矿作业，但出于安全考虑，经与业主方充分沟通协商，公司对相关作业区域实施阶段性停工。</w:t>
            </w:r>
          </w:p>
          <w:p w14:paraId="6C51FE7C" w14:textId="77777777" w:rsidR="00CA569E" w:rsidRDefault="00CA569E" w:rsidP="00CA569E">
            <w:pPr>
              <w:widowControl/>
              <w:spacing w:line="360" w:lineRule="auto"/>
              <w:ind w:firstLineChars="200" w:firstLine="480"/>
              <w:rPr>
                <w:rFonts w:asciiTheme="minorEastAsia" w:hAnsiTheme="minorEastAsia" w:hint="eastAsia"/>
                <w:bCs/>
                <w:sz w:val="24"/>
                <w:szCs w:val="24"/>
                <w:lang w:eastAsia="zh-CN"/>
              </w:rPr>
            </w:pPr>
            <w:r w:rsidRPr="00CA569E">
              <w:rPr>
                <w:rFonts w:asciiTheme="minorEastAsia" w:hAnsiTheme="minorEastAsia" w:hint="eastAsia"/>
                <w:bCs/>
                <w:sz w:val="24"/>
                <w:szCs w:val="24"/>
                <w:lang w:eastAsia="zh-CN"/>
              </w:rPr>
              <w:t>2025年6月初以来，根据业主方的统一安排，公司积极调整生产方案，重新规划采掘生产作业区域，优化施工技术参数，逐步在卡库拉矿段西区的北侧和南侧恢复采矿作业，目前作业量正在逐步恢复。</w:t>
            </w:r>
          </w:p>
          <w:p w14:paraId="4A4A1958" w14:textId="58695298" w:rsidR="00587DFE" w:rsidRPr="00DF31A0" w:rsidRDefault="00DF31A0" w:rsidP="00DF31A0">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lastRenderedPageBreak/>
              <w:t>7、</w:t>
            </w:r>
            <w:r w:rsidR="00587DFE" w:rsidRPr="00DF31A0">
              <w:rPr>
                <w:rFonts w:asciiTheme="minorEastAsia" w:hAnsiTheme="minorEastAsia" w:hint="eastAsia"/>
                <w:b/>
                <w:sz w:val="24"/>
                <w:szCs w:val="24"/>
                <w:lang w:eastAsia="zh-CN"/>
              </w:rPr>
              <w:t>矿服业务的增长潜力</w:t>
            </w:r>
          </w:p>
          <w:p w14:paraId="17BB2EEC" w14:textId="77777777" w:rsidR="00587DFE" w:rsidRPr="00587DFE" w:rsidRDefault="00587DFE" w:rsidP="00587DFE">
            <w:pPr>
              <w:widowControl/>
              <w:spacing w:line="360" w:lineRule="auto"/>
              <w:ind w:firstLineChars="200" w:firstLine="480"/>
              <w:rPr>
                <w:rFonts w:asciiTheme="minorEastAsia" w:hAnsiTheme="minorEastAsia" w:hint="eastAsia"/>
                <w:bCs/>
                <w:sz w:val="24"/>
                <w:szCs w:val="24"/>
                <w:lang w:eastAsia="zh-CN"/>
              </w:rPr>
            </w:pPr>
            <w:r w:rsidRPr="00587DFE">
              <w:rPr>
                <w:rFonts w:asciiTheme="minorEastAsia" w:hAnsiTheme="minorEastAsia" w:hint="eastAsia"/>
                <w:bCs/>
                <w:sz w:val="24"/>
                <w:szCs w:val="24"/>
                <w:lang w:eastAsia="zh-CN"/>
              </w:rPr>
              <w:t xml:space="preserve"> 矿服的业务增量，一方面是新承接的项目；另一方面是存量业务的新增业务量，大矿山往往有很多矿体，项目也会分成多期开发。一期干到一定的阶段，二期会开始启动。面对复杂的地质条件和工艺，在现有服务商遇到瓶颈时，业主也有择优选择服务商的意愿。</w:t>
            </w:r>
          </w:p>
          <w:p w14:paraId="209CD2B6" w14:textId="4E82CB75" w:rsidR="00CA569E" w:rsidRPr="00CA569E" w:rsidRDefault="00B22260" w:rsidP="00CA569E">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8</w:t>
            </w:r>
            <w:r w:rsidR="00CA569E" w:rsidRPr="00CA569E">
              <w:rPr>
                <w:rFonts w:asciiTheme="minorEastAsia" w:hAnsiTheme="minorEastAsia" w:hint="eastAsia"/>
                <w:b/>
                <w:sz w:val="24"/>
                <w:szCs w:val="24"/>
                <w:lang w:eastAsia="zh-CN"/>
              </w:rPr>
              <w:t xml:space="preserve">、如何看待未来铜价走势 </w:t>
            </w:r>
          </w:p>
          <w:p w14:paraId="1C2F6A02" w14:textId="77777777" w:rsidR="00AE19E5" w:rsidRDefault="00CA569E" w:rsidP="00CA569E">
            <w:pPr>
              <w:widowControl/>
              <w:spacing w:line="360" w:lineRule="auto"/>
              <w:ind w:firstLineChars="200" w:firstLine="480"/>
              <w:rPr>
                <w:rFonts w:asciiTheme="minorEastAsia" w:hAnsiTheme="minorEastAsia" w:hint="eastAsia"/>
                <w:bCs/>
                <w:sz w:val="24"/>
                <w:szCs w:val="24"/>
                <w:lang w:eastAsia="zh-CN"/>
              </w:rPr>
            </w:pPr>
            <w:r w:rsidRPr="00CA569E">
              <w:rPr>
                <w:rFonts w:asciiTheme="minorEastAsia" w:hAnsiTheme="minorEastAsia" w:hint="eastAsia"/>
                <w:bCs/>
                <w:sz w:val="24"/>
                <w:szCs w:val="24"/>
                <w:lang w:eastAsia="zh-CN"/>
              </w:rPr>
              <w:t>从当前和未来一段时间看，随着全球铜矿平均品位的下降以及持续低位的资本开支，铜的供给量预计将受到限制，同时，全球新能源领域和部分新兴市场的基础设施建设对于铜可能会产生持续需求。在矿端扰动加剧、新能源需求韧性支撑价格的情况下，铜价在中长期紧平衡中维持震荡上行的趋势。</w:t>
            </w:r>
          </w:p>
          <w:p w14:paraId="5595F5B6" w14:textId="1FAB68D4" w:rsidR="00587DFE" w:rsidRPr="00DF31A0" w:rsidRDefault="00B22260" w:rsidP="00587DFE">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9</w:t>
            </w:r>
            <w:r w:rsidR="00587DFE" w:rsidRPr="00DF31A0">
              <w:rPr>
                <w:rFonts w:asciiTheme="minorEastAsia" w:hAnsiTheme="minorEastAsia" w:hint="eastAsia"/>
                <w:b/>
                <w:sz w:val="24"/>
                <w:szCs w:val="24"/>
                <w:lang w:eastAsia="zh-CN"/>
              </w:rPr>
              <w:t xml:space="preserve">、公司的机械化与无人化开采进展 </w:t>
            </w:r>
          </w:p>
          <w:p w14:paraId="75001E2E" w14:textId="77777777" w:rsidR="00587DFE" w:rsidRPr="00587DFE" w:rsidRDefault="00587DFE" w:rsidP="00587DFE">
            <w:pPr>
              <w:widowControl/>
              <w:spacing w:line="360" w:lineRule="auto"/>
              <w:ind w:firstLineChars="200" w:firstLine="480"/>
              <w:rPr>
                <w:rFonts w:asciiTheme="minorEastAsia" w:hAnsiTheme="minorEastAsia" w:hint="eastAsia"/>
                <w:sz w:val="24"/>
                <w:szCs w:val="24"/>
                <w:lang w:eastAsia="zh-CN"/>
              </w:rPr>
            </w:pPr>
            <w:r w:rsidRPr="00587DFE">
              <w:rPr>
                <w:rFonts w:asciiTheme="minorEastAsia" w:hAnsiTheme="minorEastAsia" w:hint="eastAsia"/>
                <w:sz w:val="24"/>
                <w:szCs w:val="24"/>
                <w:lang w:eastAsia="zh-CN"/>
              </w:rPr>
              <w:t xml:space="preserve">公司在业内率先倡导井下无轨设备机械化作业，以机械化生产替换人工作业、以自动化控制减少井下操作环节，落实“无人则安、人少则安”的安全生产理念，提升作业效率，同时也解决了人口红利下降所导致的劳动力资源不足问题。 </w:t>
            </w:r>
          </w:p>
          <w:p w14:paraId="2092CD77" w14:textId="77777777" w:rsidR="00587DFE" w:rsidRPr="00587DFE" w:rsidRDefault="00587DFE" w:rsidP="00587DFE">
            <w:pPr>
              <w:widowControl/>
              <w:spacing w:line="360" w:lineRule="auto"/>
              <w:ind w:firstLineChars="200" w:firstLine="480"/>
              <w:rPr>
                <w:rFonts w:asciiTheme="minorEastAsia" w:hAnsiTheme="minorEastAsia" w:hint="eastAsia"/>
                <w:sz w:val="24"/>
                <w:szCs w:val="24"/>
                <w:lang w:eastAsia="zh-CN"/>
              </w:rPr>
            </w:pPr>
            <w:r w:rsidRPr="00587DFE">
              <w:rPr>
                <w:rFonts w:asciiTheme="minorEastAsia" w:hAnsiTheme="minorEastAsia" w:hint="eastAsia"/>
                <w:sz w:val="24"/>
                <w:szCs w:val="24"/>
                <w:lang w:eastAsia="zh-CN"/>
              </w:rPr>
              <w:t>在地下无人智能化开采方面，公司顺应行业发展趋势，将矿山智能化开采研发置于重要位置，持续推进井下铲运机智能控制系统的优化和完善。</w:t>
            </w:r>
          </w:p>
          <w:p w14:paraId="3AE1005C" w14:textId="651C724E" w:rsidR="00587DFE" w:rsidRPr="00DF31A0" w:rsidRDefault="00B22260" w:rsidP="00DF31A0">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10</w:t>
            </w:r>
            <w:r w:rsidR="00587DFE" w:rsidRPr="00DF31A0">
              <w:rPr>
                <w:rFonts w:asciiTheme="minorEastAsia" w:hAnsiTheme="minorEastAsia" w:hint="eastAsia"/>
                <w:b/>
                <w:sz w:val="24"/>
                <w:szCs w:val="24"/>
                <w:lang w:eastAsia="zh-CN"/>
              </w:rPr>
              <w:t>、是否还有并购矿山的规划？</w:t>
            </w:r>
          </w:p>
          <w:p w14:paraId="509A5F2B" w14:textId="77777777" w:rsidR="00587DFE" w:rsidRDefault="00587DFE" w:rsidP="00587DFE">
            <w:pPr>
              <w:widowControl/>
              <w:spacing w:line="360" w:lineRule="auto"/>
              <w:ind w:firstLineChars="200" w:firstLine="480"/>
              <w:rPr>
                <w:rFonts w:asciiTheme="minorEastAsia" w:hAnsiTheme="minorEastAsia" w:hint="eastAsia"/>
                <w:sz w:val="24"/>
                <w:szCs w:val="24"/>
                <w:lang w:eastAsia="zh-CN"/>
              </w:rPr>
            </w:pPr>
            <w:r w:rsidRPr="00587DFE">
              <w:rPr>
                <w:rFonts w:asciiTheme="minorEastAsia" w:hAnsiTheme="minorEastAsia" w:hint="eastAsia"/>
                <w:sz w:val="24"/>
                <w:szCs w:val="24"/>
                <w:lang w:eastAsia="zh-CN"/>
              </w:rPr>
              <w:t>长远来看，关注体量与公司规模相匹配，且具备价值投资潜力的资源品种。现阶段，公司已有5个矿山资源项目，我们认为在已有资源项目中进行勘探来增储是更加经济的资源获取方式。</w:t>
            </w:r>
          </w:p>
          <w:p w14:paraId="228B144E" w14:textId="02AD8EAA" w:rsidR="00587DFE" w:rsidRPr="00DF31A0" w:rsidRDefault="00B22260" w:rsidP="00DF31A0">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t>11</w:t>
            </w:r>
            <w:r w:rsidR="00587DFE" w:rsidRPr="00DF31A0">
              <w:rPr>
                <w:rFonts w:asciiTheme="minorEastAsia" w:hAnsiTheme="minorEastAsia" w:hint="eastAsia"/>
                <w:b/>
                <w:sz w:val="24"/>
                <w:szCs w:val="24"/>
                <w:lang w:eastAsia="zh-CN"/>
              </w:rPr>
              <w:t>、海外用人模式</w:t>
            </w:r>
          </w:p>
          <w:p w14:paraId="4C96ABC8" w14:textId="77777777" w:rsidR="00587DFE" w:rsidRPr="00587DFE" w:rsidRDefault="00587DFE" w:rsidP="00587DFE">
            <w:pPr>
              <w:widowControl/>
              <w:spacing w:line="360" w:lineRule="auto"/>
              <w:ind w:firstLineChars="200" w:firstLine="480"/>
              <w:rPr>
                <w:rFonts w:asciiTheme="minorEastAsia" w:hAnsiTheme="minorEastAsia" w:hint="eastAsia"/>
                <w:sz w:val="24"/>
                <w:szCs w:val="24"/>
                <w:lang w:eastAsia="zh-CN"/>
              </w:rPr>
            </w:pPr>
            <w:r w:rsidRPr="00587DFE">
              <w:rPr>
                <w:rFonts w:asciiTheme="minorEastAsia" w:hAnsiTheme="minorEastAsia" w:hint="eastAsia"/>
                <w:sz w:val="24"/>
                <w:szCs w:val="24"/>
                <w:lang w:eastAsia="zh-CN"/>
              </w:rPr>
              <w:t>随着海外业务占比不断增加，公司采用自国内派出优秀管理、技术人员并与本土化用工政策相结合的人员配备方式，在严控技术质量标准的同时积极为项目东道国解决就业问题，为公司业务的持续良性发展，探索出了可复制的本土化人才培育模式。</w:t>
            </w:r>
          </w:p>
          <w:p w14:paraId="4B490161" w14:textId="70897433" w:rsidR="00587DFE" w:rsidRPr="00DF31A0" w:rsidRDefault="00B22260" w:rsidP="00DF31A0">
            <w:pPr>
              <w:widowControl/>
              <w:spacing w:line="360" w:lineRule="auto"/>
              <w:ind w:firstLineChars="200" w:firstLine="482"/>
              <w:rPr>
                <w:rFonts w:asciiTheme="minorEastAsia" w:hAnsiTheme="minorEastAsia" w:hint="eastAsia"/>
                <w:b/>
                <w:sz w:val="24"/>
                <w:szCs w:val="24"/>
                <w:lang w:eastAsia="zh-CN"/>
              </w:rPr>
            </w:pPr>
            <w:r>
              <w:rPr>
                <w:rFonts w:asciiTheme="minorEastAsia" w:hAnsiTheme="minorEastAsia" w:hint="eastAsia"/>
                <w:b/>
                <w:sz w:val="24"/>
                <w:szCs w:val="24"/>
                <w:lang w:eastAsia="zh-CN"/>
              </w:rPr>
              <w:lastRenderedPageBreak/>
              <w:t>12</w:t>
            </w:r>
            <w:r w:rsidR="00587DFE" w:rsidRPr="00DF31A0">
              <w:rPr>
                <w:rFonts w:asciiTheme="minorEastAsia" w:hAnsiTheme="minorEastAsia" w:hint="eastAsia"/>
                <w:b/>
                <w:sz w:val="24"/>
                <w:szCs w:val="24"/>
                <w:lang w:eastAsia="zh-CN"/>
              </w:rPr>
              <w:t>、矿服定价方式</w:t>
            </w:r>
          </w:p>
          <w:p w14:paraId="66470FA2" w14:textId="4AC6CB64" w:rsidR="00587DFE" w:rsidRPr="00587DFE" w:rsidRDefault="00587DFE" w:rsidP="00587DFE">
            <w:pPr>
              <w:widowControl/>
              <w:spacing w:line="360" w:lineRule="auto"/>
              <w:ind w:firstLineChars="200" w:firstLine="480"/>
              <w:rPr>
                <w:rFonts w:asciiTheme="minorEastAsia" w:hAnsiTheme="minorEastAsia" w:hint="eastAsia"/>
                <w:sz w:val="24"/>
                <w:szCs w:val="24"/>
                <w:lang w:eastAsia="zh-CN"/>
              </w:rPr>
            </w:pPr>
            <w:r w:rsidRPr="00587DFE">
              <w:rPr>
                <w:rFonts w:asciiTheme="minorEastAsia" w:hAnsiTheme="minorEastAsia" w:hint="eastAsia"/>
                <w:sz w:val="24"/>
                <w:szCs w:val="24"/>
                <w:lang w:eastAsia="zh-CN"/>
              </w:rPr>
              <w:t>矿服业务的定价模式为成本加成，是根据矿山的资源禀赋、开采的技术难度等，按照行业普遍的作业效率、作业成本作为参考来进行定价。</w:t>
            </w:r>
          </w:p>
        </w:tc>
      </w:tr>
    </w:tbl>
    <w:p w14:paraId="7135E878" w14:textId="77777777" w:rsidR="00F01EA1" w:rsidRDefault="00F01EA1" w:rsidP="00680CBC">
      <w:pPr>
        <w:widowControl/>
        <w:jc w:val="left"/>
        <w:rPr>
          <w:rFonts w:asciiTheme="minorEastAsia" w:hAnsiTheme="minorEastAsia" w:hint="eastAsia"/>
          <w:sz w:val="24"/>
          <w:szCs w:val="24"/>
        </w:rPr>
      </w:pPr>
    </w:p>
    <w:sectPr w:rsidR="00F01EA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FAE6" w14:textId="77777777" w:rsidR="00875F70" w:rsidRDefault="00875F70">
      <w:r>
        <w:separator/>
      </w:r>
    </w:p>
  </w:endnote>
  <w:endnote w:type="continuationSeparator" w:id="0">
    <w:p w14:paraId="0B7A47E0" w14:textId="77777777" w:rsidR="00875F70" w:rsidRDefault="0087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577F" w14:textId="77777777" w:rsidR="00875F70" w:rsidRDefault="00875F70">
      <w:r>
        <w:separator/>
      </w:r>
    </w:p>
  </w:footnote>
  <w:footnote w:type="continuationSeparator" w:id="0">
    <w:p w14:paraId="75EA29F5" w14:textId="77777777" w:rsidR="00875F70" w:rsidRDefault="00875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E672" w14:textId="77777777" w:rsidR="00F01EA1" w:rsidRDefault="00551C9C">
    <w:pPr>
      <w:tabs>
        <w:tab w:val="left" w:pos="1440"/>
      </w:tabs>
      <w:spacing w:beforeLines="50" w:before="120" w:afterLines="50" w:after="120"/>
      <w:ind w:right="480"/>
      <w:rPr>
        <w:rFonts w:ascii="Arial" w:hAnsi="Arial" w:cs="Arial"/>
        <w:sz w:val="20"/>
        <w:szCs w:val="28"/>
      </w:rPr>
    </w:pPr>
    <w:r>
      <w:rPr>
        <w:rFonts w:ascii="Arial" w:hAnsi="Arial" w:cs="Arial"/>
        <w:sz w:val="20"/>
        <w:szCs w:val="28"/>
      </w:rPr>
      <w:t>证券代码：</w:t>
    </w:r>
    <w:r>
      <w:rPr>
        <w:rFonts w:ascii="Arial" w:hAnsi="Arial" w:cs="Arial"/>
        <w:sz w:val="20"/>
        <w:szCs w:val="28"/>
      </w:rPr>
      <w:t xml:space="preserve">603979                                       </w:t>
    </w:r>
    <w:r>
      <w:rPr>
        <w:rFonts w:ascii="Arial" w:hAnsi="Arial" w:cs="Arial"/>
        <w:sz w:val="20"/>
        <w:szCs w:val="28"/>
      </w:rPr>
      <w:t>证券简称：金诚信</w:t>
    </w:r>
  </w:p>
  <w:p w14:paraId="012B6DE6" w14:textId="77777777" w:rsidR="00F01EA1" w:rsidRDefault="008351FE">
    <w:pPr>
      <w:tabs>
        <w:tab w:val="left" w:pos="1440"/>
      </w:tabs>
      <w:spacing w:beforeLines="50" w:before="120" w:afterLines="50" w:after="120"/>
      <w:ind w:right="480"/>
      <w:rPr>
        <w:rFonts w:ascii="Arial" w:hAnsi="Arial" w:cs="Arial"/>
        <w:sz w:val="20"/>
        <w:szCs w:val="28"/>
      </w:rPr>
    </w:pPr>
    <w:r>
      <w:rPr>
        <w:rFonts w:ascii="Arial" w:hAnsi="Arial" w:cs="Arial" w:hint="eastAsia"/>
        <w:sz w:val="20"/>
        <w:szCs w:val="28"/>
      </w:rPr>
      <w:t>转债</w:t>
    </w:r>
    <w:r w:rsidR="00551C9C">
      <w:rPr>
        <w:rFonts w:ascii="Arial" w:hAnsi="Arial" w:cs="Arial"/>
        <w:sz w:val="20"/>
        <w:szCs w:val="28"/>
      </w:rPr>
      <w:t>代码：</w:t>
    </w:r>
    <w:r w:rsidR="00551C9C">
      <w:rPr>
        <w:rFonts w:ascii="Arial" w:hAnsi="Arial" w:cs="Arial"/>
        <w:sz w:val="20"/>
        <w:szCs w:val="28"/>
      </w:rPr>
      <w:t xml:space="preserve">113615                                       </w:t>
    </w:r>
    <w:r>
      <w:rPr>
        <w:rFonts w:ascii="Arial" w:hAnsi="Arial" w:cs="Arial" w:hint="eastAsia"/>
        <w:sz w:val="20"/>
        <w:szCs w:val="28"/>
      </w:rPr>
      <w:t>转债</w:t>
    </w:r>
    <w:r w:rsidR="00551C9C">
      <w:rPr>
        <w:rFonts w:ascii="Arial" w:hAnsi="Arial" w:cs="Arial"/>
        <w:sz w:val="20"/>
        <w:szCs w:val="28"/>
      </w:rPr>
      <w:t>简称：金诚转债</w:t>
    </w:r>
  </w:p>
  <w:p w14:paraId="7A23B2CB" w14:textId="77777777" w:rsidR="008351FE" w:rsidRDefault="008351FE">
    <w:pPr>
      <w:tabs>
        <w:tab w:val="left" w:pos="1440"/>
      </w:tabs>
      <w:spacing w:beforeLines="50" w:before="120" w:afterLines="50" w:after="120"/>
      <w:ind w:right="480"/>
      <w:rPr>
        <w:rFonts w:ascii="Arial" w:hAnsi="Arial" w:cs="Arial"/>
        <w:sz w:val="20"/>
        <w:szCs w:val="28"/>
      </w:rPr>
    </w:pPr>
    <w:r>
      <w:rPr>
        <w:rFonts w:ascii="Arial" w:hAnsi="Arial" w:cs="Arial"/>
        <w:sz w:val="20"/>
        <w:szCs w:val="28"/>
      </w:rPr>
      <w:t>转债代码：</w:t>
    </w:r>
    <w:r>
      <w:rPr>
        <w:rFonts w:ascii="Arial" w:hAnsi="Arial" w:cs="Arial" w:hint="eastAsia"/>
        <w:sz w:val="20"/>
        <w:szCs w:val="28"/>
      </w:rPr>
      <w:t>1</w:t>
    </w:r>
    <w:r>
      <w:rPr>
        <w:rFonts w:ascii="Arial" w:hAnsi="Arial" w:cs="Arial"/>
        <w:sz w:val="20"/>
        <w:szCs w:val="28"/>
      </w:rPr>
      <w:t xml:space="preserve">13699                                       </w:t>
    </w:r>
    <w:r>
      <w:rPr>
        <w:rFonts w:ascii="Arial" w:hAnsi="Arial" w:cs="Arial"/>
        <w:sz w:val="20"/>
        <w:szCs w:val="28"/>
      </w:rPr>
      <w:t>转债简称：金</w:t>
    </w:r>
    <w:r>
      <w:rPr>
        <w:rFonts w:ascii="Arial" w:hAnsi="Arial" w:cs="Arial" w:hint="eastAsia"/>
        <w:sz w:val="20"/>
        <w:szCs w:val="28"/>
      </w:rPr>
      <w:t>2</w:t>
    </w:r>
    <w:r>
      <w:rPr>
        <w:rFonts w:ascii="Arial" w:hAnsi="Arial" w:cs="Arial"/>
        <w:sz w:val="20"/>
        <w:szCs w:val="28"/>
      </w:rPr>
      <w:t>5</w:t>
    </w:r>
    <w:r>
      <w:rPr>
        <w:rFonts w:ascii="Arial" w:hAnsi="Arial" w:cs="Arial"/>
        <w:sz w:val="20"/>
        <w:szCs w:val="28"/>
      </w:rPr>
      <w:t>转债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43A309"/>
    <w:multiLevelType w:val="singleLevel"/>
    <w:tmpl w:val="CF43A309"/>
    <w:lvl w:ilvl="0">
      <w:start w:val="5"/>
      <w:numFmt w:val="decimal"/>
      <w:suff w:val="nothing"/>
      <w:lvlText w:val="%1、"/>
      <w:lvlJc w:val="left"/>
      <w:pPr>
        <w:ind w:left="0" w:firstLine="0"/>
      </w:pPr>
    </w:lvl>
  </w:abstractNum>
  <w:abstractNum w:abstractNumId="1" w15:restartNumberingAfterBreak="0">
    <w:nsid w:val="129D413C"/>
    <w:multiLevelType w:val="hybridMultilevel"/>
    <w:tmpl w:val="6EDA183A"/>
    <w:lvl w:ilvl="0" w:tplc="5AB8E06E">
      <w:start w:val="1"/>
      <w:numFmt w:val="decimal"/>
      <w:lvlText w:val="%1、"/>
      <w:lvlJc w:val="left"/>
      <w:pPr>
        <w:ind w:left="872" w:hanging="39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6AA6F2C"/>
    <w:multiLevelType w:val="multilevel"/>
    <w:tmpl w:val="26AA6F2C"/>
    <w:lvl w:ilvl="0">
      <w:start w:val="1"/>
      <w:numFmt w:val="bullet"/>
      <w:suff w:val="nothing"/>
      <w:lvlText w:val=""/>
      <w:lvlJc w:val="left"/>
      <w:pPr>
        <w:ind w:left="532" w:hanging="420"/>
      </w:pPr>
      <w:rPr>
        <w:rFonts w:ascii="Wingdings" w:hAnsi="Wingdings" w:hint="default"/>
      </w:rPr>
    </w:lvl>
    <w:lvl w:ilvl="1">
      <w:start w:val="1"/>
      <w:numFmt w:val="bullet"/>
      <w:lvlText w:val=""/>
      <w:lvlJc w:val="left"/>
      <w:pPr>
        <w:ind w:left="952" w:hanging="420"/>
      </w:pPr>
      <w:rPr>
        <w:rFonts w:ascii="Wingdings" w:hAnsi="Wingdings" w:hint="default"/>
      </w:rPr>
    </w:lvl>
    <w:lvl w:ilvl="2">
      <w:start w:val="1"/>
      <w:numFmt w:val="bullet"/>
      <w:lvlText w:val=""/>
      <w:lvlJc w:val="left"/>
      <w:pPr>
        <w:ind w:left="1372" w:hanging="420"/>
      </w:pPr>
      <w:rPr>
        <w:rFonts w:ascii="Wingdings" w:hAnsi="Wingdings" w:hint="default"/>
      </w:rPr>
    </w:lvl>
    <w:lvl w:ilvl="3">
      <w:start w:val="1"/>
      <w:numFmt w:val="bullet"/>
      <w:lvlText w:val=""/>
      <w:lvlJc w:val="left"/>
      <w:pPr>
        <w:ind w:left="1792" w:hanging="420"/>
      </w:pPr>
      <w:rPr>
        <w:rFonts w:ascii="Wingdings" w:hAnsi="Wingdings" w:hint="default"/>
      </w:rPr>
    </w:lvl>
    <w:lvl w:ilvl="4">
      <w:start w:val="1"/>
      <w:numFmt w:val="bullet"/>
      <w:lvlText w:val=""/>
      <w:lvlJc w:val="left"/>
      <w:pPr>
        <w:ind w:left="2212" w:hanging="420"/>
      </w:pPr>
      <w:rPr>
        <w:rFonts w:ascii="Wingdings" w:hAnsi="Wingdings" w:hint="default"/>
      </w:rPr>
    </w:lvl>
    <w:lvl w:ilvl="5">
      <w:start w:val="1"/>
      <w:numFmt w:val="bullet"/>
      <w:lvlText w:val=""/>
      <w:lvlJc w:val="left"/>
      <w:pPr>
        <w:ind w:left="2632" w:hanging="420"/>
      </w:pPr>
      <w:rPr>
        <w:rFonts w:ascii="Wingdings" w:hAnsi="Wingdings" w:hint="default"/>
      </w:rPr>
    </w:lvl>
    <w:lvl w:ilvl="6">
      <w:start w:val="1"/>
      <w:numFmt w:val="bullet"/>
      <w:lvlText w:val=""/>
      <w:lvlJc w:val="left"/>
      <w:pPr>
        <w:ind w:left="3052" w:hanging="420"/>
      </w:pPr>
      <w:rPr>
        <w:rFonts w:ascii="Wingdings" w:hAnsi="Wingdings" w:hint="default"/>
      </w:rPr>
    </w:lvl>
    <w:lvl w:ilvl="7">
      <w:start w:val="1"/>
      <w:numFmt w:val="bullet"/>
      <w:lvlText w:val=""/>
      <w:lvlJc w:val="left"/>
      <w:pPr>
        <w:ind w:left="3472" w:hanging="420"/>
      </w:pPr>
      <w:rPr>
        <w:rFonts w:ascii="Wingdings" w:hAnsi="Wingdings" w:hint="default"/>
      </w:rPr>
    </w:lvl>
    <w:lvl w:ilvl="8">
      <w:start w:val="1"/>
      <w:numFmt w:val="bullet"/>
      <w:lvlText w:val=""/>
      <w:lvlJc w:val="left"/>
      <w:pPr>
        <w:ind w:left="3892" w:hanging="420"/>
      </w:pPr>
      <w:rPr>
        <w:rFonts w:ascii="Wingdings" w:hAnsi="Wingdings" w:hint="default"/>
      </w:rPr>
    </w:lvl>
  </w:abstractNum>
  <w:abstractNum w:abstractNumId="3" w15:restartNumberingAfterBreak="0">
    <w:nsid w:val="3BF72278"/>
    <w:multiLevelType w:val="hybridMultilevel"/>
    <w:tmpl w:val="7FCAF818"/>
    <w:lvl w:ilvl="0" w:tplc="5E2AD538">
      <w:start w:val="7"/>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A850976"/>
    <w:multiLevelType w:val="multilevel"/>
    <w:tmpl w:val="4A850976"/>
    <w:lvl w:ilvl="0">
      <w:start w:val="1"/>
      <w:numFmt w:val="decimal"/>
      <w:lvlText w:val="%1、"/>
      <w:lvlJc w:val="left"/>
      <w:pPr>
        <w:ind w:left="1322" w:hanging="72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16cid:durableId="2125726828">
    <w:abstractNumId w:val="2"/>
  </w:num>
  <w:num w:numId="2" w16cid:durableId="762143862">
    <w:abstractNumId w:val="4"/>
  </w:num>
  <w:num w:numId="3" w16cid:durableId="246689888">
    <w:abstractNumId w:val="1"/>
  </w:num>
  <w:num w:numId="4" w16cid:durableId="1623611914">
    <w:abstractNumId w:val="0"/>
    <w:lvlOverride w:ilvl="0">
      <w:startOverride w:val="5"/>
    </w:lvlOverride>
  </w:num>
  <w:num w:numId="5" w16cid:durableId="331294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4MzdmYmI5ZjQ3OTkyNjllYzJjYjk3ZWIwOWI1YzkifQ=="/>
  </w:docVars>
  <w:rsids>
    <w:rsidRoot w:val="001F3D24"/>
    <w:rsid w:val="00000B9F"/>
    <w:rsid w:val="000044B2"/>
    <w:rsid w:val="00005A90"/>
    <w:rsid w:val="00011F6D"/>
    <w:rsid w:val="00015DAA"/>
    <w:rsid w:val="00016BF2"/>
    <w:rsid w:val="00022273"/>
    <w:rsid w:val="00024397"/>
    <w:rsid w:val="000332E1"/>
    <w:rsid w:val="00034225"/>
    <w:rsid w:val="00042C19"/>
    <w:rsid w:val="0004682A"/>
    <w:rsid w:val="00047F88"/>
    <w:rsid w:val="00050F7C"/>
    <w:rsid w:val="00051091"/>
    <w:rsid w:val="00056A6B"/>
    <w:rsid w:val="00061A2C"/>
    <w:rsid w:val="000640F2"/>
    <w:rsid w:val="00065465"/>
    <w:rsid w:val="00066834"/>
    <w:rsid w:val="000723FE"/>
    <w:rsid w:val="00074576"/>
    <w:rsid w:val="00076BCC"/>
    <w:rsid w:val="000867DF"/>
    <w:rsid w:val="000923C5"/>
    <w:rsid w:val="000B22BB"/>
    <w:rsid w:val="000B45DA"/>
    <w:rsid w:val="000C59C0"/>
    <w:rsid w:val="000D1D6D"/>
    <w:rsid w:val="000D2006"/>
    <w:rsid w:val="000D2803"/>
    <w:rsid w:val="000E1DAB"/>
    <w:rsid w:val="000E2F2F"/>
    <w:rsid w:val="000E66D8"/>
    <w:rsid w:val="000F0957"/>
    <w:rsid w:val="000F3A0A"/>
    <w:rsid w:val="000F5B5B"/>
    <w:rsid w:val="000F5C17"/>
    <w:rsid w:val="00100F7E"/>
    <w:rsid w:val="00102B82"/>
    <w:rsid w:val="0010343C"/>
    <w:rsid w:val="00106CEA"/>
    <w:rsid w:val="0011073D"/>
    <w:rsid w:val="0011195B"/>
    <w:rsid w:val="00113A22"/>
    <w:rsid w:val="00113CBC"/>
    <w:rsid w:val="00115DA9"/>
    <w:rsid w:val="001215B2"/>
    <w:rsid w:val="001262DD"/>
    <w:rsid w:val="00127FBD"/>
    <w:rsid w:val="001329AF"/>
    <w:rsid w:val="00132BA1"/>
    <w:rsid w:val="00132F99"/>
    <w:rsid w:val="0014384C"/>
    <w:rsid w:val="00155FFD"/>
    <w:rsid w:val="00157682"/>
    <w:rsid w:val="00157DAD"/>
    <w:rsid w:val="0016124A"/>
    <w:rsid w:val="00162D58"/>
    <w:rsid w:val="0016491F"/>
    <w:rsid w:val="00172045"/>
    <w:rsid w:val="0017241B"/>
    <w:rsid w:val="001730A2"/>
    <w:rsid w:val="00174D1C"/>
    <w:rsid w:val="001759F1"/>
    <w:rsid w:val="001865BD"/>
    <w:rsid w:val="00190F17"/>
    <w:rsid w:val="00192555"/>
    <w:rsid w:val="00192D99"/>
    <w:rsid w:val="00194807"/>
    <w:rsid w:val="00196B73"/>
    <w:rsid w:val="001A1C4C"/>
    <w:rsid w:val="001A5434"/>
    <w:rsid w:val="001A6EDB"/>
    <w:rsid w:val="001B3497"/>
    <w:rsid w:val="001B660B"/>
    <w:rsid w:val="001C0FFC"/>
    <w:rsid w:val="001D110D"/>
    <w:rsid w:val="001D2148"/>
    <w:rsid w:val="001D2ACE"/>
    <w:rsid w:val="001D301F"/>
    <w:rsid w:val="001D4975"/>
    <w:rsid w:val="001E69F7"/>
    <w:rsid w:val="001F1DD4"/>
    <w:rsid w:val="001F3D24"/>
    <w:rsid w:val="00200985"/>
    <w:rsid w:val="00200D40"/>
    <w:rsid w:val="002013F4"/>
    <w:rsid w:val="00202713"/>
    <w:rsid w:val="002048C6"/>
    <w:rsid w:val="00217632"/>
    <w:rsid w:val="00220C67"/>
    <w:rsid w:val="002228E5"/>
    <w:rsid w:val="00226671"/>
    <w:rsid w:val="00226DF0"/>
    <w:rsid w:val="00231F83"/>
    <w:rsid w:val="00237F9E"/>
    <w:rsid w:val="002408D1"/>
    <w:rsid w:val="00246553"/>
    <w:rsid w:val="002530DB"/>
    <w:rsid w:val="00254649"/>
    <w:rsid w:val="0025747C"/>
    <w:rsid w:val="00260A44"/>
    <w:rsid w:val="00262D1B"/>
    <w:rsid w:val="002649DC"/>
    <w:rsid w:val="0026560E"/>
    <w:rsid w:val="00267111"/>
    <w:rsid w:val="0027244C"/>
    <w:rsid w:val="002738DA"/>
    <w:rsid w:val="00282FA9"/>
    <w:rsid w:val="00285AEC"/>
    <w:rsid w:val="0028603A"/>
    <w:rsid w:val="00292936"/>
    <w:rsid w:val="0029417C"/>
    <w:rsid w:val="002A5535"/>
    <w:rsid w:val="002B0E73"/>
    <w:rsid w:val="002C14E6"/>
    <w:rsid w:val="002C2C1C"/>
    <w:rsid w:val="002C3A6D"/>
    <w:rsid w:val="002D20B1"/>
    <w:rsid w:val="002E4E80"/>
    <w:rsid w:val="002E559D"/>
    <w:rsid w:val="002F18C9"/>
    <w:rsid w:val="002F4534"/>
    <w:rsid w:val="002F58B3"/>
    <w:rsid w:val="002F5B59"/>
    <w:rsid w:val="002F6F95"/>
    <w:rsid w:val="00301F13"/>
    <w:rsid w:val="0030314F"/>
    <w:rsid w:val="003037F6"/>
    <w:rsid w:val="00310262"/>
    <w:rsid w:val="00311EAC"/>
    <w:rsid w:val="00315190"/>
    <w:rsid w:val="00321F72"/>
    <w:rsid w:val="00331F0C"/>
    <w:rsid w:val="0034001F"/>
    <w:rsid w:val="00355FD7"/>
    <w:rsid w:val="003566BA"/>
    <w:rsid w:val="00361FFE"/>
    <w:rsid w:val="003622B8"/>
    <w:rsid w:val="003624DF"/>
    <w:rsid w:val="003629D1"/>
    <w:rsid w:val="00367D04"/>
    <w:rsid w:val="00367DB9"/>
    <w:rsid w:val="003702C6"/>
    <w:rsid w:val="00373D14"/>
    <w:rsid w:val="00376AE7"/>
    <w:rsid w:val="003779D3"/>
    <w:rsid w:val="003805CF"/>
    <w:rsid w:val="003844B6"/>
    <w:rsid w:val="0039221B"/>
    <w:rsid w:val="00396443"/>
    <w:rsid w:val="003A142F"/>
    <w:rsid w:val="003A2483"/>
    <w:rsid w:val="003B1E7C"/>
    <w:rsid w:val="003B20D4"/>
    <w:rsid w:val="003C0A37"/>
    <w:rsid w:val="003C4C29"/>
    <w:rsid w:val="003D037B"/>
    <w:rsid w:val="003D59D3"/>
    <w:rsid w:val="003D609A"/>
    <w:rsid w:val="003E4D93"/>
    <w:rsid w:val="003E4E58"/>
    <w:rsid w:val="003E5568"/>
    <w:rsid w:val="003F086D"/>
    <w:rsid w:val="003F223C"/>
    <w:rsid w:val="003F3B5E"/>
    <w:rsid w:val="004011DD"/>
    <w:rsid w:val="00402C59"/>
    <w:rsid w:val="0040421F"/>
    <w:rsid w:val="004072E8"/>
    <w:rsid w:val="004126A7"/>
    <w:rsid w:val="00412899"/>
    <w:rsid w:val="0041457D"/>
    <w:rsid w:val="004324A5"/>
    <w:rsid w:val="00436D6C"/>
    <w:rsid w:val="00442DCD"/>
    <w:rsid w:val="00445F40"/>
    <w:rsid w:val="00456942"/>
    <w:rsid w:val="00460C13"/>
    <w:rsid w:val="0046579D"/>
    <w:rsid w:val="00465E6D"/>
    <w:rsid w:val="00471214"/>
    <w:rsid w:val="00474481"/>
    <w:rsid w:val="00476A45"/>
    <w:rsid w:val="00482E79"/>
    <w:rsid w:val="0048337B"/>
    <w:rsid w:val="00486345"/>
    <w:rsid w:val="004906DE"/>
    <w:rsid w:val="00493958"/>
    <w:rsid w:val="00495D65"/>
    <w:rsid w:val="004A699A"/>
    <w:rsid w:val="004B2252"/>
    <w:rsid w:val="004B6C64"/>
    <w:rsid w:val="004C06FE"/>
    <w:rsid w:val="004C2EF9"/>
    <w:rsid w:val="004D0AE9"/>
    <w:rsid w:val="004D1E8C"/>
    <w:rsid w:val="004D4CB1"/>
    <w:rsid w:val="004D7E3E"/>
    <w:rsid w:val="004E3A32"/>
    <w:rsid w:val="004E482C"/>
    <w:rsid w:val="004E6B82"/>
    <w:rsid w:val="004F1288"/>
    <w:rsid w:val="004F1485"/>
    <w:rsid w:val="004F1642"/>
    <w:rsid w:val="005030E3"/>
    <w:rsid w:val="00511E24"/>
    <w:rsid w:val="00513606"/>
    <w:rsid w:val="00521952"/>
    <w:rsid w:val="00525465"/>
    <w:rsid w:val="00526A32"/>
    <w:rsid w:val="00530FA1"/>
    <w:rsid w:val="00531186"/>
    <w:rsid w:val="00540C52"/>
    <w:rsid w:val="0054117C"/>
    <w:rsid w:val="00541608"/>
    <w:rsid w:val="00544AB6"/>
    <w:rsid w:val="00547C0D"/>
    <w:rsid w:val="00551C9C"/>
    <w:rsid w:val="005523F9"/>
    <w:rsid w:val="00553554"/>
    <w:rsid w:val="00555AB4"/>
    <w:rsid w:val="00556A08"/>
    <w:rsid w:val="0055738A"/>
    <w:rsid w:val="00571CA2"/>
    <w:rsid w:val="00573838"/>
    <w:rsid w:val="0057472D"/>
    <w:rsid w:val="00575E92"/>
    <w:rsid w:val="00577E5A"/>
    <w:rsid w:val="00582003"/>
    <w:rsid w:val="005832C0"/>
    <w:rsid w:val="00583702"/>
    <w:rsid w:val="005840D3"/>
    <w:rsid w:val="00587DFE"/>
    <w:rsid w:val="00596061"/>
    <w:rsid w:val="00597676"/>
    <w:rsid w:val="005A66D7"/>
    <w:rsid w:val="005A6AB7"/>
    <w:rsid w:val="005B2DC9"/>
    <w:rsid w:val="005B4018"/>
    <w:rsid w:val="005C584F"/>
    <w:rsid w:val="005D2E82"/>
    <w:rsid w:val="005D37A0"/>
    <w:rsid w:val="005D522B"/>
    <w:rsid w:val="005D7147"/>
    <w:rsid w:val="005E3131"/>
    <w:rsid w:val="005E530E"/>
    <w:rsid w:val="006017C8"/>
    <w:rsid w:val="00603C1A"/>
    <w:rsid w:val="00606323"/>
    <w:rsid w:val="00606C53"/>
    <w:rsid w:val="00615C15"/>
    <w:rsid w:val="00616DAE"/>
    <w:rsid w:val="006173BB"/>
    <w:rsid w:val="0062265A"/>
    <w:rsid w:val="006230FA"/>
    <w:rsid w:val="006358A5"/>
    <w:rsid w:val="00636154"/>
    <w:rsid w:val="006500A5"/>
    <w:rsid w:val="0065104F"/>
    <w:rsid w:val="006532FB"/>
    <w:rsid w:val="00655C8D"/>
    <w:rsid w:val="00662BBC"/>
    <w:rsid w:val="00665866"/>
    <w:rsid w:val="0066614E"/>
    <w:rsid w:val="00673C42"/>
    <w:rsid w:val="006761B9"/>
    <w:rsid w:val="00676568"/>
    <w:rsid w:val="00680CBC"/>
    <w:rsid w:val="006841E4"/>
    <w:rsid w:val="00684215"/>
    <w:rsid w:val="00684228"/>
    <w:rsid w:val="006852A4"/>
    <w:rsid w:val="00691030"/>
    <w:rsid w:val="00691BD6"/>
    <w:rsid w:val="006927AD"/>
    <w:rsid w:val="006A0023"/>
    <w:rsid w:val="006A2B21"/>
    <w:rsid w:val="006A6CC7"/>
    <w:rsid w:val="006B40F1"/>
    <w:rsid w:val="006C15B5"/>
    <w:rsid w:val="006C1A31"/>
    <w:rsid w:val="006D0991"/>
    <w:rsid w:val="006D499B"/>
    <w:rsid w:val="006D7F9B"/>
    <w:rsid w:val="006E356D"/>
    <w:rsid w:val="006E49EC"/>
    <w:rsid w:val="006E4E80"/>
    <w:rsid w:val="006E5B7C"/>
    <w:rsid w:val="006F025D"/>
    <w:rsid w:val="006F131E"/>
    <w:rsid w:val="006F5BE6"/>
    <w:rsid w:val="006F6482"/>
    <w:rsid w:val="007040AA"/>
    <w:rsid w:val="00705EF8"/>
    <w:rsid w:val="00705F62"/>
    <w:rsid w:val="00710DC1"/>
    <w:rsid w:val="00717C02"/>
    <w:rsid w:val="007210C6"/>
    <w:rsid w:val="00726132"/>
    <w:rsid w:val="00731B71"/>
    <w:rsid w:val="007343A5"/>
    <w:rsid w:val="0073634A"/>
    <w:rsid w:val="00737BC4"/>
    <w:rsid w:val="007412A9"/>
    <w:rsid w:val="00743746"/>
    <w:rsid w:val="00744678"/>
    <w:rsid w:val="007511C8"/>
    <w:rsid w:val="00751560"/>
    <w:rsid w:val="00754844"/>
    <w:rsid w:val="0075595B"/>
    <w:rsid w:val="00755B97"/>
    <w:rsid w:val="007633C4"/>
    <w:rsid w:val="00766280"/>
    <w:rsid w:val="007735E3"/>
    <w:rsid w:val="00775880"/>
    <w:rsid w:val="00780598"/>
    <w:rsid w:val="007838AB"/>
    <w:rsid w:val="00787608"/>
    <w:rsid w:val="00792C2C"/>
    <w:rsid w:val="00796FF1"/>
    <w:rsid w:val="007A37EE"/>
    <w:rsid w:val="007B4371"/>
    <w:rsid w:val="007C1746"/>
    <w:rsid w:val="007C55EE"/>
    <w:rsid w:val="007C6CC1"/>
    <w:rsid w:val="007C6D09"/>
    <w:rsid w:val="007D0CC4"/>
    <w:rsid w:val="007E3FFB"/>
    <w:rsid w:val="007F1554"/>
    <w:rsid w:val="00800934"/>
    <w:rsid w:val="008033D9"/>
    <w:rsid w:val="00805D59"/>
    <w:rsid w:val="00814B28"/>
    <w:rsid w:val="00814E60"/>
    <w:rsid w:val="008241F5"/>
    <w:rsid w:val="00824C56"/>
    <w:rsid w:val="008351FE"/>
    <w:rsid w:val="00851DE8"/>
    <w:rsid w:val="008579DC"/>
    <w:rsid w:val="00875F70"/>
    <w:rsid w:val="0088101C"/>
    <w:rsid w:val="008831FC"/>
    <w:rsid w:val="008914A5"/>
    <w:rsid w:val="00895496"/>
    <w:rsid w:val="008A0C7A"/>
    <w:rsid w:val="008A1802"/>
    <w:rsid w:val="008A463C"/>
    <w:rsid w:val="008A64FA"/>
    <w:rsid w:val="008B01F8"/>
    <w:rsid w:val="008B1EC5"/>
    <w:rsid w:val="008C0E58"/>
    <w:rsid w:val="008C27F1"/>
    <w:rsid w:val="008C35F9"/>
    <w:rsid w:val="008E18F2"/>
    <w:rsid w:val="008E2A56"/>
    <w:rsid w:val="008E7851"/>
    <w:rsid w:val="008F3344"/>
    <w:rsid w:val="008F7019"/>
    <w:rsid w:val="008F7D80"/>
    <w:rsid w:val="0090109E"/>
    <w:rsid w:val="0090169F"/>
    <w:rsid w:val="00903674"/>
    <w:rsid w:val="00905B8B"/>
    <w:rsid w:val="0092382D"/>
    <w:rsid w:val="00937BD0"/>
    <w:rsid w:val="00942052"/>
    <w:rsid w:val="009428E2"/>
    <w:rsid w:val="00942C8F"/>
    <w:rsid w:val="009446EE"/>
    <w:rsid w:val="009449AA"/>
    <w:rsid w:val="00945BA2"/>
    <w:rsid w:val="00945F65"/>
    <w:rsid w:val="0095159A"/>
    <w:rsid w:val="00956D4C"/>
    <w:rsid w:val="009576D3"/>
    <w:rsid w:val="0096292A"/>
    <w:rsid w:val="00964A9E"/>
    <w:rsid w:val="0096626C"/>
    <w:rsid w:val="00967007"/>
    <w:rsid w:val="0096743B"/>
    <w:rsid w:val="00970E12"/>
    <w:rsid w:val="00974466"/>
    <w:rsid w:val="00977CC6"/>
    <w:rsid w:val="0098570E"/>
    <w:rsid w:val="00987F7C"/>
    <w:rsid w:val="00990EA1"/>
    <w:rsid w:val="00995253"/>
    <w:rsid w:val="0099656F"/>
    <w:rsid w:val="009A33EC"/>
    <w:rsid w:val="009A7377"/>
    <w:rsid w:val="009A7BF2"/>
    <w:rsid w:val="009B44D2"/>
    <w:rsid w:val="009C3371"/>
    <w:rsid w:val="009C35BF"/>
    <w:rsid w:val="009C7B5C"/>
    <w:rsid w:val="009D6B21"/>
    <w:rsid w:val="009E0DC4"/>
    <w:rsid w:val="009E67A5"/>
    <w:rsid w:val="009F4B9D"/>
    <w:rsid w:val="00A01B1A"/>
    <w:rsid w:val="00A01C7F"/>
    <w:rsid w:val="00A02D2F"/>
    <w:rsid w:val="00A055E3"/>
    <w:rsid w:val="00A0715B"/>
    <w:rsid w:val="00A079AE"/>
    <w:rsid w:val="00A10162"/>
    <w:rsid w:val="00A109DA"/>
    <w:rsid w:val="00A11042"/>
    <w:rsid w:val="00A16F55"/>
    <w:rsid w:val="00A17775"/>
    <w:rsid w:val="00A2450F"/>
    <w:rsid w:val="00A25490"/>
    <w:rsid w:val="00A30F10"/>
    <w:rsid w:val="00A32630"/>
    <w:rsid w:val="00A32E9F"/>
    <w:rsid w:val="00A35EDC"/>
    <w:rsid w:val="00A4241B"/>
    <w:rsid w:val="00A443D1"/>
    <w:rsid w:val="00A45692"/>
    <w:rsid w:val="00A46517"/>
    <w:rsid w:val="00A551B4"/>
    <w:rsid w:val="00A631CE"/>
    <w:rsid w:val="00A666FB"/>
    <w:rsid w:val="00A71A9C"/>
    <w:rsid w:val="00A81BF3"/>
    <w:rsid w:val="00A82A7F"/>
    <w:rsid w:val="00AA20D0"/>
    <w:rsid w:val="00AA6488"/>
    <w:rsid w:val="00AA6622"/>
    <w:rsid w:val="00AA6F26"/>
    <w:rsid w:val="00AB0289"/>
    <w:rsid w:val="00AB06C4"/>
    <w:rsid w:val="00AC2FE3"/>
    <w:rsid w:val="00AC41CB"/>
    <w:rsid w:val="00AC5A80"/>
    <w:rsid w:val="00AC65FC"/>
    <w:rsid w:val="00AC661E"/>
    <w:rsid w:val="00AD2DE2"/>
    <w:rsid w:val="00AD3B15"/>
    <w:rsid w:val="00AD5BEF"/>
    <w:rsid w:val="00AE1879"/>
    <w:rsid w:val="00AE19E5"/>
    <w:rsid w:val="00AE4770"/>
    <w:rsid w:val="00AE6BA4"/>
    <w:rsid w:val="00AF7433"/>
    <w:rsid w:val="00B02E19"/>
    <w:rsid w:val="00B03E0B"/>
    <w:rsid w:val="00B06300"/>
    <w:rsid w:val="00B07AFF"/>
    <w:rsid w:val="00B22260"/>
    <w:rsid w:val="00B27908"/>
    <w:rsid w:val="00B300D5"/>
    <w:rsid w:val="00B32A26"/>
    <w:rsid w:val="00B351C6"/>
    <w:rsid w:val="00B4022D"/>
    <w:rsid w:val="00B411A2"/>
    <w:rsid w:val="00B41D0E"/>
    <w:rsid w:val="00B4553F"/>
    <w:rsid w:val="00B45A47"/>
    <w:rsid w:val="00B475AD"/>
    <w:rsid w:val="00B50490"/>
    <w:rsid w:val="00B54A15"/>
    <w:rsid w:val="00B56334"/>
    <w:rsid w:val="00B7027D"/>
    <w:rsid w:val="00B7030A"/>
    <w:rsid w:val="00B705EB"/>
    <w:rsid w:val="00B76217"/>
    <w:rsid w:val="00B76B59"/>
    <w:rsid w:val="00B8052F"/>
    <w:rsid w:val="00B8272F"/>
    <w:rsid w:val="00B9427A"/>
    <w:rsid w:val="00BA76FF"/>
    <w:rsid w:val="00BB2AD4"/>
    <w:rsid w:val="00BC2169"/>
    <w:rsid w:val="00BD0B35"/>
    <w:rsid w:val="00BD19FA"/>
    <w:rsid w:val="00BD1D81"/>
    <w:rsid w:val="00BF2617"/>
    <w:rsid w:val="00BF2648"/>
    <w:rsid w:val="00BF5443"/>
    <w:rsid w:val="00C001CB"/>
    <w:rsid w:val="00C016D4"/>
    <w:rsid w:val="00C02D4A"/>
    <w:rsid w:val="00C058F8"/>
    <w:rsid w:val="00C101AD"/>
    <w:rsid w:val="00C12972"/>
    <w:rsid w:val="00C34E52"/>
    <w:rsid w:val="00C37415"/>
    <w:rsid w:val="00C445FD"/>
    <w:rsid w:val="00C4677F"/>
    <w:rsid w:val="00C474D9"/>
    <w:rsid w:val="00C50191"/>
    <w:rsid w:val="00C56B60"/>
    <w:rsid w:val="00C61321"/>
    <w:rsid w:val="00C6625E"/>
    <w:rsid w:val="00C74BB1"/>
    <w:rsid w:val="00C75F5C"/>
    <w:rsid w:val="00CA052E"/>
    <w:rsid w:val="00CA246B"/>
    <w:rsid w:val="00CA569E"/>
    <w:rsid w:val="00CB4364"/>
    <w:rsid w:val="00CB78D7"/>
    <w:rsid w:val="00CC1132"/>
    <w:rsid w:val="00CC12FE"/>
    <w:rsid w:val="00CC17C9"/>
    <w:rsid w:val="00CC2510"/>
    <w:rsid w:val="00CC5EEA"/>
    <w:rsid w:val="00CC6EFA"/>
    <w:rsid w:val="00CC774D"/>
    <w:rsid w:val="00CD0C48"/>
    <w:rsid w:val="00CD5F26"/>
    <w:rsid w:val="00CE09D3"/>
    <w:rsid w:val="00CE2D0E"/>
    <w:rsid w:val="00CE2F81"/>
    <w:rsid w:val="00CE4E12"/>
    <w:rsid w:val="00CE635D"/>
    <w:rsid w:val="00CF0171"/>
    <w:rsid w:val="00CF2593"/>
    <w:rsid w:val="00CF5491"/>
    <w:rsid w:val="00CF6425"/>
    <w:rsid w:val="00CF69B0"/>
    <w:rsid w:val="00D04806"/>
    <w:rsid w:val="00D11318"/>
    <w:rsid w:val="00D11FCD"/>
    <w:rsid w:val="00D16303"/>
    <w:rsid w:val="00D1639C"/>
    <w:rsid w:val="00D227CA"/>
    <w:rsid w:val="00D24589"/>
    <w:rsid w:val="00D33B10"/>
    <w:rsid w:val="00D35BF2"/>
    <w:rsid w:val="00D43F31"/>
    <w:rsid w:val="00D460E3"/>
    <w:rsid w:val="00D528F2"/>
    <w:rsid w:val="00D56CBB"/>
    <w:rsid w:val="00D60A04"/>
    <w:rsid w:val="00D60ED2"/>
    <w:rsid w:val="00D66D76"/>
    <w:rsid w:val="00D67867"/>
    <w:rsid w:val="00D70AFD"/>
    <w:rsid w:val="00D71A2C"/>
    <w:rsid w:val="00D720FE"/>
    <w:rsid w:val="00D76F3F"/>
    <w:rsid w:val="00D771B9"/>
    <w:rsid w:val="00D8002D"/>
    <w:rsid w:val="00D81408"/>
    <w:rsid w:val="00D82780"/>
    <w:rsid w:val="00D838B6"/>
    <w:rsid w:val="00D8571C"/>
    <w:rsid w:val="00D87F95"/>
    <w:rsid w:val="00D9114C"/>
    <w:rsid w:val="00D92B4D"/>
    <w:rsid w:val="00DA2DD3"/>
    <w:rsid w:val="00DA47AD"/>
    <w:rsid w:val="00DB4EFC"/>
    <w:rsid w:val="00DE09F0"/>
    <w:rsid w:val="00DE619C"/>
    <w:rsid w:val="00DF31A0"/>
    <w:rsid w:val="00DF3A52"/>
    <w:rsid w:val="00E02040"/>
    <w:rsid w:val="00E05B66"/>
    <w:rsid w:val="00E072C6"/>
    <w:rsid w:val="00E25EEC"/>
    <w:rsid w:val="00E26B84"/>
    <w:rsid w:val="00E41782"/>
    <w:rsid w:val="00E435D3"/>
    <w:rsid w:val="00E50D52"/>
    <w:rsid w:val="00E51D90"/>
    <w:rsid w:val="00E5396D"/>
    <w:rsid w:val="00E54A64"/>
    <w:rsid w:val="00E637BF"/>
    <w:rsid w:val="00E648CB"/>
    <w:rsid w:val="00E64AB8"/>
    <w:rsid w:val="00E66FCD"/>
    <w:rsid w:val="00E70EFC"/>
    <w:rsid w:val="00E76AAB"/>
    <w:rsid w:val="00E845AF"/>
    <w:rsid w:val="00E84803"/>
    <w:rsid w:val="00E859F9"/>
    <w:rsid w:val="00E917E4"/>
    <w:rsid w:val="00E93880"/>
    <w:rsid w:val="00E96F64"/>
    <w:rsid w:val="00EA26ED"/>
    <w:rsid w:val="00EB3F52"/>
    <w:rsid w:val="00EB5557"/>
    <w:rsid w:val="00EB7EAA"/>
    <w:rsid w:val="00EC4688"/>
    <w:rsid w:val="00EC675A"/>
    <w:rsid w:val="00ED0891"/>
    <w:rsid w:val="00ED4BC3"/>
    <w:rsid w:val="00EE2AFD"/>
    <w:rsid w:val="00EE520A"/>
    <w:rsid w:val="00EF000B"/>
    <w:rsid w:val="00F01EA1"/>
    <w:rsid w:val="00F033A7"/>
    <w:rsid w:val="00F0426D"/>
    <w:rsid w:val="00F05253"/>
    <w:rsid w:val="00F10E0F"/>
    <w:rsid w:val="00F12609"/>
    <w:rsid w:val="00F15559"/>
    <w:rsid w:val="00F21C70"/>
    <w:rsid w:val="00F22DA0"/>
    <w:rsid w:val="00F236A0"/>
    <w:rsid w:val="00F33CFD"/>
    <w:rsid w:val="00F37414"/>
    <w:rsid w:val="00F37EB4"/>
    <w:rsid w:val="00F42EF3"/>
    <w:rsid w:val="00F4512E"/>
    <w:rsid w:val="00F458B5"/>
    <w:rsid w:val="00F50D66"/>
    <w:rsid w:val="00F53C41"/>
    <w:rsid w:val="00F557B4"/>
    <w:rsid w:val="00F57C60"/>
    <w:rsid w:val="00F743E9"/>
    <w:rsid w:val="00F77E8B"/>
    <w:rsid w:val="00F861D7"/>
    <w:rsid w:val="00FA6860"/>
    <w:rsid w:val="00FA7086"/>
    <w:rsid w:val="00FA797C"/>
    <w:rsid w:val="00FA7DD4"/>
    <w:rsid w:val="00FB5728"/>
    <w:rsid w:val="00FC0528"/>
    <w:rsid w:val="00FC568D"/>
    <w:rsid w:val="00FD299D"/>
    <w:rsid w:val="00FE3D29"/>
    <w:rsid w:val="00FF6AEC"/>
    <w:rsid w:val="00FF7D9B"/>
    <w:rsid w:val="02D50705"/>
    <w:rsid w:val="035E39F9"/>
    <w:rsid w:val="0C8E2713"/>
    <w:rsid w:val="17710C9F"/>
    <w:rsid w:val="2243299B"/>
    <w:rsid w:val="2BCD508A"/>
    <w:rsid w:val="2CB85D57"/>
    <w:rsid w:val="319B36FB"/>
    <w:rsid w:val="39093A93"/>
    <w:rsid w:val="3A220CB5"/>
    <w:rsid w:val="3D3C0D38"/>
    <w:rsid w:val="43C077F5"/>
    <w:rsid w:val="455F7290"/>
    <w:rsid w:val="4601100F"/>
    <w:rsid w:val="4EA85250"/>
    <w:rsid w:val="4F1B7B40"/>
    <w:rsid w:val="53D9566D"/>
    <w:rsid w:val="55086D76"/>
    <w:rsid w:val="56941F5D"/>
    <w:rsid w:val="5E055CE5"/>
    <w:rsid w:val="60C34F31"/>
    <w:rsid w:val="621E1878"/>
    <w:rsid w:val="76562600"/>
    <w:rsid w:val="79A6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0C585"/>
  <w15:docId w15:val="{407B6A1A-57EF-4416-BCF2-54CF23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val="zh-CN" w:bidi="zh-CN"/>
    </w:rPr>
  </w:style>
  <w:style w:type="paragraph" w:customStyle="1" w:styleId="1">
    <w:name w:val="列出段落1"/>
    <w:basedOn w:val="a"/>
    <w:qFormat/>
    <w:pPr>
      <w:ind w:firstLineChars="200" w:firstLine="420"/>
    </w:pPr>
    <w:rPr>
      <w:rFonts w:ascii="Calibri" w:eastAsia="宋体" w:hAnsi="Calibri" w:cs="Times New Roman"/>
      <w:szCs w:val="21"/>
    </w:rPr>
  </w:style>
  <w:style w:type="paragraph" w:customStyle="1" w:styleId="10">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3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5E2C-5F48-4EB0-825E-08D3CFC4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zhaoyue</dc:creator>
  <cp:lastModifiedBy>张 思莹</cp:lastModifiedBy>
  <cp:revision>347</cp:revision>
  <cp:lastPrinted>2023-08-01T08:51:00Z</cp:lastPrinted>
  <dcterms:created xsi:type="dcterms:W3CDTF">2022-04-22T07:41:00Z</dcterms:created>
  <dcterms:modified xsi:type="dcterms:W3CDTF">2026-01-05T02:29:00Z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789F25911BCC4D47A9B069E5AB7FBA1A</vt:lpwstr>
  </property>
</Properties>
</file>