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A63F0">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39B3E84C">
      <w:pPr>
        <w:rPr>
          <w:rFonts w:ascii="宋体" w:hAnsi="宋体" w:eastAsia="宋体"/>
          <w:sz w:val="24"/>
          <w:szCs w:val="24"/>
        </w:rPr>
      </w:pPr>
    </w:p>
    <w:p w14:paraId="457861AB">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5C92A188">
      <w:pPr>
        <w:jc w:val="center"/>
        <w:rPr>
          <w:rFonts w:ascii="宋体" w:hAnsi="宋体" w:eastAsia="宋体"/>
          <w:b/>
          <w:sz w:val="28"/>
          <w:szCs w:val="24"/>
        </w:rPr>
      </w:pPr>
      <w:r>
        <w:rPr>
          <w:rFonts w:hint="eastAsia" w:ascii="宋体" w:hAnsi="宋体" w:eastAsia="宋体"/>
          <w:b/>
          <w:sz w:val="28"/>
          <w:szCs w:val="24"/>
        </w:rPr>
        <w:t>投资者关系活动记录表</w:t>
      </w:r>
    </w:p>
    <w:p w14:paraId="30DB9231">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2D5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96" w:type="dxa"/>
            <w:vAlign w:val="center"/>
          </w:tcPr>
          <w:p w14:paraId="260775A3">
            <w:pPr>
              <w:jc w:val="center"/>
              <w:rPr>
                <w:rFonts w:ascii="宋体" w:hAnsi="宋体" w:eastAsia="宋体"/>
                <w:sz w:val="24"/>
                <w:szCs w:val="24"/>
              </w:rPr>
            </w:pPr>
            <w:r>
              <w:rPr>
                <w:rFonts w:hint="eastAsia" w:ascii="宋体" w:hAnsi="宋体" w:eastAsia="宋体"/>
                <w:sz w:val="24"/>
                <w:szCs w:val="24"/>
              </w:rPr>
              <w:t>投资者关系活动类别</w:t>
            </w:r>
          </w:p>
        </w:tc>
        <w:tc>
          <w:tcPr>
            <w:tcW w:w="6600" w:type="dxa"/>
          </w:tcPr>
          <w:p w14:paraId="2F7D72FC">
            <w:pPr>
              <w:spacing w:line="360" w:lineRule="auto"/>
              <w:rPr>
                <w:rFonts w:ascii="宋体" w:hAnsi="宋体" w:eastAsia="宋体"/>
                <w:sz w:val="24"/>
                <w:szCs w:val="24"/>
              </w:rPr>
            </w:pPr>
            <w:r>
              <w:rPr>
                <w:rFonts w:ascii="宋体" w:hAnsi="宋体" w:eastAsia="宋体"/>
                <w:sz w:val="24"/>
                <w:szCs w:val="24"/>
              </w:rPr>
              <w:sym w:font="Wingdings 2" w:char="0052"/>
            </w:r>
            <w:r>
              <w:rPr>
                <w:rFonts w:ascii="宋体" w:hAnsi="宋体" w:eastAsia="宋体"/>
                <w:sz w:val="24"/>
                <w:szCs w:val="24"/>
              </w:rPr>
              <w:t xml:space="preserve">特定对象调研 </w:t>
            </w:r>
            <w:r>
              <w:rPr>
                <w:rFonts w:ascii="宋体" w:hAnsi="宋体" w:eastAsia="宋体"/>
                <w:sz w:val="24"/>
                <w:szCs w:val="24"/>
              </w:rPr>
              <w:sym w:font="Wingdings 2" w:char="0052"/>
            </w:r>
            <w:r>
              <w:rPr>
                <w:rFonts w:ascii="宋体" w:hAnsi="宋体" w:eastAsia="宋体"/>
                <w:sz w:val="24"/>
                <w:szCs w:val="24"/>
              </w:rPr>
              <w:t xml:space="preserve">分析师会议 </w:t>
            </w:r>
          </w:p>
          <w:p w14:paraId="288BFDE5">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 xml:space="preserve">媒体采访 </w:t>
            </w:r>
            <w:r>
              <w:rPr>
                <w:rFonts w:ascii="宋体" w:hAnsi="宋体" w:eastAsia="宋体"/>
                <w:sz w:val="24"/>
                <w:szCs w:val="24"/>
              </w:rPr>
              <w:sym w:font="Wingdings 2" w:char="00A3"/>
            </w:r>
            <w:r>
              <w:rPr>
                <w:rFonts w:ascii="宋体" w:hAnsi="宋体" w:eastAsia="宋体"/>
                <w:sz w:val="24"/>
                <w:szCs w:val="24"/>
              </w:rPr>
              <w:t xml:space="preserve">业绩说明会 </w:t>
            </w:r>
          </w:p>
          <w:p w14:paraId="08B1189E">
            <w:pPr>
              <w:spacing w:line="360" w:lineRule="auto"/>
              <w:rPr>
                <w:rFonts w:ascii="宋体" w:hAnsi="宋体" w:eastAsia="宋体"/>
                <w:sz w:val="24"/>
                <w:szCs w:val="24"/>
              </w:rPr>
            </w:pPr>
            <w:r>
              <w:rPr>
                <w:rFonts w:ascii="宋体" w:hAnsi="宋体" w:eastAsia="宋体"/>
                <w:sz w:val="24"/>
                <w:szCs w:val="24"/>
              </w:rPr>
              <w:t>□新闻发布会</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 xml:space="preserve">路演活动 </w:t>
            </w:r>
          </w:p>
          <w:p w14:paraId="0ED174E7">
            <w:pPr>
              <w:spacing w:line="360" w:lineRule="auto"/>
              <w:rPr>
                <w:rFonts w:ascii="宋体" w:hAnsi="宋体" w:eastAsia="宋体"/>
                <w:sz w:val="24"/>
                <w:szCs w:val="24"/>
              </w:rPr>
            </w:pPr>
            <w:r>
              <w:rPr>
                <w:rFonts w:ascii="宋体" w:hAnsi="宋体" w:eastAsia="宋体"/>
                <w:sz w:val="24"/>
                <w:szCs w:val="24"/>
              </w:rPr>
              <w:sym w:font="Wingdings 2" w:char="0052"/>
            </w:r>
            <w:r>
              <w:rPr>
                <w:rFonts w:ascii="宋体" w:hAnsi="宋体" w:eastAsia="宋体"/>
                <w:sz w:val="24"/>
                <w:szCs w:val="24"/>
              </w:rPr>
              <w:t>现场参观</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其他</w:t>
            </w:r>
          </w:p>
        </w:tc>
      </w:tr>
      <w:tr w14:paraId="5A52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039CAE9">
            <w:pPr>
              <w:jc w:val="center"/>
              <w:rPr>
                <w:rFonts w:ascii="宋体" w:hAnsi="宋体" w:eastAsia="宋体"/>
                <w:sz w:val="24"/>
                <w:szCs w:val="24"/>
              </w:rPr>
            </w:pPr>
            <w:r>
              <w:rPr>
                <w:rFonts w:ascii="宋体" w:hAnsi="宋体" w:eastAsia="宋体"/>
                <w:sz w:val="24"/>
                <w:szCs w:val="24"/>
              </w:rPr>
              <w:t>召开方式</w:t>
            </w:r>
          </w:p>
        </w:tc>
        <w:tc>
          <w:tcPr>
            <w:tcW w:w="6600" w:type="dxa"/>
          </w:tcPr>
          <w:p w14:paraId="0820DDB7">
            <w:pPr>
              <w:spacing w:line="360" w:lineRule="auto"/>
              <w:rPr>
                <w:rFonts w:ascii="宋体" w:hAnsi="宋体" w:eastAsia="宋体"/>
                <w:sz w:val="24"/>
                <w:szCs w:val="24"/>
              </w:rPr>
            </w:pPr>
            <w:r>
              <w:rPr>
                <w:rFonts w:hint="eastAsia" w:ascii="宋体" w:hAnsi="宋体" w:eastAsia="宋体"/>
                <w:sz w:val="24"/>
                <w:szCs w:val="24"/>
              </w:rPr>
              <w:t>现场路演、线上会议</w:t>
            </w:r>
          </w:p>
        </w:tc>
      </w:tr>
      <w:tr w14:paraId="0680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0F42B146">
            <w:pPr>
              <w:jc w:val="center"/>
              <w:rPr>
                <w:rFonts w:ascii="宋体" w:hAnsi="宋体" w:eastAsia="宋体"/>
                <w:sz w:val="24"/>
                <w:szCs w:val="24"/>
              </w:rPr>
            </w:pPr>
            <w:r>
              <w:rPr>
                <w:rFonts w:hint="eastAsia" w:ascii="宋体" w:hAnsi="宋体" w:eastAsia="宋体"/>
                <w:sz w:val="24"/>
                <w:szCs w:val="24"/>
              </w:rPr>
              <w:t>时间</w:t>
            </w:r>
          </w:p>
        </w:tc>
        <w:tc>
          <w:tcPr>
            <w:tcW w:w="6600" w:type="dxa"/>
          </w:tcPr>
          <w:p w14:paraId="36683675">
            <w:pPr>
              <w:spacing w:line="360" w:lineRule="auto"/>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w:t>
            </w:r>
            <w:r>
              <w:rPr>
                <w:rFonts w:hint="eastAsia" w:ascii="宋体" w:hAnsi="宋体" w:eastAsia="宋体"/>
                <w:sz w:val="24"/>
                <w:szCs w:val="24"/>
              </w:rPr>
              <w:t>12月1日至12月31日</w:t>
            </w:r>
          </w:p>
        </w:tc>
      </w:tr>
      <w:tr w14:paraId="3C1A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49F6BC45">
            <w:pPr>
              <w:jc w:val="center"/>
              <w:rPr>
                <w:rFonts w:ascii="宋体" w:hAnsi="宋体" w:eastAsia="宋体"/>
                <w:sz w:val="24"/>
                <w:szCs w:val="24"/>
              </w:rPr>
            </w:pPr>
            <w:r>
              <w:rPr>
                <w:rFonts w:hint="eastAsia" w:ascii="宋体" w:hAnsi="宋体" w:eastAsia="宋体"/>
                <w:sz w:val="24"/>
                <w:szCs w:val="24"/>
              </w:rPr>
              <w:t>地点</w:t>
            </w:r>
          </w:p>
        </w:tc>
        <w:tc>
          <w:tcPr>
            <w:tcW w:w="6600" w:type="dxa"/>
          </w:tcPr>
          <w:p w14:paraId="50073589">
            <w:pPr>
              <w:spacing w:line="360" w:lineRule="auto"/>
              <w:rPr>
                <w:rFonts w:ascii="宋体" w:hAnsi="宋体" w:eastAsia="宋体"/>
                <w:sz w:val="24"/>
                <w:szCs w:val="24"/>
                <w:lang w:eastAsia="zh-Hans"/>
              </w:rPr>
            </w:pPr>
            <w:r>
              <w:rPr>
                <w:rFonts w:hint="eastAsia" w:ascii="宋体" w:hAnsi="宋体" w:eastAsia="宋体"/>
                <w:sz w:val="24"/>
                <w:szCs w:val="24"/>
              </w:rPr>
              <w:t>路演场地会议室、公司会议室</w:t>
            </w:r>
          </w:p>
        </w:tc>
      </w:tr>
      <w:tr w14:paraId="4745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Align w:val="center"/>
          </w:tcPr>
          <w:p w14:paraId="4D69AA7A">
            <w:pPr>
              <w:jc w:val="center"/>
              <w:rPr>
                <w:rFonts w:ascii="宋体" w:hAnsi="宋体" w:eastAsia="宋体"/>
                <w:sz w:val="24"/>
                <w:szCs w:val="24"/>
              </w:rPr>
            </w:pPr>
            <w:r>
              <w:rPr>
                <w:rFonts w:hint="eastAsia" w:ascii="宋体" w:hAnsi="宋体" w:eastAsia="宋体"/>
                <w:sz w:val="24"/>
                <w:szCs w:val="24"/>
              </w:rPr>
              <w:t>公司参与人员</w:t>
            </w:r>
          </w:p>
        </w:tc>
        <w:tc>
          <w:tcPr>
            <w:tcW w:w="6600" w:type="dxa"/>
          </w:tcPr>
          <w:p w14:paraId="2ABE565B">
            <w:pPr>
              <w:spacing w:line="360" w:lineRule="auto"/>
              <w:rPr>
                <w:rFonts w:ascii="宋体" w:hAnsi="宋体" w:eastAsia="宋体"/>
                <w:sz w:val="24"/>
                <w:szCs w:val="24"/>
              </w:rPr>
            </w:pPr>
            <w:r>
              <w:rPr>
                <w:rFonts w:hint="eastAsia" w:ascii="宋体" w:hAnsi="宋体" w:eastAsia="宋体"/>
                <w:sz w:val="24"/>
                <w:szCs w:val="24"/>
              </w:rPr>
              <w:t>董秘室副主任陈文霞，董秘室经理李莉、李春瑶</w:t>
            </w:r>
          </w:p>
        </w:tc>
      </w:tr>
      <w:tr w14:paraId="2C1E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Align w:val="center"/>
          </w:tcPr>
          <w:p w14:paraId="7F296D76">
            <w:pPr>
              <w:spacing w:line="360" w:lineRule="auto"/>
              <w:jc w:val="center"/>
              <w:rPr>
                <w:rFonts w:ascii="宋体" w:hAnsi="宋体" w:eastAsia="宋体"/>
                <w:sz w:val="24"/>
                <w:szCs w:val="24"/>
                <w:lang w:eastAsia="zh-Hans"/>
              </w:rPr>
            </w:pPr>
            <w:r>
              <w:rPr>
                <w:rFonts w:hint="eastAsia" w:ascii="宋体" w:hAnsi="宋体" w:eastAsia="宋体"/>
                <w:sz w:val="24"/>
                <w:szCs w:val="24"/>
                <w:lang w:eastAsia="zh-Hans"/>
              </w:rPr>
              <w:t>接待人员</w:t>
            </w:r>
          </w:p>
        </w:tc>
        <w:tc>
          <w:tcPr>
            <w:tcW w:w="6600" w:type="dxa"/>
          </w:tcPr>
          <w:p w14:paraId="3D9D58CD">
            <w:pPr>
              <w:spacing w:line="360" w:lineRule="auto"/>
              <w:rPr>
                <w:rFonts w:ascii="宋体" w:hAnsi="宋体" w:eastAsia="宋体"/>
                <w:sz w:val="24"/>
                <w:szCs w:val="24"/>
              </w:rPr>
            </w:pPr>
            <w:r>
              <w:rPr>
                <w:rFonts w:hint="eastAsia" w:ascii="宋体" w:hAnsi="宋体" w:eastAsia="宋体"/>
                <w:sz w:val="24"/>
                <w:szCs w:val="24"/>
              </w:rPr>
              <w:t>12月2日：长城证券以及近30名个人投资者</w:t>
            </w:r>
          </w:p>
          <w:p w14:paraId="59755527">
            <w:pPr>
              <w:spacing w:line="360" w:lineRule="auto"/>
              <w:rPr>
                <w:rFonts w:ascii="宋体" w:hAnsi="宋体" w:eastAsia="宋体"/>
                <w:sz w:val="24"/>
                <w:szCs w:val="24"/>
              </w:rPr>
            </w:pPr>
            <w:r>
              <w:rPr>
                <w:rFonts w:hint="eastAsia" w:ascii="宋体" w:hAnsi="宋体" w:eastAsia="宋体"/>
                <w:sz w:val="24"/>
                <w:szCs w:val="24"/>
              </w:rPr>
              <w:t>12月3日：华创证券、泰康资产</w:t>
            </w:r>
          </w:p>
          <w:p w14:paraId="629A8FA8">
            <w:pPr>
              <w:spacing w:line="360" w:lineRule="auto"/>
              <w:rPr>
                <w:rFonts w:ascii="宋体" w:hAnsi="宋体" w:eastAsia="宋体"/>
                <w:sz w:val="24"/>
                <w:szCs w:val="24"/>
              </w:rPr>
            </w:pPr>
            <w:r>
              <w:rPr>
                <w:rFonts w:hint="eastAsia" w:ascii="宋体" w:hAnsi="宋体" w:eastAsia="宋体"/>
                <w:sz w:val="24"/>
                <w:szCs w:val="24"/>
              </w:rPr>
              <w:t>12月12日：新华资产</w:t>
            </w:r>
          </w:p>
          <w:p w14:paraId="7D1B47AD">
            <w:pPr>
              <w:spacing w:line="360" w:lineRule="auto"/>
              <w:rPr>
                <w:rFonts w:ascii="宋体" w:hAnsi="宋体" w:eastAsia="宋体"/>
                <w:sz w:val="24"/>
                <w:szCs w:val="24"/>
              </w:rPr>
            </w:pPr>
            <w:r>
              <w:rPr>
                <w:rFonts w:hint="eastAsia" w:ascii="宋体" w:hAnsi="宋体" w:eastAsia="宋体"/>
                <w:sz w:val="24"/>
                <w:szCs w:val="24"/>
              </w:rPr>
              <w:t>12月19日：国联基金</w:t>
            </w:r>
          </w:p>
          <w:p w14:paraId="5056986E">
            <w:pPr>
              <w:spacing w:line="360" w:lineRule="auto"/>
              <w:rPr>
                <w:rFonts w:ascii="宋体" w:hAnsi="宋体" w:eastAsia="宋体"/>
                <w:sz w:val="24"/>
                <w:szCs w:val="24"/>
              </w:rPr>
            </w:pPr>
            <w:r>
              <w:rPr>
                <w:rFonts w:hint="eastAsia" w:ascii="宋体" w:hAnsi="宋体" w:eastAsia="宋体"/>
                <w:sz w:val="24"/>
                <w:szCs w:val="24"/>
              </w:rPr>
              <w:t>12月25日：东北证券、华夏基金</w:t>
            </w:r>
          </w:p>
          <w:p w14:paraId="06B42A07">
            <w:pPr>
              <w:spacing w:line="360" w:lineRule="auto"/>
              <w:rPr>
                <w:rFonts w:ascii="宋体" w:hAnsi="宋体" w:eastAsia="宋体"/>
                <w:sz w:val="24"/>
                <w:szCs w:val="24"/>
              </w:rPr>
            </w:pPr>
            <w:r>
              <w:rPr>
                <w:rFonts w:hint="eastAsia" w:ascii="宋体" w:hAnsi="宋体" w:eastAsia="宋体"/>
                <w:sz w:val="24"/>
                <w:szCs w:val="24"/>
              </w:rPr>
              <w:t>12月26日：国海证券、大家资产</w:t>
            </w:r>
          </w:p>
        </w:tc>
      </w:tr>
      <w:tr w14:paraId="7667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vAlign w:val="center"/>
          </w:tcPr>
          <w:p w14:paraId="0A9F8C03">
            <w:pPr>
              <w:jc w:val="center"/>
              <w:rPr>
                <w:rFonts w:ascii="宋体" w:hAnsi="宋体" w:eastAsia="宋体"/>
                <w:sz w:val="24"/>
                <w:szCs w:val="24"/>
              </w:rPr>
            </w:pPr>
            <w:r>
              <w:rPr>
                <w:rFonts w:ascii="宋体" w:hAnsi="宋体" w:eastAsia="宋体"/>
                <w:sz w:val="24"/>
                <w:szCs w:val="24"/>
              </w:rPr>
              <w:t>投资者关系活动主要内容介绍</w:t>
            </w:r>
          </w:p>
        </w:tc>
        <w:tc>
          <w:tcPr>
            <w:tcW w:w="6600" w:type="dxa"/>
          </w:tcPr>
          <w:p w14:paraId="7C8071D9">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主要内容包括：</w:t>
            </w:r>
          </w:p>
          <w:p w14:paraId="520D298D">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（一）公司2025年发展情况如何？</w:t>
            </w:r>
          </w:p>
          <w:p w14:paraId="3A3ECA53">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答：2025年，公司上下齐心、不断加快在资本运作、科研创新、国际化发展、数字化建设等方面的发展步伐。前三季度，公司营业收入、利润总额以及归母净利润均实现同比增长。</w:t>
            </w:r>
          </w:p>
          <w:p w14:paraId="6FE1D522">
            <w:pPr>
              <w:pStyle w:val="2"/>
              <w:spacing w:line="500" w:lineRule="exact"/>
              <w:ind w:firstLine="480" w:firstLineChars="200"/>
              <w:rPr>
                <w:rFonts w:ascii="Calibri" w:hAnsi="Calibri" w:eastAsia="宋体"/>
                <w:kern w:val="0"/>
                <w:sz w:val="24"/>
                <w:szCs w:val="24"/>
                <w:lang w:bidi="ar"/>
              </w:rPr>
            </w:pPr>
          </w:p>
          <w:p w14:paraId="6C38621A">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二</w:t>
            </w:r>
            <w:r>
              <w:rPr>
                <w:rFonts w:hint="eastAsia" w:ascii="Calibri" w:hAnsi="Calibri" w:eastAsia="宋体"/>
                <w:b/>
                <w:bCs/>
                <w:kern w:val="0"/>
                <w:sz w:val="24"/>
                <w:szCs w:val="24"/>
                <w:lang w:bidi="ar"/>
              </w:rPr>
              <w:t>）未来公司是否会提高分红？</w:t>
            </w:r>
          </w:p>
          <w:p w14:paraId="1C129C4A">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为进一步提升投资者回报，公司已实施2025年中期现金分红方案，每股派发现金红利0.4元（含税），合计派发现金红利6.5亿元（含税）。未来，公司将根据企业经营的实际情况，继续经营好业绩，争取在合理范围内给投资者更大回报。</w:t>
            </w:r>
          </w:p>
          <w:p w14:paraId="6D9A0C44">
            <w:pPr>
              <w:pStyle w:val="2"/>
              <w:spacing w:line="500" w:lineRule="exact"/>
              <w:ind w:firstLine="480" w:firstLineChars="200"/>
              <w:rPr>
                <w:rFonts w:ascii="Calibri" w:hAnsi="Calibri" w:eastAsia="宋体"/>
                <w:kern w:val="0"/>
                <w:sz w:val="24"/>
                <w:szCs w:val="24"/>
                <w:lang w:bidi="ar"/>
              </w:rPr>
            </w:pPr>
          </w:p>
          <w:p w14:paraId="4ACA33FD">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三</w:t>
            </w:r>
            <w:r>
              <w:rPr>
                <w:rFonts w:hint="eastAsia" w:ascii="Calibri" w:hAnsi="Calibri" w:eastAsia="宋体"/>
                <w:b/>
                <w:bCs/>
                <w:kern w:val="0"/>
                <w:sz w:val="24"/>
                <w:szCs w:val="24"/>
                <w:lang w:bidi="ar"/>
              </w:rPr>
              <w:t>）2025年，公司在新药研发创新方面有哪些突破？</w:t>
            </w:r>
          </w:p>
          <w:p w14:paraId="657AB9E0">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答：公司继续加大研发投入力度，拓宽研发管线布局，攻关关键核心技术，阶段性成果不断涌现；</w:t>
            </w:r>
          </w:p>
          <w:p w14:paraId="7A5B4801">
            <w:pPr>
              <w:pStyle w:val="2"/>
              <w:spacing w:line="500" w:lineRule="exact"/>
              <w:ind w:firstLine="482" w:firstLineChars="200"/>
              <w:rPr>
                <w:rFonts w:ascii="Calibri" w:hAnsi="Calibri" w:eastAsia="宋体"/>
                <w:kern w:val="0"/>
                <w:sz w:val="24"/>
                <w:szCs w:val="24"/>
                <w:lang w:bidi="ar"/>
              </w:rPr>
            </w:pPr>
            <w:r>
              <w:rPr>
                <w:rFonts w:ascii="Calibri" w:hAnsi="Calibri" w:eastAsia="宋体"/>
                <w:b/>
                <w:kern w:val="0"/>
                <w:sz w:val="24"/>
                <w:szCs w:val="24"/>
                <w:lang w:bidi="ar"/>
              </w:rPr>
              <w:t>1</w:t>
            </w:r>
            <w:r>
              <w:rPr>
                <w:rFonts w:hint="eastAsia" w:ascii="Calibri" w:hAnsi="Calibri" w:eastAsia="宋体"/>
                <w:b/>
                <w:kern w:val="0"/>
                <w:sz w:val="24"/>
                <w:szCs w:val="24"/>
                <w:lang w:bidi="ar"/>
              </w:rPr>
              <w:t>类创新药研发领域</w:t>
            </w:r>
            <w:r>
              <w:rPr>
                <w:rFonts w:hint="eastAsia" w:ascii="Calibri" w:hAnsi="Calibri" w:eastAsia="宋体"/>
                <w:kern w:val="0"/>
                <w:sz w:val="24"/>
                <w:szCs w:val="24"/>
                <w:lang w:bidi="ar"/>
              </w:rPr>
              <w:t>：公司管线涵盖治疗早发性卵巢功能不全的养阴舒肝颗粒、治疗骨关节炎的骨痹颗粒、治疗癌因性疲乏的LBZ-18等中药创新药；以及广谱抗肿瘤的HG030片和BYS10片、具有广泛抗菌谱的注射用头孢嗪脒钠等化学创新药。</w:t>
            </w:r>
          </w:p>
          <w:p w14:paraId="5462301A">
            <w:pPr>
              <w:pStyle w:val="2"/>
              <w:spacing w:line="500" w:lineRule="exact"/>
              <w:ind w:firstLine="482" w:firstLineChars="200"/>
              <w:rPr>
                <w:rFonts w:ascii="Calibri" w:hAnsi="Calibri" w:eastAsia="宋体"/>
                <w:kern w:val="0"/>
                <w:sz w:val="24"/>
                <w:szCs w:val="24"/>
                <w:lang w:bidi="ar"/>
              </w:rPr>
            </w:pPr>
            <w:r>
              <w:rPr>
                <w:rFonts w:ascii="Calibri" w:hAnsi="Calibri" w:eastAsia="宋体"/>
                <w:b/>
                <w:kern w:val="0"/>
                <w:sz w:val="24"/>
                <w:szCs w:val="24"/>
                <w:lang w:bidi="ar"/>
              </w:rPr>
              <w:t>2</w:t>
            </w:r>
            <w:r>
              <w:rPr>
                <w:rFonts w:hint="eastAsia" w:ascii="Calibri" w:hAnsi="Calibri" w:eastAsia="宋体"/>
                <w:b/>
                <w:kern w:val="0"/>
                <w:sz w:val="24"/>
                <w:szCs w:val="24"/>
                <w:lang w:bidi="ar"/>
              </w:rPr>
              <w:t>类改良型新药领域：</w:t>
            </w:r>
            <w:r>
              <w:rPr>
                <w:rFonts w:hint="eastAsia" w:ascii="Calibri" w:hAnsi="Calibri" w:eastAsia="宋体"/>
                <w:kern w:val="0"/>
                <w:sz w:val="24"/>
                <w:szCs w:val="24"/>
                <w:lang w:bidi="ar"/>
              </w:rPr>
              <w:t>公司多项产品创下行业先例，其中治疗急性咽炎的克感利咽口服液为“三结合”审评审批证据体系下国内首个以人用经验研究豁免非临床研究及Ⅱ期临床，直接进入Ⅲ期临床试验研究的2.3类改良型新药；滋肾育胎丸为国内首个获批开展治疗“卵巢储备功能下降”（DOR）临床试验的药物；儿童小柴胡颗粒是基于已有小柴胡剂型品种开发而成的全国首个专门面向小儿胃肠型感冒的新药；玉屏风袋泡茶为全国首家针对桥本甲状腺炎获得临床试验批件的新药。</w:t>
            </w:r>
          </w:p>
          <w:p w14:paraId="645C9F82">
            <w:pPr>
              <w:pStyle w:val="2"/>
              <w:spacing w:line="500" w:lineRule="exact"/>
              <w:ind w:firstLine="480" w:firstLineChars="200"/>
              <w:rPr>
                <w:rFonts w:ascii="Calibri" w:hAnsi="Calibri" w:eastAsia="宋体"/>
                <w:b/>
                <w:bCs/>
                <w:kern w:val="0"/>
                <w:sz w:val="24"/>
                <w:szCs w:val="24"/>
                <w:lang w:bidi="ar"/>
              </w:rPr>
            </w:pPr>
            <w:r>
              <w:rPr>
                <w:rFonts w:hint="eastAsia" w:ascii="Calibri" w:hAnsi="Calibri" w:eastAsia="宋体"/>
                <w:kern w:val="0"/>
                <w:sz w:val="24"/>
                <w:szCs w:val="24"/>
                <w:lang w:bidi="ar"/>
              </w:rPr>
              <w:t>此外，公司重点加强科技化、国际化等高端人才储备，持续完善研发创新体制机制，进一步调动公司科技创新积极性，打造良好的科研生态。</w:t>
            </w:r>
          </w:p>
          <w:p w14:paraId="3B4FB2A0">
            <w:pPr>
              <w:pStyle w:val="2"/>
              <w:spacing w:line="500" w:lineRule="exact"/>
              <w:ind w:firstLine="480" w:firstLineChars="200"/>
              <w:rPr>
                <w:rFonts w:ascii="Calibri" w:hAnsi="Calibri" w:eastAsia="宋体"/>
                <w:kern w:val="0"/>
                <w:sz w:val="24"/>
                <w:szCs w:val="24"/>
                <w:lang w:bidi="ar"/>
              </w:rPr>
            </w:pPr>
          </w:p>
          <w:p w14:paraId="2EDA1DF2">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四</w:t>
            </w:r>
            <w:r>
              <w:rPr>
                <w:rFonts w:hint="eastAsia" w:ascii="Calibri" w:hAnsi="Calibri" w:eastAsia="宋体"/>
                <w:b/>
                <w:bCs/>
                <w:kern w:val="0"/>
                <w:sz w:val="24"/>
                <w:szCs w:val="24"/>
                <w:lang w:bidi="ar"/>
              </w:rPr>
              <w:t>）未来公司研发创新将重点投入哪些方面？有何规划？</w:t>
            </w:r>
          </w:p>
          <w:p w14:paraId="4485732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将进一步加大研发创新投入，通过举才引智、建强平台、深耕生态、拓展布局、优化激励等途径推进创新转型，具体包括：（1）大力整合科研体系资源，积极打造中医药创新平台、化学药创新平台、生物药创新平台、高端营养创新平台、医疗器械创新平台五大创新研发平台为核心的创新平台体系，进一步夯实科技创新策源基础。（2）引进外部“智囊团”为公司“科技创新大脑”赋能。（3）积极优化重大项目决策机制，建立健全科技创新的容错机制，通过体制机制改革，为科技创新转型厚植发展沃土。</w:t>
            </w:r>
          </w:p>
          <w:p w14:paraId="68C56BCE">
            <w:pPr>
              <w:pStyle w:val="2"/>
              <w:spacing w:line="500" w:lineRule="exact"/>
              <w:ind w:firstLine="480" w:firstLineChars="200"/>
              <w:rPr>
                <w:rFonts w:ascii="Calibri" w:hAnsi="Calibri" w:eastAsia="宋体"/>
                <w:kern w:val="0"/>
                <w:sz w:val="24"/>
                <w:szCs w:val="24"/>
                <w:lang w:bidi="ar"/>
              </w:rPr>
            </w:pPr>
          </w:p>
          <w:p w14:paraId="6721EA68">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五</w:t>
            </w:r>
            <w:r>
              <w:rPr>
                <w:rFonts w:hint="eastAsia" w:ascii="Calibri" w:hAnsi="Calibri" w:eastAsia="宋体"/>
                <w:b/>
                <w:bCs/>
                <w:kern w:val="0"/>
                <w:sz w:val="24"/>
                <w:szCs w:val="24"/>
                <w:lang w:bidi="ar"/>
              </w:rPr>
              <w:t>）公司2025年在资本运作方面加大了推进力度，具体包括哪些？</w:t>
            </w:r>
          </w:p>
          <w:p w14:paraId="1D57FEE5">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答：2025年，公司进一步加大资本运作和对外并购力度，发挥项目协同效应，提升竞争优势。</w:t>
            </w:r>
          </w:p>
          <w:p w14:paraId="091F1C13">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一方面，公司大力构建创投基金体系，分别出资15亿元、0.995亿元、0.975亿元参设广药二期基金、广药荔湾基金、广药广开基金，加强公司在创新药、现代中药、高端医疗器械等生物医药前沿领域的布局。其中，广药二期基金已先后投资布局疫苗、合成生物、健康电商、微针制剂等前沿领域项目4个。</w:t>
            </w:r>
          </w:p>
          <w:p w14:paraId="3307FA4E">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另一方面，公司加大并购力度，广药二期基金</w:t>
            </w:r>
            <w:r>
              <w:rPr>
                <w:rFonts w:hint="eastAsia" w:ascii="Calibri" w:hAnsi="Calibri" w:eastAsia="宋体"/>
                <w:kern w:val="0"/>
                <w:sz w:val="24"/>
                <w:szCs w:val="24"/>
                <w:lang w:val="en-US" w:eastAsia="zh-CN" w:bidi="ar"/>
              </w:rPr>
              <w:t>与Alliance Healthcare Asia Pacific Limited签署股份转让合同拟</w:t>
            </w:r>
            <w:r>
              <w:rPr>
                <w:rFonts w:hint="eastAsia" w:ascii="Calibri" w:hAnsi="Calibri" w:eastAsia="宋体"/>
                <w:kern w:val="0"/>
                <w:sz w:val="24"/>
                <w:szCs w:val="24"/>
                <w:lang w:bidi="ar"/>
              </w:rPr>
              <w:t>收购南京医药11.04%股份，广州医药成功竞得浙江医药工业100%股权，强化公司在华东区域的产业布局；王老吉药业成功收购福建采善堂，旗下老字号数量增至13个。</w:t>
            </w:r>
          </w:p>
          <w:p w14:paraId="27E1EBBB">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此外，白云山汉方完成混改工作；广州医药股票于2025年5月成功在新三板挂牌；公司完成对下属企业白云山生物增资3亿元，助力冻干用狂犬病疫苗PM株产品产业化项目的推进。</w:t>
            </w:r>
          </w:p>
          <w:p w14:paraId="6B74E659">
            <w:pPr>
              <w:pStyle w:val="2"/>
              <w:spacing w:line="500" w:lineRule="exact"/>
              <w:ind w:firstLine="480" w:firstLineChars="200"/>
              <w:rPr>
                <w:rFonts w:ascii="Calibri" w:hAnsi="Calibri" w:eastAsia="宋体"/>
                <w:kern w:val="0"/>
                <w:sz w:val="24"/>
                <w:szCs w:val="24"/>
                <w:lang w:bidi="ar"/>
              </w:rPr>
            </w:pPr>
          </w:p>
          <w:p w14:paraId="00AC52A0">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六</w:t>
            </w:r>
            <w:r>
              <w:rPr>
                <w:rFonts w:hint="eastAsia" w:ascii="Calibri" w:hAnsi="Calibri" w:eastAsia="宋体"/>
                <w:b/>
                <w:bCs/>
                <w:kern w:val="0"/>
                <w:sz w:val="24"/>
                <w:szCs w:val="24"/>
                <w:lang w:bidi="ar"/>
              </w:rPr>
              <w:t>）</w:t>
            </w:r>
            <w:r>
              <w:rPr>
                <w:rFonts w:hint="eastAsia" w:ascii="Calibri" w:hAnsi="Calibri" w:eastAsia="宋体" w:cs="Times New Roman"/>
                <w:b/>
                <w:bCs/>
                <w:kern w:val="0"/>
                <w:sz w:val="24"/>
                <w:szCs w:val="24"/>
                <w:shd w:val="clear" w:color="auto" w:fill="auto"/>
                <w:lang w:bidi="ar"/>
              </w:rPr>
              <w:t>公司医药流通业务已在整体营收中占据一定规模，后续通过收购拓展该领域的战略考量是什么？</w:t>
            </w:r>
          </w:p>
          <w:p w14:paraId="7014D9DE">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当前，医药流通行业集中度不断提高。长三角地区医药市场发达，并且南京医药、浙江医工均是排名靠前的优质医药流通企业。目前，广州医药在长三角地区尚未设有分子公司，购买南京医药股份以及收购浙江医工，有利于广州医药获得长三角及周边地区成熟的客户网络，进一步优化广州医药在华东区域的产业布局，提升对国内终端市场的覆盖广度和深度，增强公司医药流通业务竞争优势；同时，有利于公司借助南京医药、浙江医工的流通网络进一步推动公司自有医药品种分销渠道建设，带动医药制造业务增长，符合公司长远发展的战略规划。</w:t>
            </w:r>
          </w:p>
          <w:p w14:paraId="05F02999">
            <w:pPr>
              <w:pStyle w:val="2"/>
              <w:spacing w:line="500" w:lineRule="exact"/>
              <w:ind w:firstLine="480" w:firstLineChars="200"/>
              <w:rPr>
                <w:rFonts w:ascii="Calibri" w:hAnsi="Calibri" w:eastAsia="宋体"/>
                <w:kern w:val="0"/>
                <w:sz w:val="24"/>
                <w:szCs w:val="24"/>
                <w:lang w:bidi="ar"/>
              </w:rPr>
            </w:pPr>
          </w:p>
          <w:p w14:paraId="3DD91D93">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七</w:t>
            </w:r>
            <w:r>
              <w:rPr>
                <w:rFonts w:hint="eastAsia" w:ascii="Calibri" w:hAnsi="Calibri" w:eastAsia="宋体"/>
                <w:b/>
                <w:bCs/>
                <w:kern w:val="0"/>
                <w:sz w:val="24"/>
                <w:szCs w:val="24"/>
                <w:lang w:bidi="ar"/>
              </w:rPr>
              <w:t>）目前，市场上与公司在研产品BYS10片同类产品有哪些，市场情况如何？公司对这款产品规划是怎样的？</w:t>
            </w:r>
          </w:p>
          <w:p w14:paraId="3AE0141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研发的选择性RET小分子抑制剂BYS10片于今年9月收到国家药品监督管理局药品审评中心的反馈意见，同意其未来采用Ⅱ期单臂临床试验申请上市。现阶段，RET靶点已成为实体瘤治疗的热点靶点，RET抑制剂已成为主流治疗选择，并且RET基因异常具有泛癌种特性，具有广泛的应用价值。目前，全球仅有Pralsetinib（BLU-667）和Selpercatinib（LOXO-292）两款RET抑制剂新药获批上市。根据临床数据，公司在研的BYS10片具有强效、持久的抗肿瘤活性，在RET基因突变的多种实体瘤如晚期非小细胞肺癌（NSCLC）、甲状腺癌（TC）、甲状腺髓样癌（MTC）等患者中表现出良好的临床活性和耐受性。未来，公司将加大对该产品的研发投入，加快推进其获批上市的步伐。</w:t>
            </w:r>
          </w:p>
          <w:p w14:paraId="0CB85306">
            <w:pPr>
              <w:pStyle w:val="2"/>
              <w:spacing w:line="500" w:lineRule="exact"/>
              <w:ind w:firstLine="480" w:firstLineChars="200"/>
              <w:rPr>
                <w:rFonts w:ascii="Calibri" w:hAnsi="Calibri" w:eastAsia="宋体"/>
                <w:kern w:val="0"/>
                <w:sz w:val="24"/>
                <w:szCs w:val="24"/>
                <w:lang w:bidi="ar"/>
              </w:rPr>
            </w:pPr>
          </w:p>
          <w:p w14:paraId="3613C08C">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八</w:t>
            </w:r>
            <w:r>
              <w:rPr>
                <w:rFonts w:hint="eastAsia" w:ascii="Calibri" w:hAnsi="Calibri" w:eastAsia="宋体"/>
                <w:b/>
                <w:bCs/>
                <w:kern w:val="0"/>
                <w:sz w:val="24"/>
                <w:szCs w:val="24"/>
                <w:lang w:bidi="ar"/>
              </w:rPr>
              <w:t>）第11批国家集采结果已公布，公司是否有产品中选？</w:t>
            </w:r>
          </w:p>
          <w:p w14:paraId="15B55B33">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答：公司旗下阿莫西林克拉维酸钾干混悬剂在第11批国家集采中中标。公司初步判断，该产品在国采中中标有望增强其在院内的优势并带动OTC市场，从而拉动产品销售收入。</w:t>
            </w:r>
          </w:p>
          <w:p w14:paraId="02DF7573">
            <w:pPr>
              <w:pStyle w:val="2"/>
              <w:spacing w:line="500" w:lineRule="exact"/>
              <w:ind w:firstLine="480" w:firstLineChars="200"/>
              <w:rPr>
                <w:rFonts w:ascii="Calibri" w:hAnsi="Calibri" w:eastAsia="宋体"/>
                <w:kern w:val="0"/>
                <w:sz w:val="24"/>
                <w:szCs w:val="24"/>
                <w:lang w:bidi="ar"/>
              </w:rPr>
            </w:pPr>
          </w:p>
          <w:p w14:paraId="42357A74">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九</w:t>
            </w:r>
            <w:r>
              <w:rPr>
                <w:rFonts w:hint="eastAsia" w:ascii="Calibri" w:hAnsi="Calibri" w:eastAsia="宋体"/>
                <w:b/>
                <w:bCs/>
                <w:kern w:val="0"/>
                <w:sz w:val="24"/>
                <w:szCs w:val="24"/>
                <w:lang w:bidi="ar"/>
              </w:rPr>
              <w:t>）</w:t>
            </w:r>
            <w:bookmarkStart w:id="0" w:name="OLE_LINK1"/>
            <w:bookmarkStart w:id="1" w:name="OLE_LINK2"/>
            <w:r>
              <w:rPr>
                <w:rFonts w:hint="eastAsia" w:ascii="Calibri" w:hAnsi="Calibri" w:eastAsia="宋体"/>
                <w:b/>
                <w:bCs/>
                <w:kern w:val="0"/>
                <w:sz w:val="24"/>
                <w:szCs w:val="24"/>
                <w:lang w:bidi="ar"/>
              </w:rPr>
              <w:t>第四批全国中成药集采已启动</w:t>
            </w:r>
            <w:bookmarkEnd w:id="0"/>
            <w:bookmarkEnd w:id="1"/>
            <w:r>
              <w:rPr>
                <w:rFonts w:hint="eastAsia" w:ascii="Calibri" w:hAnsi="Calibri" w:eastAsia="宋体"/>
                <w:b/>
                <w:bCs/>
                <w:kern w:val="0"/>
                <w:sz w:val="24"/>
                <w:szCs w:val="24"/>
                <w:lang w:bidi="ar"/>
              </w:rPr>
              <w:t>，公司是否有产品涉及？此次中成药集采预计会对公司有何影响？</w:t>
            </w:r>
          </w:p>
          <w:p w14:paraId="6EFA09E7">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答：根据网上的集采药品清单，初步预计此次中成药集采涉及公司合并报表范围内的产品主要有强力枇杷露。该产品2024年年度销售收入</w:t>
            </w:r>
            <w:r>
              <w:rPr>
                <w:rFonts w:hint="eastAsia" w:ascii="Calibri" w:hAnsi="Calibri" w:eastAsia="宋体"/>
                <w:kern w:val="0"/>
                <w:sz w:val="24"/>
                <w:szCs w:val="24"/>
                <w:lang w:val="en-US" w:eastAsia="zh-CN" w:bidi="ar"/>
              </w:rPr>
              <w:t>占公司当年整体营业收入的比例</w:t>
            </w:r>
            <w:r>
              <w:rPr>
                <w:rFonts w:hint="eastAsia" w:ascii="Calibri" w:hAnsi="Calibri" w:eastAsia="宋体"/>
                <w:kern w:val="0"/>
                <w:sz w:val="24"/>
                <w:szCs w:val="24"/>
                <w:lang w:bidi="ar"/>
              </w:rPr>
              <w:t>较小，预计对公司不会造成重大影响。</w:t>
            </w:r>
          </w:p>
          <w:p w14:paraId="4E6D87D1">
            <w:pPr>
              <w:pStyle w:val="2"/>
              <w:spacing w:line="500" w:lineRule="exact"/>
              <w:rPr>
                <w:rFonts w:ascii="Calibri" w:hAnsi="Calibri" w:eastAsia="宋体"/>
                <w:kern w:val="0"/>
                <w:sz w:val="24"/>
                <w:szCs w:val="24"/>
                <w:lang w:bidi="ar"/>
              </w:rPr>
            </w:pPr>
          </w:p>
          <w:p w14:paraId="20E32D04">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w:t>
            </w:r>
            <w:r>
              <w:rPr>
                <w:rFonts w:hint="eastAsia" w:ascii="Calibri" w:hAnsi="Calibri" w:eastAsia="宋体"/>
                <w:b/>
                <w:bCs/>
                <w:kern w:val="0"/>
                <w:sz w:val="24"/>
                <w:szCs w:val="24"/>
                <w:lang w:val="en-US" w:eastAsia="zh-CN" w:bidi="ar"/>
              </w:rPr>
              <w:t>十</w:t>
            </w:r>
            <w:r>
              <w:rPr>
                <w:rFonts w:hint="eastAsia" w:ascii="Calibri" w:hAnsi="Calibri" w:eastAsia="宋体"/>
                <w:b/>
                <w:bCs/>
                <w:kern w:val="0"/>
                <w:sz w:val="24"/>
                <w:szCs w:val="24"/>
                <w:lang w:bidi="ar"/>
              </w:rPr>
              <w:t>）当前处于央国企总结“十四五”、制定“十五五”的关键时期，公司在“十五五”规划方面有何进展？</w:t>
            </w:r>
          </w:p>
          <w:p w14:paraId="2658339F">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答：公司对此次“十五五”规划高度重视，已与全球知名咨询机构合作开展“十五五”规划工作。目前，</w:t>
            </w:r>
            <w:r>
              <w:rPr>
                <w:rFonts w:hint="eastAsia" w:ascii="Calibri" w:hAnsi="Calibri" w:eastAsia="宋体"/>
                <w:kern w:val="0"/>
                <w:sz w:val="24"/>
                <w:szCs w:val="24"/>
                <w:lang w:val="en-US" w:eastAsia="zh-CN" w:bidi="ar"/>
              </w:rPr>
              <w:t>咨询机构团队</w:t>
            </w:r>
            <w:r>
              <w:rPr>
                <w:rFonts w:hint="eastAsia" w:ascii="Calibri" w:hAnsi="Calibri" w:eastAsia="宋体"/>
                <w:kern w:val="0"/>
                <w:sz w:val="24"/>
                <w:szCs w:val="24"/>
                <w:lang w:bidi="ar"/>
              </w:rPr>
              <w:t>已进驻公司，全面开展公司“十四五”总结工作，“十五五”规划相关工作亦在有序推进中。</w:t>
            </w:r>
          </w:p>
          <w:p w14:paraId="0576C014">
            <w:pPr>
              <w:pStyle w:val="2"/>
              <w:spacing w:line="500" w:lineRule="exact"/>
              <w:ind w:firstLine="480" w:firstLineChars="200"/>
              <w:rPr>
                <w:rFonts w:ascii="Calibri" w:hAnsi="Calibri" w:eastAsia="宋体"/>
                <w:kern w:val="0"/>
                <w:sz w:val="24"/>
                <w:szCs w:val="24"/>
                <w:lang w:bidi="ar"/>
              </w:rPr>
            </w:pPr>
          </w:p>
          <w:p w14:paraId="117C318C">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一</w:t>
            </w:r>
            <w:r>
              <w:rPr>
                <w:rFonts w:hint="eastAsia" w:ascii="Calibri" w:hAnsi="Calibri" w:eastAsia="宋体"/>
                <w:b/>
                <w:bCs/>
                <w:kern w:val="0"/>
                <w:sz w:val="24"/>
                <w:szCs w:val="24"/>
                <w:lang w:bidi="ar"/>
              </w:rPr>
              <w:t>）公司在药品培育方面有何规划？</w:t>
            </w:r>
          </w:p>
          <w:p w14:paraId="13D6DEE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正在大力推进各类产品线的系统梳理工作，推动形成儿科、止咳化痰类、生育健康及男科、骨科类、抗生素、感冒类等专科药品矩阵，同时加强科学研究、二次开发，并从产品定位、价格管理、渠道掌控、促销策划等方面不断完善重点品种的营销规划，培育打造消费者心中的“首选产品”。</w:t>
            </w:r>
          </w:p>
          <w:p w14:paraId="625CDB1A">
            <w:pPr>
              <w:pStyle w:val="2"/>
              <w:spacing w:line="500" w:lineRule="exact"/>
              <w:ind w:firstLine="480" w:firstLineChars="200"/>
              <w:rPr>
                <w:rFonts w:ascii="Calibri" w:hAnsi="Calibri" w:eastAsia="宋体"/>
                <w:kern w:val="0"/>
                <w:sz w:val="24"/>
                <w:szCs w:val="24"/>
                <w:lang w:bidi="ar"/>
              </w:rPr>
            </w:pPr>
          </w:p>
          <w:p w14:paraId="27884B70">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二</w:t>
            </w:r>
            <w:r>
              <w:rPr>
                <w:rFonts w:hint="eastAsia" w:ascii="Calibri" w:hAnsi="Calibri" w:eastAsia="宋体"/>
                <w:b/>
                <w:bCs/>
                <w:kern w:val="0"/>
                <w:sz w:val="24"/>
                <w:szCs w:val="24"/>
                <w:lang w:bidi="ar"/>
              </w:rPr>
              <w:t>）公司王老吉大健康在兰州建设生产基地是怎么考虑的？</w:t>
            </w:r>
          </w:p>
          <w:p w14:paraId="71D783A7">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王老吉兰州基地的顺利建成与投产，一是有利于巩固并拓展王老吉凉茶在西北地区的市场地位，通过本地化生产，降低物流成本，更好满足西北五省及周边市场对王老吉凉茶产品的需求，增强产品的新鲜度从而提高产品竞争力；二是进一步强化了王老吉凉茶全国生产网络覆盖能力，与广州南沙、广东梅州、四川雅安工厂有效协同，构建起横跨华南、西南、西北地区的战略布局，提升供应链效率与区域市场响应及服务能力。</w:t>
            </w:r>
          </w:p>
          <w:p w14:paraId="7228D53C">
            <w:pPr>
              <w:pStyle w:val="2"/>
              <w:spacing w:line="500" w:lineRule="exact"/>
              <w:ind w:firstLine="480" w:firstLineChars="200"/>
              <w:rPr>
                <w:rFonts w:ascii="Calibri" w:hAnsi="Calibri" w:eastAsia="宋体"/>
                <w:kern w:val="0"/>
                <w:sz w:val="24"/>
                <w:szCs w:val="24"/>
                <w:lang w:bidi="ar"/>
              </w:rPr>
            </w:pPr>
          </w:p>
          <w:p w14:paraId="0380D0DC">
            <w:pPr>
              <w:pStyle w:val="2"/>
              <w:spacing w:line="500" w:lineRule="exact"/>
              <w:ind w:left="420" w:left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三</w:t>
            </w:r>
            <w:r>
              <w:rPr>
                <w:rFonts w:hint="eastAsia" w:ascii="Calibri" w:hAnsi="Calibri" w:eastAsia="宋体"/>
                <w:b/>
                <w:bCs/>
                <w:kern w:val="0"/>
                <w:sz w:val="24"/>
                <w:szCs w:val="24"/>
                <w:lang w:bidi="ar"/>
              </w:rPr>
              <w:t>）王老吉海外业务发展情况如何？</w:t>
            </w:r>
          </w:p>
          <w:p w14:paraId="22C9D316">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答：2025年，公司大健康板块加</w:t>
            </w:r>
            <w:r>
              <w:rPr>
                <w:rFonts w:hint="eastAsia" w:ascii="Calibri" w:hAnsi="Calibri" w:eastAsia="宋体"/>
                <w:kern w:val="0"/>
                <w:sz w:val="24"/>
                <w:szCs w:val="24"/>
                <w:lang w:val="en-US" w:eastAsia="zh-CN" w:bidi="ar"/>
              </w:rPr>
              <w:t>快</w:t>
            </w:r>
            <w:r>
              <w:rPr>
                <w:rFonts w:hint="eastAsia" w:ascii="Calibri" w:hAnsi="Calibri" w:eastAsia="宋体"/>
                <w:kern w:val="0"/>
                <w:sz w:val="24"/>
                <w:szCs w:val="24"/>
                <w:lang w:bidi="ar"/>
              </w:rPr>
              <w:t>推进国际化进程，逐步推进从产品出海到产业链出海再到品牌出海的跨越式升级。</w:t>
            </w:r>
          </w:p>
          <w:p w14:paraId="6CABAA13">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品牌出海方面，上市</w:t>
            </w:r>
            <w:r>
              <w:rPr>
                <w:rFonts w:ascii="Calibri" w:hAnsi="Calibri" w:eastAsia="宋体"/>
                <w:kern w:val="0"/>
                <w:sz w:val="24"/>
                <w:szCs w:val="24"/>
                <w:lang w:bidi="ar"/>
              </w:rPr>
              <w:t>4</w:t>
            </w:r>
            <w:r>
              <w:rPr>
                <w:rFonts w:hint="eastAsia" w:ascii="Calibri" w:hAnsi="Calibri" w:eastAsia="宋体"/>
                <w:kern w:val="0"/>
                <w:sz w:val="24"/>
                <w:szCs w:val="24"/>
                <w:lang w:bidi="ar"/>
              </w:rPr>
              <w:t>大风味国际罐并在上海召开全球发布盛典，持续强化媒体的宣传推广与重点城市的铺市与地推；</w:t>
            </w:r>
          </w:p>
          <w:p w14:paraId="40D6391C">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产品方面，自</w:t>
            </w:r>
            <w:r>
              <w:rPr>
                <w:rFonts w:ascii="Calibri" w:hAnsi="Calibri" w:eastAsia="宋体"/>
                <w:kern w:val="0"/>
                <w:sz w:val="24"/>
                <w:szCs w:val="24"/>
                <w:lang w:bidi="ar"/>
              </w:rPr>
              <w:t>11</w:t>
            </w:r>
            <w:r>
              <w:rPr>
                <w:rFonts w:hint="eastAsia" w:ascii="Calibri" w:hAnsi="Calibri" w:eastAsia="宋体"/>
                <w:kern w:val="0"/>
                <w:sz w:val="24"/>
                <w:szCs w:val="24"/>
                <w:lang w:bidi="ar"/>
              </w:rPr>
              <w:t>月以来</w:t>
            </w:r>
            <w:r>
              <w:rPr>
                <w:rFonts w:ascii="Calibri" w:hAnsi="Calibri" w:eastAsia="宋体"/>
                <w:kern w:val="0"/>
                <w:sz w:val="24"/>
                <w:szCs w:val="24"/>
                <w:lang w:bidi="ar"/>
              </w:rPr>
              <w:t>4</w:t>
            </w:r>
            <w:r>
              <w:rPr>
                <w:rFonts w:hint="eastAsia" w:ascii="Calibri" w:hAnsi="Calibri" w:eastAsia="宋体"/>
                <w:kern w:val="0"/>
                <w:sz w:val="24"/>
                <w:szCs w:val="24"/>
                <w:lang w:bidi="ar"/>
              </w:rPr>
              <w:t>大风味国际罐已陆续在新加坡、马来西亚等国家上市；</w:t>
            </w:r>
          </w:p>
          <w:p w14:paraId="3B13C97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海外生产方面，与马来西亚合作伙伴签署本土化生产合作框架协议，打通“本地生产</w:t>
            </w:r>
            <w:r>
              <w:rPr>
                <w:rFonts w:ascii="Calibri" w:hAnsi="Calibri" w:eastAsia="宋体"/>
                <w:kern w:val="0"/>
                <w:sz w:val="24"/>
                <w:szCs w:val="24"/>
                <w:lang w:bidi="ar"/>
              </w:rPr>
              <w:t>+</w:t>
            </w:r>
            <w:r>
              <w:rPr>
                <w:rFonts w:hint="eastAsia" w:ascii="Calibri" w:hAnsi="Calibri" w:eastAsia="宋体"/>
                <w:kern w:val="0"/>
                <w:sz w:val="24"/>
                <w:szCs w:val="24"/>
                <w:lang w:bidi="ar"/>
              </w:rPr>
              <w:t>本地罐装</w:t>
            </w:r>
            <w:r>
              <w:rPr>
                <w:rFonts w:ascii="Calibri" w:hAnsi="Calibri" w:eastAsia="宋体"/>
                <w:kern w:val="0"/>
                <w:sz w:val="24"/>
                <w:szCs w:val="24"/>
                <w:lang w:bidi="ar"/>
              </w:rPr>
              <w:t>+</w:t>
            </w:r>
            <w:r>
              <w:rPr>
                <w:rFonts w:hint="eastAsia" w:ascii="Calibri" w:hAnsi="Calibri" w:eastAsia="宋体"/>
                <w:kern w:val="0"/>
                <w:sz w:val="24"/>
                <w:szCs w:val="24"/>
                <w:lang w:bidi="ar"/>
              </w:rPr>
              <w:t>区域辐射”完整产业链条，迈出海外本土化生产关键步伐；</w:t>
            </w:r>
          </w:p>
          <w:p w14:paraId="70AD6CCF">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此外，还在重点区域市场深耕、产品本地化适配及海外社媒运营等方面持续发力，系统性构建国际业务增长新格局。</w:t>
            </w:r>
          </w:p>
          <w:p w14:paraId="17625F55">
            <w:pPr>
              <w:pStyle w:val="2"/>
              <w:spacing w:line="500" w:lineRule="exact"/>
              <w:ind w:firstLine="480" w:firstLineChars="200"/>
              <w:rPr>
                <w:rFonts w:ascii="Calibri" w:hAnsi="Calibri" w:eastAsia="宋体"/>
                <w:kern w:val="0"/>
                <w:sz w:val="24"/>
                <w:szCs w:val="24"/>
                <w:lang w:bidi="ar"/>
              </w:rPr>
            </w:pPr>
          </w:p>
          <w:p w14:paraId="710CEA36">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四</w:t>
            </w:r>
            <w:r>
              <w:rPr>
                <w:rFonts w:hint="eastAsia" w:ascii="Calibri" w:hAnsi="Calibri" w:eastAsia="宋体"/>
                <w:b/>
                <w:bCs/>
                <w:kern w:val="0"/>
                <w:sz w:val="24"/>
                <w:szCs w:val="24"/>
                <w:lang w:bidi="ar"/>
              </w:rPr>
              <w:t>）公司对“王老吉”品牌发展有何规划？</w:t>
            </w:r>
          </w:p>
          <w:p w14:paraId="09F51EB6">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王老吉以“拓展赛道，升级品牌”为核心目标，短期从提高渗透率，提高年轻消费者占比着手，持续提升终端铺货率，提升品牌价值。长期目标是分阶段有步骤地做好两方面的战略落地：一是进一步推动王老吉从“凉茶品类”迈向“天然植物饮料”赛道，加快进入新增量市场的步伐；二是迭代品牌形象、加强品牌宣传，推动品牌从“功效饮料品牌”迈向“大众生活方式品牌”，驱动持续增长。</w:t>
            </w:r>
          </w:p>
          <w:p w14:paraId="3C4EDF7B">
            <w:pPr>
              <w:pStyle w:val="2"/>
              <w:spacing w:line="500" w:lineRule="exact"/>
              <w:ind w:firstLine="480" w:firstLineChars="200"/>
              <w:rPr>
                <w:rFonts w:ascii="Calibri" w:hAnsi="Calibri" w:eastAsia="宋体"/>
                <w:kern w:val="0"/>
                <w:sz w:val="24"/>
                <w:szCs w:val="24"/>
                <w:lang w:bidi="ar"/>
              </w:rPr>
            </w:pPr>
          </w:p>
          <w:p w14:paraId="43D0B961">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五</w:t>
            </w:r>
            <w:r>
              <w:rPr>
                <w:rFonts w:hint="eastAsia" w:ascii="Calibri" w:hAnsi="Calibri" w:eastAsia="宋体"/>
                <w:b/>
                <w:bCs/>
                <w:kern w:val="0"/>
                <w:sz w:val="24"/>
                <w:szCs w:val="24"/>
                <w:lang w:bidi="ar"/>
              </w:rPr>
              <w:t>）</w:t>
            </w:r>
            <w:r>
              <w:rPr>
                <w:rFonts w:ascii="Calibri" w:hAnsi="Calibri" w:eastAsia="宋体"/>
                <w:b/>
                <w:bCs/>
                <w:kern w:val="0"/>
                <w:sz w:val="24"/>
                <w:szCs w:val="24"/>
                <w:lang w:bidi="ar"/>
              </w:rPr>
              <w:t>当前广州医药应收账款的整体周转情况怎样？针对行业常见的回款相关挑战，公司已采取或计划采取哪些应对措施？</w:t>
            </w:r>
          </w:p>
          <w:p w14:paraId="0F7C1517">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受部分医疗机构回款延迟等外部环境和因素影响，广州医药应收账款周转效率面临一定压力。为有效应对回款挑战，广州医药一方面将深化过程精细化管理与催收，持续强化动态风险监控和回款管理；另一方面，积极拓展多元化融资渠道，加速推动应收账款资产证券化（ABS）、保理等金融工具的应用，不断优化整体财务结构。</w:t>
            </w:r>
          </w:p>
          <w:p w14:paraId="0BABDE35">
            <w:pPr>
              <w:pStyle w:val="2"/>
              <w:spacing w:line="500" w:lineRule="exact"/>
              <w:rPr>
                <w:rFonts w:ascii="Calibri" w:hAnsi="Calibri" w:eastAsia="宋体"/>
                <w:kern w:val="0"/>
                <w:sz w:val="24"/>
                <w:szCs w:val="24"/>
                <w:lang w:bidi="ar"/>
              </w:rPr>
            </w:pPr>
          </w:p>
          <w:p w14:paraId="6DA759B8">
            <w:pPr>
              <w:pStyle w:val="2"/>
              <w:spacing w:line="500" w:lineRule="exact"/>
              <w:ind w:firstLine="482" w:firstLineChars="200"/>
              <w:rPr>
                <w:rFonts w:ascii="宋体" w:hAnsi="宋体" w:eastAsia="宋体"/>
                <w:b/>
                <w:bCs/>
                <w:sz w:val="24"/>
                <w:szCs w:val="24"/>
                <w:lang w:bidi="ar"/>
              </w:rPr>
            </w:pPr>
            <w:r>
              <w:rPr>
                <w:rFonts w:hint="eastAsia" w:ascii="宋体" w:hAnsi="宋体" w:eastAsia="宋体"/>
                <w:b/>
                <w:bCs/>
                <w:sz w:val="24"/>
                <w:szCs w:val="24"/>
                <w:lang w:bidi="ar"/>
              </w:rPr>
              <w:t>（十</w:t>
            </w:r>
            <w:r>
              <w:rPr>
                <w:rFonts w:hint="eastAsia" w:ascii="宋体" w:hAnsi="宋体" w:eastAsia="宋体"/>
                <w:b/>
                <w:bCs/>
                <w:sz w:val="24"/>
                <w:szCs w:val="24"/>
                <w:lang w:val="en-US" w:eastAsia="zh-CN" w:bidi="ar"/>
              </w:rPr>
              <w:t>六</w:t>
            </w:r>
            <w:r>
              <w:rPr>
                <w:rFonts w:hint="eastAsia" w:ascii="宋体" w:hAnsi="宋体" w:eastAsia="宋体"/>
                <w:b/>
                <w:bCs/>
                <w:sz w:val="24"/>
                <w:szCs w:val="24"/>
                <w:lang w:bidi="ar"/>
              </w:rPr>
              <w:t>）公司在薪酬绩效与激励机制方面有何进展？</w:t>
            </w:r>
          </w:p>
          <w:p w14:paraId="48BC6A7B">
            <w:pPr>
              <w:pStyle w:val="2"/>
              <w:spacing w:line="500" w:lineRule="exact"/>
              <w:ind w:firstLine="480" w:firstLineChars="200"/>
              <w:rPr>
                <w:rFonts w:ascii="宋体" w:hAnsi="宋体" w:eastAsia="宋体"/>
                <w:sz w:val="24"/>
                <w:szCs w:val="24"/>
                <w:lang w:bidi="ar"/>
              </w:rPr>
            </w:pPr>
            <w:r>
              <w:rPr>
                <w:rFonts w:hint="eastAsia" w:ascii="宋体" w:hAnsi="宋体" w:eastAsia="宋体"/>
                <w:sz w:val="24"/>
                <w:szCs w:val="24"/>
                <w:lang w:bidi="ar"/>
              </w:rPr>
              <w:t>答：公司已聘请第三方机构，结合公司实际发展需求，探索制定薪酬绩效优化方案，进一步激发人才动力，加强人才队伍建设；同时，积极探索适合公司或下属企业发展的改革方案，探索开展混改、职业经理人机制等创新性举措，同时支持符合条件的下属企业探索开展股权激励、员工持股等，进一步激发下属子公司发展活力。</w:t>
            </w:r>
          </w:p>
          <w:p w14:paraId="3CE8C227">
            <w:pPr>
              <w:pStyle w:val="2"/>
              <w:spacing w:line="500" w:lineRule="exact"/>
              <w:ind w:firstLine="480" w:firstLineChars="200"/>
              <w:rPr>
                <w:rFonts w:ascii="宋体" w:hAnsi="宋体" w:eastAsia="宋体"/>
                <w:sz w:val="24"/>
                <w:szCs w:val="24"/>
                <w:lang w:bidi="ar"/>
              </w:rPr>
            </w:pPr>
          </w:p>
          <w:p w14:paraId="5A6DC132">
            <w:pPr>
              <w:pStyle w:val="2"/>
              <w:spacing w:line="500" w:lineRule="exact"/>
              <w:ind w:left="420" w:leftChars="200"/>
              <w:rPr>
                <w:rFonts w:ascii="宋体" w:hAnsi="宋体" w:eastAsia="宋体"/>
                <w:b/>
                <w:bCs/>
                <w:sz w:val="24"/>
                <w:szCs w:val="24"/>
                <w:lang w:bidi="ar"/>
              </w:rPr>
            </w:pPr>
            <w:r>
              <w:rPr>
                <w:rFonts w:hint="eastAsia" w:ascii="宋体" w:hAnsi="宋体" w:eastAsia="宋体"/>
                <w:b/>
                <w:bCs/>
                <w:sz w:val="24"/>
                <w:szCs w:val="24"/>
                <w:lang w:bidi="ar"/>
              </w:rPr>
              <w:t>（十</w:t>
            </w:r>
            <w:r>
              <w:rPr>
                <w:rFonts w:hint="eastAsia" w:ascii="宋体" w:hAnsi="宋体" w:eastAsia="宋体"/>
                <w:b/>
                <w:bCs/>
                <w:sz w:val="24"/>
                <w:szCs w:val="24"/>
                <w:lang w:val="en-US" w:eastAsia="zh-CN" w:bidi="ar"/>
              </w:rPr>
              <w:t>七</w:t>
            </w:r>
            <w:r>
              <w:rPr>
                <w:rFonts w:hint="eastAsia" w:ascii="宋体" w:hAnsi="宋体" w:eastAsia="宋体"/>
                <w:b/>
                <w:bCs/>
                <w:sz w:val="24"/>
                <w:szCs w:val="24"/>
                <w:lang w:bidi="ar"/>
              </w:rPr>
              <w:t>）公司在加强市值管理方面有哪些举措？</w:t>
            </w:r>
          </w:p>
          <w:p w14:paraId="69E44A89">
            <w:pPr>
              <w:pStyle w:val="2"/>
              <w:spacing w:line="500" w:lineRule="exact"/>
              <w:ind w:firstLine="480" w:firstLineChars="200"/>
              <w:rPr>
                <w:rFonts w:ascii="宋体" w:hAnsi="宋体" w:eastAsia="宋体"/>
                <w:sz w:val="24"/>
                <w:szCs w:val="24"/>
                <w:lang w:bidi="ar"/>
              </w:rPr>
            </w:pPr>
            <w:r>
              <w:rPr>
                <w:rFonts w:hint="eastAsia" w:ascii="宋体" w:hAnsi="宋体" w:eastAsia="宋体"/>
                <w:sz w:val="24"/>
                <w:szCs w:val="24"/>
                <w:lang w:bidi="ar"/>
              </w:rPr>
              <w:t>答：公司一直重视市值管理。2025年，公司制定了《市值管理制度》和《2025年度“提质增效重回报”行动方案》，同时通过提高分红比例（2024年分红比例提高至45.87%）、增加分红频次（实施2025年中期分红）、持续加强投资者交流（开展各类投资者交流活动超80场、交流人次超350）、强化ESG体系建设（MSCI、WIND的ESG评级均为A级），</w:t>
            </w:r>
            <w:r>
              <w:rPr>
                <w:rFonts w:ascii="宋体" w:hAnsi="宋体" w:eastAsia="宋体"/>
                <w:sz w:val="24"/>
                <w:szCs w:val="24"/>
                <w:lang w:bidi="ar"/>
              </w:rPr>
              <w:t>全方位夯实公司价值基础与市场信任度</w:t>
            </w:r>
            <w:r>
              <w:rPr>
                <w:rFonts w:hint="eastAsia" w:ascii="宋体" w:hAnsi="宋体" w:eastAsia="宋体"/>
                <w:sz w:val="24"/>
                <w:szCs w:val="24"/>
                <w:lang w:bidi="ar"/>
              </w:rPr>
              <w:t>。下一步，公司将坚持内生增长与外延拓展，推动公司持续稳定发展，同时加强品牌管理、强化科研创新、加快资本运作、优化完善考核与激励机制、灵活运用股利措施、更加主动开展投资者交流等，进一步强化市值管理。</w:t>
            </w:r>
          </w:p>
        </w:tc>
      </w:tr>
    </w:tbl>
    <w:p w14:paraId="7999252A">
      <w:pPr>
        <w:rPr>
          <w:rFonts w:ascii="宋体" w:hAnsi="宋体" w:eastAsia="宋体"/>
          <w:sz w:val="24"/>
          <w:szCs w:val="24"/>
        </w:rPr>
      </w:pPr>
      <w:bookmarkStart w:id="2" w:name="_GoBack"/>
      <w:bookmarkEnd w:id="2"/>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EB9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0CB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40CB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62AF3"/>
    <w:rsid w:val="00172A27"/>
    <w:rsid w:val="00181A29"/>
    <w:rsid w:val="00190A5F"/>
    <w:rsid w:val="00192476"/>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638D2"/>
    <w:rsid w:val="00372AEC"/>
    <w:rsid w:val="00372E22"/>
    <w:rsid w:val="003843DA"/>
    <w:rsid w:val="00393833"/>
    <w:rsid w:val="003B20EB"/>
    <w:rsid w:val="003D4A24"/>
    <w:rsid w:val="003E2611"/>
    <w:rsid w:val="00416276"/>
    <w:rsid w:val="00417D16"/>
    <w:rsid w:val="0042267D"/>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16D30"/>
    <w:rsid w:val="0092138B"/>
    <w:rsid w:val="00924CFF"/>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2458"/>
    <w:rsid w:val="00B85224"/>
    <w:rsid w:val="00B85BF3"/>
    <w:rsid w:val="00B86058"/>
    <w:rsid w:val="00BA4FAB"/>
    <w:rsid w:val="00BD34F3"/>
    <w:rsid w:val="00BE71DD"/>
    <w:rsid w:val="00BF53F3"/>
    <w:rsid w:val="00BF6490"/>
    <w:rsid w:val="00C17FFD"/>
    <w:rsid w:val="00C30AEE"/>
    <w:rsid w:val="00C419EA"/>
    <w:rsid w:val="00C52639"/>
    <w:rsid w:val="00C618C3"/>
    <w:rsid w:val="00C6785D"/>
    <w:rsid w:val="00C67F92"/>
    <w:rsid w:val="00C74C1A"/>
    <w:rsid w:val="00C84386"/>
    <w:rsid w:val="00C90242"/>
    <w:rsid w:val="00CB14DC"/>
    <w:rsid w:val="00CC5714"/>
    <w:rsid w:val="00CE6791"/>
    <w:rsid w:val="00CF047B"/>
    <w:rsid w:val="00CF1631"/>
    <w:rsid w:val="00CF4DDB"/>
    <w:rsid w:val="00D075FA"/>
    <w:rsid w:val="00D15514"/>
    <w:rsid w:val="00D25777"/>
    <w:rsid w:val="00D32B0B"/>
    <w:rsid w:val="00D4320B"/>
    <w:rsid w:val="00DA63E6"/>
    <w:rsid w:val="00DB1D0E"/>
    <w:rsid w:val="00DC5CB4"/>
    <w:rsid w:val="00DD7901"/>
    <w:rsid w:val="00DE1A21"/>
    <w:rsid w:val="00E00758"/>
    <w:rsid w:val="00E10DEB"/>
    <w:rsid w:val="00E163CE"/>
    <w:rsid w:val="00E265BD"/>
    <w:rsid w:val="00E4048D"/>
    <w:rsid w:val="00E46AD2"/>
    <w:rsid w:val="00E735D9"/>
    <w:rsid w:val="00E7643E"/>
    <w:rsid w:val="00E863F3"/>
    <w:rsid w:val="00EA7ED8"/>
    <w:rsid w:val="00EC4BF3"/>
    <w:rsid w:val="00EC7D58"/>
    <w:rsid w:val="00ED3436"/>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7B32739"/>
    <w:rsid w:val="0882554E"/>
    <w:rsid w:val="090C0028"/>
    <w:rsid w:val="091A677A"/>
    <w:rsid w:val="09EB2C7F"/>
    <w:rsid w:val="0A2F6341"/>
    <w:rsid w:val="0A764C3F"/>
    <w:rsid w:val="0A8344B4"/>
    <w:rsid w:val="0AA7304A"/>
    <w:rsid w:val="0ADD5073"/>
    <w:rsid w:val="0AE71698"/>
    <w:rsid w:val="0AEC3153"/>
    <w:rsid w:val="0AF11EFA"/>
    <w:rsid w:val="0B801AF3"/>
    <w:rsid w:val="0BCE214B"/>
    <w:rsid w:val="0BFD6B61"/>
    <w:rsid w:val="0C17188A"/>
    <w:rsid w:val="0C9B098C"/>
    <w:rsid w:val="0CB240D8"/>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3F476E"/>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9360E5"/>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CE33A3"/>
    <w:rsid w:val="1DD333DB"/>
    <w:rsid w:val="1DDE150B"/>
    <w:rsid w:val="1E3C42D4"/>
    <w:rsid w:val="1ECB4267"/>
    <w:rsid w:val="1F3638AE"/>
    <w:rsid w:val="1F594E5D"/>
    <w:rsid w:val="1FBD2442"/>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1C0BF7"/>
    <w:rsid w:val="262275D1"/>
    <w:rsid w:val="266876DA"/>
    <w:rsid w:val="26862B41"/>
    <w:rsid w:val="26F61EFB"/>
    <w:rsid w:val="2758774E"/>
    <w:rsid w:val="278E4F1E"/>
    <w:rsid w:val="280D4603"/>
    <w:rsid w:val="287912E5"/>
    <w:rsid w:val="287C121A"/>
    <w:rsid w:val="292E501E"/>
    <w:rsid w:val="29B535B1"/>
    <w:rsid w:val="2A1A2444"/>
    <w:rsid w:val="2A3648F0"/>
    <w:rsid w:val="2A715156"/>
    <w:rsid w:val="2A790107"/>
    <w:rsid w:val="2A86447F"/>
    <w:rsid w:val="2ADF2513"/>
    <w:rsid w:val="2B075C65"/>
    <w:rsid w:val="2B447689"/>
    <w:rsid w:val="2B591E08"/>
    <w:rsid w:val="2BBB02AC"/>
    <w:rsid w:val="2BCF10A6"/>
    <w:rsid w:val="2C1300E8"/>
    <w:rsid w:val="2C575738"/>
    <w:rsid w:val="2C8B5ED0"/>
    <w:rsid w:val="2C960884"/>
    <w:rsid w:val="2CA973E9"/>
    <w:rsid w:val="2D4521E4"/>
    <w:rsid w:val="2DD90EBD"/>
    <w:rsid w:val="2DF81343"/>
    <w:rsid w:val="2E6B2BC6"/>
    <w:rsid w:val="2EE47B19"/>
    <w:rsid w:val="2F2D14C0"/>
    <w:rsid w:val="2F964F05"/>
    <w:rsid w:val="2FEA11EA"/>
    <w:rsid w:val="3036293F"/>
    <w:rsid w:val="30896480"/>
    <w:rsid w:val="30963095"/>
    <w:rsid w:val="30A07565"/>
    <w:rsid w:val="31363720"/>
    <w:rsid w:val="314E47F2"/>
    <w:rsid w:val="315C308A"/>
    <w:rsid w:val="31807F66"/>
    <w:rsid w:val="31B118FD"/>
    <w:rsid w:val="32A7158A"/>
    <w:rsid w:val="32AE46C6"/>
    <w:rsid w:val="32DE69D8"/>
    <w:rsid w:val="32EB2B64"/>
    <w:rsid w:val="335C6172"/>
    <w:rsid w:val="336229E7"/>
    <w:rsid w:val="337F6B6E"/>
    <w:rsid w:val="33911F37"/>
    <w:rsid w:val="33E21C1A"/>
    <w:rsid w:val="34311A53"/>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864B2"/>
    <w:rsid w:val="3A1F4445"/>
    <w:rsid w:val="3A3815D3"/>
    <w:rsid w:val="3A3E6C77"/>
    <w:rsid w:val="3A415891"/>
    <w:rsid w:val="3A591F82"/>
    <w:rsid w:val="3A6D7BE3"/>
    <w:rsid w:val="3ACC7DDF"/>
    <w:rsid w:val="3B225C51"/>
    <w:rsid w:val="3B3E3FA5"/>
    <w:rsid w:val="3B450930"/>
    <w:rsid w:val="3BA23236"/>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0E35B04"/>
    <w:rsid w:val="41990C37"/>
    <w:rsid w:val="41ED47FB"/>
    <w:rsid w:val="41F80C94"/>
    <w:rsid w:val="42537038"/>
    <w:rsid w:val="42835EF4"/>
    <w:rsid w:val="42CE4911"/>
    <w:rsid w:val="430D7664"/>
    <w:rsid w:val="43190F58"/>
    <w:rsid w:val="43763100"/>
    <w:rsid w:val="437B2938"/>
    <w:rsid w:val="43FB0295"/>
    <w:rsid w:val="4427077C"/>
    <w:rsid w:val="44492474"/>
    <w:rsid w:val="44617BA5"/>
    <w:rsid w:val="44DC3315"/>
    <w:rsid w:val="450137F0"/>
    <w:rsid w:val="45053792"/>
    <w:rsid w:val="4534527F"/>
    <w:rsid w:val="453D05C7"/>
    <w:rsid w:val="45516773"/>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4FBB7FCB"/>
    <w:rsid w:val="502D0E36"/>
    <w:rsid w:val="50333DEC"/>
    <w:rsid w:val="50414974"/>
    <w:rsid w:val="508F56DF"/>
    <w:rsid w:val="50E35EBB"/>
    <w:rsid w:val="50FB0FC7"/>
    <w:rsid w:val="51404C2B"/>
    <w:rsid w:val="51F949B7"/>
    <w:rsid w:val="52985AF9"/>
    <w:rsid w:val="53505AE5"/>
    <w:rsid w:val="53830F02"/>
    <w:rsid w:val="53A316C5"/>
    <w:rsid w:val="53CE31DB"/>
    <w:rsid w:val="53FD9CDC"/>
    <w:rsid w:val="54327A61"/>
    <w:rsid w:val="54DC7AC6"/>
    <w:rsid w:val="5560764A"/>
    <w:rsid w:val="55AC288F"/>
    <w:rsid w:val="55C86F8B"/>
    <w:rsid w:val="55D6790C"/>
    <w:rsid w:val="56D15A89"/>
    <w:rsid w:val="572C51A7"/>
    <w:rsid w:val="576C677A"/>
    <w:rsid w:val="57C661A5"/>
    <w:rsid w:val="57CB1AC4"/>
    <w:rsid w:val="58035059"/>
    <w:rsid w:val="587358E6"/>
    <w:rsid w:val="58AC2BA6"/>
    <w:rsid w:val="58E41B62"/>
    <w:rsid w:val="592D325B"/>
    <w:rsid w:val="59314761"/>
    <w:rsid w:val="593D2E59"/>
    <w:rsid w:val="59D02FE6"/>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876902"/>
    <w:rsid w:val="66A650D9"/>
    <w:rsid w:val="66BD5E1B"/>
    <w:rsid w:val="66CD2666"/>
    <w:rsid w:val="67087B42"/>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58469A"/>
    <w:rsid w:val="6C6E055C"/>
    <w:rsid w:val="6C740B5E"/>
    <w:rsid w:val="6CC57182"/>
    <w:rsid w:val="6CC7277A"/>
    <w:rsid w:val="6D1D1356"/>
    <w:rsid w:val="6DA74875"/>
    <w:rsid w:val="6DE8697B"/>
    <w:rsid w:val="6E1967C1"/>
    <w:rsid w:val="6EBC5114"/>
    <w:rsid w:val="6ED57945"/>
    <w:rsid w:val="6EF2710D"/>
    <w:rsid w:val="6F4E7113"/>
    <w:rsid w:val="6F541B76"/>
    <w:rsid w:val="6F8E7ECA"/>
    <w:rsid w:val="6F9D2C59"/>
    <w:rsid w:val="6FAE28B9"/>
    <w:rsid w:val="6FBB11B3"/>
    <w:rsid w:val="70096E04"/>
    <w:rsid w:val="70B12FF8"/>
    <w:rsid w:val="71141CBA"/>
    <w:rsid w:val="71F37B08"/>
    <w:rsid w:val="72127AC6"/>
    <w:rsid w:val="722F31E7"/>
    <w:rsid w:val="724F6669"/>
    <w:rsid w:val="72A5504C"/>
    <w:rsid w:val="72E363F2"/>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3B688B"/>
    <w:rsid w:val="7C41491B"/>
    <w:rsid w:val="7C58305E"/>
    <w:rsid w:val="7C7F7042"/>
    <w:rsid w:val="7D2637C1"/>
    <w:rsid w:val="7D505977"/>
    <w:rsid w:val="7E210840"/>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23d6e403-b638-4b12-9190-85911a8cfdff</errorID>
      <errorWord>司</errorWord>
      <group>L1_Word</group>
      <groupName>字词问题</groupName>
      <ability>L2_Typo</ability>
      <abilityName>字词错误</abilityName>
      <candidateList>
        <item>司将</item>
      </candidateList>
      <explain/>
      <paraID>657AB9E0</paraID>
      <start>3</start>
      <end>4</end>
      <status>ignored</status>
      <modifiedWord/>
      <trackRevisions>false</trackRevisions>
    </reviewItem>
    <reviewItem>
      <errorID>a9ca58ab-cff7-4175-a6f2-feec81314c0e</errorID>
      <errorWord>。</errorWord>
      <group>L1_Grammar</group>
      <groupName>语法问题</groupName>
      <ability>L2_Order</ability>
      <abilityName>语序不当</abilityName>
      <candidateList>
        <item>的方案。</item>
      </candidateList>
      <explain>句子可能没有遵循时空、逻辑顺序，或者介词、关联词等位置不当。</explain>
      <paraID>3AE01411</paraID>
      <start>72</start>
      <end>73</end>
      <status>ignored</status>
      <modifiedWord/>
      <trackRevisions>false</trackRevisions>
    </reviewItem>
    <reviewItem>
      <errorID>977c552a-ec67-44fa-a22b-f6adbed1e19f</errorID>
      <errorWord>铺市</errorWord>
      <group>L1_Word</group>
      <groupName>字词问题</groupName>
      <ability>L2_Typo</ability>
      <abilityName>字词错误</abilityName>
      <candidateList>
        <item>铺展</item>
      </candidateList>
      <explain/>
      <paraID>6CABAA13</paraID>
      <start>46</start>
      <end>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2ea86-e843-45d6-90cb-1a2cfc1c5e47}">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8</Pages>
  <Words>3998</Words>
  <Characters>4190</Characters>
  <Lines>32</Lines>
  <Paragraphs>9</Paragraphs>
  <TotalTime>16</TotalTime>
  <ScaleCrop>false</ScaleCrop>
  <LinksUpToDate>false</LinksUpToDate>
  <CharactersWithSpaces>4234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2026-01-08T08:17:15Z</cp:lastPrinted>
  <dcterms:modified xsi:type="dcterms:W3CDTF">2026-01-08T08:33:38Z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A24935D826614259B23A3C5B8C6FDBBB_13</vt:lpwstr>
  </property>
  <property fmtid="{D5CDD505-2E9C-101B-9397-08002B2CF9AE}" pid="4" name="KSOTemplateDocerSaveRecord">
    <vt:lpwstr>eyJoZGlkIjoiNmFhMmVlNzFjNDI0ZTliMTBjN2NmZDYxODZkZGVmMDciLCJ1c2VySWQiOiIzMzY0MjI1NDgifQ==</vt:lpwstr>
  </property>
</Properties>
</file>