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5BE73">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证券代码：6</w:t>
      </w:r>
      <w:r>
        <w:rPr>
          <w:rFonts w:ascii="宋体" w:hAnsi="宋体"/>
          <w:bCs/>
          <w:iCs/>
          <w:color w:val="000000"/>
          <w:sz w:val="24"/>
        </w:rPr>
        <w:t>88701</w:t>
      </w:r>
      <w:r>
        <w:rPr>
          <w:rFonts w:hint="eastAsia" w:ascii="宋体" w:hAnsi="宋体"/>
          <w:bCs/>
          <w:iCs/>
          <w:color w:val="000000"/>
          <w:sz w:val="24"/>
        </w:rPr>
        <w:t xml:space="preserve">                               证券简称：卓锦股份</w:t>
      </w:r>
    </w:p>
    <w:p w14:paraId="45E48AC4">
      <w:pPr>
        <w:spacing w:before="156" w:beforeLines="50" w:after="156" w:afterLines="50" w:line="400" w:lineRule="exact"/>
        <w:jc w:val="center"/>
        <w:rPr>
          <w:rFonts w:ascii="黑体" w:hAnsi="黑体" w:eastAsia="黑体"/>
          <w:b/>
          <w:bCs/>
          <w:iCs/>
          <w:color w:val="000000"/>
          <w:sz w:val="32"/>
          <w:szCs w:val="32"/>
        </w:rPr>
      </w:pPr>
      <w:r>
        <w:rPr>
          <w:rFonts w:hint="eastAsia" w:ascii="黑体" w:hAnsi="黑体" w:eastAsia="黑体"/>
          <w:b/>
          <w:bCs/>
          <w:iCs/>
          <w:color w:val="000000"/>
          <w:sz w:val="32"/>
          <w:szCs w:val="32"/>
        </w:rPr>
        <w:t>浙江卓锦环保科技股份有限公司</w:t>
      </w:r>
    </w:p>
    <w:p w14:paraId="05B8291B">
      <w:pPr>
        <w:spacing w:before="156" w:beforeLines="50" w:after="156" w:afterLines="50" w:line="400" w:lineRule="exact"/>
        <w:jc w:val="center"/>
        <w:rPr>
          <w:rFonts w:ascii="黑体" w:hAnsi="黑体" w:eastAsia="黑体"/>
          <w:b/>
          <w:bCs/>
          <w:iCs/>
          <w:color w:val="000000"/>
          <w:sz w:val="32"/>
          <w:szCs w:val="32"/>
        </w:rPr>
      </w:pPr>
      <w:r>
        <w:rPr>
          <w:rFonts w:hint="eastAsia" w:ascii="黑体" w:hAnsi="黑体" w:eastAsia="黑体"/>
          <w:b/>
          <w:bCs/>
          <w:iCs/>
          <w:color w:val="000000"/>
          <w:sz w:val="32"/>
          <w:szCs w:val="32"/>
        </w:rPr>
        <w:t>投资者关系活动记录表</w:t>
      </w:r>
    </w:p>
    <w:p w14:paraId="050DB6CC">
      <w:pPr>
        <w:spacing w:line="400" w:lineRule="exact"/>
        <w:rPr>
          <w:rFonts w:ascii="宋体" w:hAnsi="宋体"/>
          <w:bCs/>
          <w:iCs/>
          <w:color w:val="000000"/>
          <w:sz w:val="24"/>
        </w:rPr>
      </w:pPr>
      <w:r>
        <w:rPr>
          <w:rFonts w:hint="eastAsia" w:ascii="宋体" w:hAnsi="宋体"/>
          <w:bCs/>
          <w:iCs/>
          <w:color w:val="000000"/>
          <w:sz w:val="24"/>
        </w:rPr>
        <w:t xml:space="preserve">                                                      编号：2</w:t>
      </w:r>
      <w:r>
        <w:rPr>
          <w:rFonts w:ascii="宋体" w:hAnsi="宋体"/>
          <w:bCs/>
          <w:iCs/>
          <w:color w:val="000000"/>
          <w:sz w:val="24"/>
        </w:rPr>
        <w:t>02</w:t>
      </w:r>
      <w:r>
        <w:rPr>
          <w:rFonts w:hint="eastAsia" w:ascii="宋体" w:hAnsi="宋体"/>
          <w:bCs/>
          <w:iCs/>
          <w:color w:val="000000"/>
          <w:sz w:val="24"/>
        </w:rPr>
        <w:t>6</w:t>
      </w:r>
      <w:r>
        <w:rPr>
          <w:rFonts w:ascii="宋体" w:hAnsi="宋体"/>
          <w:bCs/>
          <w:iCs/>
          <w:color w:val="000000"/>
          <w:sz w:val="24"/>
        </w:rPr>
        <w:t>-001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6436"/>
      </w:tblGrid>
      <w:tr w14:paraId="143F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7A2A563F">
            <w:pPr>
              <w:spacing w:line="100" w:lineRule="atLeast"/>
              <w:jc w:val="center"/>
              <w:rPr>
                <w:rFonts w:ascii="宋体" w:hAnsi="宋体"/>
                <w:b/>
                <w:iCs/>
                <w:color w:val="000000"/>
                <w:sz w:val="24"/>
              </w:rPr>
            </w:pPr>
            <w:r>
              <w:rPr>
                <w:rFonts w:hint="eastAsia" w:ascii="宋体" w:hAnsi="宋体"/>
                <w:b/>
                <w:iCs/>
                <w:color w:val="000000"/>
                <w:sz w:val="24"/>
              </w:rPr>
              <w:t>投资者关系活动类别</w:t>
            </w:r>
          </w:p>
          <w:p w14:paraId="453B9A2F">
            <w:pPr>
              <w:spacing w:line="100" w:lineRule="atLeast"/>
              <w:rPr>
                <w:rFonts w:ascii="宋体" w:hAnsi="宋体"/>
                <w:b/>
                <w:iCs/>
                <w:color w:val="000000"/>
                <w:sz w:val="24"/>
              </w:rPr>
            </w:pP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1A96DB1D">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特定对象调研        </w:t>
            </w:r>
            <w:r>
              <w:rPr>
                <w:rFonts w:hint="eastAsia" w:ascii="宋体" w:hAnsi="宋体"/>
                <w:bCs/>
                <w:iCs/>
                <w:color w:val="000000"/>
                <w:sz w:val="24"/>
              </w:rPr>
              <w:t>□</w:t>
            </w:r>
            <w:r>
              <w:rPr>
                <w:rFonts w:hint="eastAsia" w:ascii="宋体" w:hAnsi="宋体"/>
                <w:sz w:val="24"/>
              </w:rPr>
              <w:t>分析师会议</w:t>
            </w:r>
          </w:p>
          <w:p w14:paraId="28609970">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媒体采访            </w:t>
            </w:r>
            <w:r>
              <w:rPr>
                <w:rFonts w:hint="eastAsia" w:ascii="宋体" w:hAnsi="宋体"/>
                <w:bCs/>
                <w:iCs/>
                <w:color w:val="000000"/>
                <w:sz w:val="24"/>
              </w:rPr>
              <w:t>□</w:t>
            </w:r>
            <w:r>
              <w:rPr>
                <w:rFonts w:hint="eastAsia" w:ascii="宋体" w:hAnsi="宋体"/>
                <w:sz w:val="24"/>
              </w:rPr>
              <w:t>业绩说明会</w:t>
            </w:r>
          </w:p>
          <w:p w14:paraId="1CEB367B">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新闻发布会          </w:t>
            </w:r>
            <w:r>
              <w:rPr>
                <w:rFonts w:hint="eastAsia" w:ascii="宋体" w:hAnsi="宋体"/>
                <w:bCs/>
                <w:iCs/>
                <w:color w:val="000000"/>
                <w:sz w:val="24"/>
              </w:rPr>
              <w:t>□</w:t>
            </w:r>
            <w:r>
              <w:rPr>
                <w:rFonts w:hint="eastAsia" w:ascii="宋体" w:hAnsi="宋体"/>
                <w:sz w:val="24"/>
              </w:rPr>
              <w:t>路演活动</w:t>
            </w:r>
          </w:p>
          <w:p w14:paraId="0695C987">
            <w:pPr>
              <w:tabs>
                <w:tab w:val="left" w:pos="3045"/>
                <w:tab w:val="center" w:pos="3199"/>
              </w:tabs>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现场参观</w:t>
            </w:r>
            <w:r>
              <w:rPr>
                <w:rFonts w:hint="eastAsia" w:ascii="宋体" w:hAnsi="宋体"/>
                <w:bCs/>
                <w:iCs/>
                <w:color w:val="000000"/>
                <w:sz w:val="24"/>
              </w:rPr>
              <w:tab/>
            </w:r>
          </w:p>
          <w:p w14:paraId="3B610667">
            <w:pPr>
              <w:tabs>
                <w:tab w:val="center" w:pos="3199"/>
              </w:tabs>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其他 （</w:t>
            </w:r>
            <w:r>
              <w:rPr>
                <w:rFonts w:hint="eastAsia" w:ascii="宋体" w:hAnsi="宋体"/>
                <w:sz w:val="24"/>
                <w:u w:val="single"/>
              </w:rPr>
              <w:t>请文字说明其他活动内容）</w:t>
            </w:r>
          </w:p>
        </w:tc>
      </w:tr>
      <w:tr w14:paraId="4DE9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5F482DBF">
            <w:pPr>
              <w:spacing w:line="100" w:lineRule="atLeast"/>
              <w:jc w:val="center"/>
              <w:rPr>
                <w:rFonts w:ascii="宋体" w:hAnsi="宋体"/>
                <w:b/>
                <w:iCs/>
                <w:color w:val="000000"/>
                <w:sz w:val="24"/>
              </w:rPr>
            </w:pPr>
            <w:r>
              <w:rPr>
                <w:rFonts w:hint="eastAsia" w:ascii="宋体" w:hAnsi="宋体"/>
                <w:b/>
                <w:iCs/>
                <w:color w:val="000000"/>
                <w:sz w:val="24"/>
              </w:rPr>
              <w:t>参与单位名称</w:t>
            </w:r>
            <w:bookmarkStart w:id="0" w:name="_GoBack"/>
            <w:bookmarkEnd w:id="0"/>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6E991733">
            <w:pPr>
              <w:spacing w:line="480" w:lineRule="atLeast"/>
              <w:rPr>
                <w:rFonts w:hint="eastAsia" w:ascii="宋体" w:hAnsi="宋体"/>
                <w:bCs/>
                <w:iCs/>
                <w:color w:val="000000"/>
                <w:sz w:val="24"/>
                <w:lang w:val="en-US" w:eastAsia="zh-CN"/>
              </w:rPr>
            </w:pPr>
            <w:r>
              <w:rPr>
                <w:rFonts w:hint="eastAsia" w:ascii="宋体" w:hAnsi="宋体"/>
                <w:bCs/>
                <w:iCs/>
                <w:color w:val="000000"/>
                <w:sz w:val="24"/>
                <w:lang w:val="en-US" w:eastAsia="zh-CN"/>
              </w:rPr>
              <w:t>国泰海通证券股份有限公司</w:t>
            </w:r>
          </w:p>
          <w:p w14:paraId="6F0FD84B">
            <w:pPr>
              <w:spacing w:line="480" w:lineRule="atLeast"/>
              <w:rPr>
                <w:rFonts w:hint="default" w:ascii="宋体" w:hAnsi="宋体" w:eastAsia="宋体"/>
                <w:bCs/>
                <w:iCs/>
                <w:color w:val="000000"/>
                <w:sz w:val="24"/>
                <w:lang w:val="en-US" w:eastAsia="zh-CN"/>
              </w:rPr>
            </w:pPr>
            <w:r>
              <w:rPr>
                <w:rFonts w:hint="eastAsia" w:ascii="宋体" w:hAnsi="宋体"/>
                <w:bCs/>
                <w:iCs/>
                <w:color w:val="000000"/>
                <w:sz w:val="24"/>
                <w:lang w:val="en-US" w:eastAsia="zh-CN"/>
              </w:rPr>
              <w:t>杭州怀信私募基金管理有限公司</w:t>
            </w:r>
          </w:p>
        </w:tc>
      </w:tr>
      <w:tr w14:paraId="053E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1702EFA2">
            <w:pPr>
              <w:spacing w:line="100" w:lineRule="atLeast"/>
              <w:jc w:val="center"/>
              <w:rPr>
                <w:rFonts w:ascii="宋体" w:hAnsi="宋体"/>
                <w:b/>
                <w:iCs/>
                <w:color w:val="000000"/>
                <w:sz w:val="24"/>
              </w:rPr>
            </w:pPr>
            <w:r>
              <w:rPr>
                <w:rFonts w:hint="eastAsia" w:ascii="宋体" w:hAnsi="宋体"/>
                <w:b/>
                <w:iCs/>
                <w:color w:val="000000"/>
                <w:sz w:val="24"/>
              </w:rPr>
              <w:t>时间</w:t>
            </w: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66AFE707">
            <w:pPr>
              <w:spacing w:line="480" w:lineRule="atLeast"/>
              <w:rPr>
                <w:rFonts w:ascii="宋体" w:hAnsi="宋体"/>
                <w:bCs/>
                <w:iCs/>
                <w:color w:val="000000"/>
                <w:sz w:val="24"/>
              </w:rPr>
            </w:pPr>
            <w:r>
              <w:rPr>
                <w:rFonts w:hint="eastAsia" w:ascii="宋体" w:hAnsi="宋体"/>
                <w:bCs/>
                <w:iCs/>
                <w:color w:val="000000"/>
                <w:sz w:val="24"/>
              </w:rPr>
              <w:t>2</w:t>
            </w:r>
            <w:r>
              <w:rPr>
                <w:rFonts w:ascii="宋体" w:hAnsi="宋体"/>
                <w:bCs/>
                <w:iCs/>
                <w:color w:val="000000"/>
                <w:sz w:val="24"/>
              </w:rPr>
              <w:t>02</w:t>
            </w:r>
            <w:r>
              <w:rPr>
                <w:rFonts w:hint="eastAsia" w:ascii="宋体" w:hAnsi="宋体"/>
                <w:bCs/>
                <w:iCs/>
                <w:color w:val="000000"/>
                <w:sz w:val="24"/>
              </w:rPr>
              <w:t>6年1月9日 1</w:t>
            </w:r>
            <w:r>
              <w:rPr>
                <w:rFonts w:ascii="宋体" w:hAnsi="宋体"/>
                <w:bCs/>
                <w:iCs/>
                <w:color w:val="000000"/>
                <w:sz w:val="24"/>
              </w:rPr>
              <w:t>0</w:t>
            </w:r>
            <w:r>
              <w:rPr>
                <w:rFonts w:hint="eastAsia" w:ascii="宋体" w:hAnsi="宋体"/>
                <w:bCs/>
                <w:iCs/>
                <w:color w:val="000000"/>
                <w:sz w:val="24"/>
              </w:rPr>
              <w:t>:</w:t>
            </w:r>
            <w:r>
              <w:rPr>
                <w:rFonts w:ascii="宋体" w:hAnsi="宋体"/>
                <w:bCs/>
                <w:iCs/>
                <w:color w:val="000000"/>
                <w:sz w:val="24"/>
              </w:rPr>
              <w:t>00</w:t>
            </w:r>
          </w:p>
        </w:tc>
      </w:tr>
      <w:tr w14:paraId="4778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5677A853">
            <w:pPr>
              <w:spacing w:line="100" w:lineRule="atLeast"/>
              <w:jc w:val="center"/>
              <w:rPr>
                <w:rFonts w:ascii="宋体" w:hAnsi="宋体"/>
                <w:b/>
                <w:iCs/>
                <w:color w:val="000000"/>
                <w:sz w:val="24"/>
              </w:rPr>
            </w:pPr>
            <w:r>
              <w:rPr>
                <w:rFonts w:hint="eastAsia" w:ascii="宋体" w:hAnsi="宋体"/>
                <w:b/>
                <w:iCs/>
                <w:color w:val="000000"/>
                <w:sz w:val="24"/>
              </w:rPr>
              <w:t>地点</w:t>
            </w: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478153CA">
            <w:pPr>
              <w:spacing w:line="480" w:lineRule="atLeast"/>
              <w:rPr>
                <w:rFonts w:ascii="宋体" w:hAnsi="宋体"/>
                <w:bCs/>
                <w:iCs/>
                <w:color w:val="000000"/>
                <w:sz w:val="24"/>
              </w:rPr>
            </w:pPr>
            <w:r>
              <w:rPr>
                <w:rFonts w:hint="eastAsia" w:ascii="宋体" w:hAnsi="宋体"/>
                <w:bCs/>
                <w:iCs/>
                <w:color w:val="000000"/>
                <w:sz w:val="24"/>
              </w:rPr>
              <w:t>公司7楼会议室</w:t>
            </w:r>
          </w:p>
        </w:tc>
      </w:tr>
      <w:tr w14:paraId="36B9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6D0260AD">
            <w:pPr>
              <w:spacing w:line="100" w:lineRule="atLeast"/>
              <w:jc w:val="center"/>
              <w:rPr>
                <w:rFonts w:ascii="宋体" w:hAnsi="宋体"/>
                <w:b/>
                <w:iCs/>
                <w:color w:val="000000"/>
                <w:sz w:val="24"/>
              </w:rPr>
            </w:pPr>
            <w:r>
              <w:rPr>
                <w:rFonts w:hint="eastAsia" w:ascii="宋体" w:hAnsi="宋体"/>
                <w:b/>
                <w:iCs/>
                <w:color w:val="000000"/>
                <w:sz w:val="24"/>
              </w:rPr>
              <w:t>上市公司接待人员姓名</w:t>
            </w: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0F43CA6E">
            <w:pPr>
              <w:spacing w:line="480" w:lineRule="atLeast"/>
              <w:rPr>
                <w:rFonts w:ascii="宋体" w:hAnsi="宋体"/>
                <w:bCs/>
                <w:iCs/>
                <w:color w:val="000000"/>
                <w:sz w:val="24"/>
              </w:rPr>
            </w:pPr>
            <w:r>
              <w:rPr>
                <w:rFonts w:hint="eastAsia" w:ascii="宋体" w:hAnsi="宋体"/>
                <w:bCs/>
                <w:iCs/>
                <w:color w:val="000000"/>
                <w:sz w:val="24"/>
              </w:rPr>
              <w:t>董事会秘书：朱仝先生</w:t>
            </w:r>
          </w:p>
        </w:tc>
      </w:tr>
      <w:tr w14:paraId="4B06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0A85AAE9">
            <w:pPr>
              <w:spacing w:line="100" w:lineRule="atLeast"/>
              <w:jc w:val="center"/>
              <w:rPr>
                <w:rFonts w:ascii="宋体" w:hAnsi="宋体"/>
                <w:b/>
                <w:iCs/>
                <w:color w:val="000000"/>
                <w:sz w:val="24"/>
              </w:rPr>
            </w:pPr>
            <w:r>
              <w:rPr>
                <w:rFonts w:hint="eastAsia" w:ascii="宋体" w:hAnsi="宋体"/>
                <w:b/>
                <w:iCs/>
                <w:color w:val="000000"/>
                <w:sz w:val="24"/>
              </w:rPr>
              <w:t>投资者关系活动主要内容介绍</w:t>
            </w:r>
          </w:p>
          <w:p w14:paraId="44FA6DC2">
            <w:pPr>
              <w:spacing w:line="100" w:lineRule="atLeast"/>
              <w:rPr>
                <w:rFonts w:ascii="宋体" w:hAnsi="宋体"/>
                <w:b/>
                <w:iCs/>
                <w:color w:val="000000"/>
                <w:sz w:val="24"/>
              </w:rPr>
            </w:pP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227704FB">
            <w:pPr>
              <w:pStyle w:val="15"/>
              <w:widowControl/>
              <w:spacing w:line="360" w:lineRule="auto"/>
              <w:ind w:firstLine="482"/>
              <w:rPr>
                <w:rFonts w:ascii="宋体" w:hAnsi="宋体" w:cs="Helvetica"/>
                <w:b/>
                <w:bCs/>
                <w:color w:val="393939"/>
                <w:kern w:val="0"/>
                <w:sz w:val="24"/>
              </w:rPr>
            </w:pPr>
            <w:r>
              <w:rPr>
                <w:rFonts w:hint="eastAsia" w:ascii="宋体" w:hAnsi="宋体" w:cs="Helvetica"/>
                <w:b/>
                <w:bCs/>
                <w:color w:val="393939"/>
                <w:kern w:val="0"/>
                <w:sz w:val="24"/>
              </w:rPr>
              <w:t>Q：公司2025年营业收入情况如何?</w:t>
            </w:r>
          </w:p>
          <w:p w14:paraId="5C6BFF5F">
            <w:pPr>
              <w:pStyle w:val="15"/>
              <w:widowControl/>
              <w:spacing w:line="360" w:lineRule="auto"/>
              <w:ind w:firstLine="480"/>
              <w:rPr>
                <w:rFonts w:ascii="宋体" w:hAnsi="宋体" w:cs="Helvetica"/>
                <w:color w:val="393939"/>
                <w:kern w:val="0"/>
                <w:sz w:val="24"/>
              </w:rPr>
            </w:pPr>
            <w:r>
              <w:rPr>
                <w:rFonts w:hint="eastAsia" w:ascii="宋体" w:hAnsi="宋体" w:cs="Helvetica"/>
                <w:color w:val="393939"/>
                <w:kern w:val="0"/>
                <w:sz w:val="24"/>
              </w:rPr>
              <w:t>A：公司2025年前三季度实现营业收入7,160.17万元。因项目投入的计划进度，公司的营业收入呈现较为明显的季节性波动特征。公司目前在手未执行订单总量约为1.5亿元，根据当前在执行项目的业主要求与程计划，公司预计2025年全年可实现营业收入不低于1.2亿元。</w:t>
            </w:r>
          </w:p>
          <w:p w14:paraId="71BBBD5A">
            <w:pPr>
              <w:pStyle w:val="15"/>
              <w:widowControl/>
              <w:spacing w:line="360" w:lineRule="auto"/>
              <w:ind w:firstLine="482"/>
              <w:rPr>
                <w:rFonts w:ascii="宋体" w:hAnsi="宋体" w:cs="Helvetica"/>
                <w:b/>
                <w:bCs/>
                <w:color w:val="393939"/>
                <w:kern w:val="0"/>
                <w:sz w:val="24"/>
              </w:rPr>
            </w:pPr>
            <w:r>
              <w:rPr>
                <w:rFonts w:hint="eastAsia" w:ascii="宋体" w:hAnsi="宋体" w:cs="Helvetica"/>
                <w:b/>
                <w:bCs/>
                <w:color w:val="393939"/>
                <w:kern w:val="0"/>
                <w:sz w:val="24"/>
              </w:rPr>
              <w:t>Q：2025年公司应收账款情况如何？</w:t>
            </w:r>
          </w:p>
          <w:p w14:paraId="1B2CB22F">
            <w:pPr>
              <w:pStyle w:val="15"/>
              <w:widowControl/>
              <w:spacing w:line="360" w:lineRule="auto"/>
              <w:ind w:firstLine="480"/>
              <w:rPr>
                <w:rFonts w:ascii="宋体" w:hAnsi="宋体" w:cs="Helvetica"/>
                <w:color w:val="393939"/>
                <w:kern w:val="0"/>
                <w:sz w:val="24"/>
              </w:rPr>
            </w:pPr>
            <w:r>
              <w:rPr>
                <w:rFonts w:hint="eastAsia" w:ascii="宋体" w:hAnsi="宋体" w:cs="Helvetica"/>
                <w:color w:val="393939"/>
                <w:kern w:val="0"/>
                <w:sz w:val="24"/>
              </w:rPr>
              <w:t>A：2025年公司进一步加强应收账款管理工作，从源头管理、过程管理及考核管理三方面入手，应收账款管理工作成效显著。前三季度应收账款同比下降31.44%。</w:t>
            </w:r>
          </w:p>
          <w:p w14:paraId="0174E9C5">
            <w:pPr>
              <w:pStyle w:val="15"/>
              <w:widowControl/>
              <w:spacing w:line="360" w:lineRule="auto"/>
              <w:ind w:firstLine="480"/>
              <w:rPr>
                <w:rFonts w:hint="eastAsia" w:ascii="宋体" w:hAnsi="宋体" w:cs="Helvetica"/>
                <w:color w:val="393939"/>
                <w:kern w:val="0"/>
                <w:sz w:val="24"/>
              </w:rPr>
            </w:pPr>
            <w:r>
              <w:rPr>
                <w:rFonts w:hint="eastAsia" w:ascii="宋体" w:hAnsi="宋体" w:cs="Helvetica"/>
                <w:color w:val="393939"/>
                <w:kern w:val="0"/>
                <w:sz w:val="24"/>
              </w:rPr>
              <w:t>公司在四季度进一步巩固应收账款成果，多笔长账龄应收账款得到回收，具体金额请等待公司后续披露正式年度报告。</w:t>
            </w:r>
          </w:p>
          <w:p w14:paraId="532FEDC0">
            <w:pPr>
              <w:pStyle w:val="15"/>
              <w:widowControl/>
              <w:spacing w:line="360" w:lineRule="auto"/>
              <w:ind w:firstLine="482"/>
              <w:rPr>
                <w:rFonts w:ascii="宋体" w:hAnsi="宋体" w:cs="Helvetica"/>
                <w:b/>
                <w:bCs/>
                <w:color w:val="393939"/>
                <w:kern w:val="0"/>
                <w:sz w:val="24"/>
              </w:rPr>
            </w:pPr>
            <w:r>
              <w:rPr>
                <w:rFonts w:hint="eastAsia" w:ascii="宋体" w:hAnsi="宋体" w:cs="Helvetica"/>
                <w:b/>
                <w:bCs/>
                <w:color w:val="393939"/>
                <w:kern w:val="0"/>
                <w:sz w:val="24"/>
              </w:rPr>
              <w:t>Q：公司未来的业务规划是什么？</w:t>
            </w:r>
          </w:p>
          <w:p w14:paraId="35AEFF5E">
            <w:pPr>
              <w:pStyle w:val="15"/>
              <w:widowControl/>
              <w:spacing w:line="360" w:lineRule="auto"/>
              <w:ind w:firstLine="480"/>
              <w:rPr>
                <w:rFonts w:ascii="宋体" w:hAnsi="宋体" w:cs="Helvetica"/>
                <w:color w:val="393939"/>
                <w:kern w:val="0"/>
                <w:sz w:val="24"/>
              </w:rPr>
            </w:pPr>
            <w:r>
              <w:rPr>
                <w:rFonts w:hint="eastAsia" w:ascii="宋体" w:hAnsi="宋体" w:cs="Helvetica"/>
                <w:color w:val="393939"/>
                <w:kern w:val="0"/>
                <w:sz w:val="24"/>
              </w:rPr>
              <w:t>A：总体来说，随着环保产业由增长期逐渐过渡到调整周期，公司传统的两项传统主要业务“环境修复”与“工业污染源治理”均面临市场整体毛利率水平下降、客户信用风险上升、应收账款回收周期增加等问题，导致公司的综合毛利率水平始终未能得到有效修复。为应对行业困境，自2023年以来，公司持续调整经营策略，提高传统业务承接项目的筛选标准，严控新签订单的应收账款回收风险，将业务目标由规模扩张导向调整为现金流回收效率导向；在保证项目资金回收安全的前提下，严控项目的毛利率要求，以降低因市场调整带来的盈利下滑问题。因此，传统“环境修复”与“工业污染源治理”业务会呈现保守态势。</w:t>
            </w:r>
          </w:p>
          <w:p w14:paraId="3CAE09C5">
            <w:pPr>
              <w:pStyle w:val="15"/>
              <w:widowControl/>
              <w:spacing w:line="360" w:lineRule="auto"/>
              <w:ind w:firstLine="480"/>
              <w:rPr>
                <w:rFonts w:ascii="宋体" w:hAnsi="宋体" w:cs="Helvetica"/>
                <w:color w:val="393939"/>
                <w:kern w:val="0"/>
                <w:sz w:val="24"/>
              </w:rPr>
            </w:pPr>
            <w:r>
              <w:rPr>
                <w:rFonts w:hint="eastAsia" w:ascii="宋体" w:hAnsi="宋体" w:cs="Helvetica"/>
                <w:color w:val="393939"/>
                <w:kern w:val="0"/>
                <w:sz w:val="24"/>
              </w:rPr>
              <w:t>公司主要围绕“装备化”“资源化”“智慧化”的发展路径，依托自研核心技术，发展创新环保业务，以突破传统业务面临红海市场竞争的增长瓶颈。2025年公司</w:t>
            </w:r>
            <w:r>
              <w:rPr>
                <w:rFonts w:ascii="宋体" w:hAnsi="宋体" w:cs="Helvetica"/>
                <w:color w:val="393939"/>
                <w:kern w:val="0"/>
                <w:sz w:val="24"/>
              </w:rPr>
              <w:t>成功实现了生物膜极速脱氨氮装（BioFit）与气相提浓冷凝无水溶剂回收装备两项先进自研技术的产业化应用，两项技术累计已实现订单转化超过7,000万元。受到新技术业务增长带动的影响，公司报告期内综合毛利率</w:t>
            </w:r>
            <w:r>
              <w:rPr>
                <w:rFonts w:hint="eastAsia" w:ascii="宋体" w:hAnsi="宋体" w:cs="Helvetica"/>
                <w:color w:val="393939"/>
                <w:kern w:val="0"/>
                <w:sz w:val="24"/>
              </w:rPr>
              <w:t>有所提高。公司在固废资源化领域仍有待开发的业务储备，公司将根据自身发展需求与市场环境变化尽快加速创新技术的产业化落地。未来，公司将优先推广高附加值自研技术业务，加大市场覆盖，力争实现升级转型。</w:t>
            </w:r>
          </w:p>
          <w:p w14:paraId="3F95676F">
            <w:pPr>
              <w:pStyle w:val="15"/>
              <w:widowControl/>
              <w:spacing w:line="360" w:lineRule="auto"/>
              <w:ind w:firstLine="482"/>
              <w:rPr>
                <w:rFonts w:ascii="宋体" w:hAnsi="宋体" w:cs="Helvetica"/>
                <w:b/>
                <w:bCs/>
                <w:color w:val="393939"/>
                <w:kern w:val="0"/>
                <w:sz w:val="24"/>
              </w:rPr>
            </w:pPr>
            <w:r>
              <w:rPr>
                <w:rFonts w:hint="eastAsia" w:ascii="宋体" w:hAnsi="宋体" w:cs="Helvetica"/>
                <w:b/>
                <w:bCs/>
                <w:color w:val="393939"/>
                <w:kern w:val="0"/>
                <w:sz w:val="24"/>
              </w:rPr>
              <w:t>Q：公司目前核心的技术优势是什么？</w:t>
            </w:r>
          </w:p>
          <w:p w14:paraId="5A1F7FE1">
            <w:pPr>
              <w:pStyle w:val="15"/>
              <w:widowControl/>
              <w:spacing w:line="360" w:lineRule="auto"/>
              <w:ind w:firstLine="480"/>
              <w:rPr>
                <w:rFonts w:ascii="宋体" w:hAnsi="宋体" w:cs="Helvetica"/>
                <w:color w:val="393939"/>
                <w:kern w:val="0"/>
                <w:sz w:val="24"/>
              </w:rPr>
            </w:pPr>
            <w:r>
              <w:rPr>
                <w:rFonts w:hint="eastAsia" w:ascii="宋体" w:hAnsi="宋体" w:cs="Helvetica"/>
                <w:color w:val="393939"/>
                <w:kern w:val="0"/>
                <w:sz w:val="24"/>
              </w:rPr>
              <w:t>A：公司依照资源化技术发展战略，基于自研核心技术，开拓创新业务。</w:t>
            </w:r>
          </w:p>
          <w:p w14:paraId="21F8A0C9">
            <w:pPr>
              <w:pStyle w:val="15"/>
              <w:widowControl/>
              <w:spacing w:line="360" w:lineRule="auto"/>
              <w:ind w:firstLine="480"/>
              <w:rPr>
                <w:rFonts w:ascii="宋体" w:hAnsi="宋体" w:cs="Helvetica"/>
                <w:color w:val="393939"/>
                <w:kern w:val="0"/>
                <w:sz w:val="24"/>
              </w:rPr>
            </w:pPr>
            <w:r>
              <w:rPr>
                <w:rFonts w:hint="eastAsia" w:ascii="宋体" w:hAnsi="宋体" w:cs="Helvetica"/>
                <w:color w:val="393939"/>
                <w:kern w:val="0"/>
                <w:sz w:val="24"/>
              </w:rPr>
              <w:t>公司自主研发的生物膜极速脱氨氮装备（BioFit）在河道中的运行规模已经达到了12万m3/d，帮助地方解决了众多国控、省控断面水质超标的问题。在一些应急河道污染问题上，BioFit装备凭借“占地面积小、建设周期短、净化效率快”的特点，能迅速帮助客户解决燃眉之急。装备采用一体化撬装式设计，能快速灵活装卸，可在48小时内完成现场部署，在河道治理中展现出如同消防车般的极速响应能力，目前已在杭州、宁波等地区的多条流域实现覆盖。公司在加大该技术推广力度的同时，也在积极研发下一代产品，力争实现更多应用场景的覆盖。</w:t>
            </w:r>
          </w:p>
          <w:p w14:paraId="6AA7EB65">
            <w:pPr>
              <w:pStyle w:val="15"/>
              <w:widowControl/>
              <w:spacing w:line="360" w:lineRule="auto"/>
              <w:ind w:firstLine="480"/>
              <w:rPr>
                <w:rFonts w:ascii="宋体" w:hAnsi="宋体" w:cs="Helvetica"/>
                <w:color w:val="393939"/>
                <w:kern w:val="0"/>
                <w:sz w:val="24"/>
              </w:rPr>
            </w:pPr>
            <w:r>
              <w:rPr>
                <w:rFonts w:ascii="宋体" w:hAnsi="宋体" w:cs="Helvetica"/>
                <w:color w:val="393939"/>
                <w:kern w:val="0"/>
                <w:sz w:val="24"/>
              </w:rPr>
              <w:t>公司新一代“气相提浓冷凝无水溶剂回收装备”，荣获2024年度浙江省首台（套）证书。该装备通过预处理、气相提浓、脱附、干燥冷凝等环节，实现无水高效回收，回收的有机溶剂纯度高可重复利用，大幅降低企业原料成本。继在纺织染整行业成功应用之后，</w:t>
            </w:r>
            <w:r>
              <w:rPr>
                <w:rFonts w:hint="eastAsia" w:ascii="宋体" w:hAnsi="宋体" w:cs="Helvetica"/>
                <w:color w:val="393939"/>
                <w:kern w:val="0"/>
                <w:sz w:val="24"/>
              </w:rPr>
              <w:t>2025</w:t>
            </w:r>
            <w:r>
              <w:rPr>
                <w:rFonts w:ascii="宋体" w:hAnsi="宋体" w:cs="Helvetica"/>
                <w:color w:val="393939"/>
                <w:kern w:val="0"/>
                <w:sz w:val="24"/>
              </w:rPr>
              <w:t>年度以温州市苍南县的塑编包装产业集群为战略支点，实现了产品应用场景的突破。目前已与当地两家龙头企业达成合作，通过设备投资、建设及运营管理的方式，为客户提供“VOCs源头治理－有机溶剂高效回收－资源循环利用”一体化解决方案，实现经济效益与环境效益双赢。</w:t>
            </w:r>
          </w:p>
          <w:p w14:paraId="7CFC2E5D">
            <w:pPr>
              <w:pStyle w:val="15"/>
              <w:widowControl/>
              <w:spacing w:line="360" w:lineRule="auto"/>
              <w:ind w:firstLine="482"/>
              <w:rPr>
                <w:rFonts w:ascii="宋体" w:hAnsi="宋体" w:cs="Helvetica"/>
                <w:b/>
                <w:bCs/>
                <w:color w:val="393939"/>
                <w:kern w:val="0"/>
                <w:sz w:val="24"/>
              </w:rPr>
            </w:pPr>
            <w:r>
              <w:rPr>
                <w:rFonts w:hint="eastAsia" w:ascii="宋体" w:hAnsi="宋体" w:cs="Helvetica"/>
                <w:b/>
                <w:bCs/>
                <w:color w:val="393939"/>
                <w:kern w:val="0"/>
                <w:sz w:val="24"/>
              </w:rPr>
              <w:t>Q：公司是否存在退市风险？</w:t>
            </w:r>
          </w:p>
          <w:p w14:paraId="4FB35D6E">
            <w:pPr>
              <w:pStyle w:val="15"/>
              <w:widowControl/>
              <w:spacing w:line="360" w:lineRule="auto"/>
              <w:ind w:firstLine="480"/>
              <w:rPr>
                <w:rFonts w:ascii="宋体" w:hAnsi="宋体" w:cs="Helvetica"/>
                <w:color w:val="393939"/>
                <w:kern w:val="0"/>
                <w:sz w:val="24"/>
              </w:rPr>
            </w:pPr>
            <w:r>
              <w:rPr>
                <w:rFonts w:hint="eastAsia" w:ascii="宋体" w:hAnsi="宋体" w:cs="Helvetica"/>
                <w:color w:val="393939"/>
                <w:kern w:val="0"/>
                <w:sz w:val="24"/>
              </w:rPr>
              <w:t>A：公司发展战略清晰，经营健康稳定，核心竞争力未发生重大变化，具备持续经营能力。依据《科创板股票上市规则》，公司目前未触及相关退市标准，不存在退市风险。</w:t>
            </w:r>
          </w:p>
        </w:tc>
      </w:tr>
      <w:tr w14:paraId="0D12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7ED2384C">
            <w:pPr>
              <w:spacing w:line="100" w:lineRule="atLeast"/>
              <w:jc w:val="center"/>
              <w:rPr>
                <w:rFonts w:ascii="宋体" w:hAnsi="宋体"/>
                <w:b/>
                <w:iCs/>
                <w:color w:val="000000"/>
                <w:sz w:val="24"/>
              </w:rPr>
            </w:pPr>
            <w:r>
              <w:rPr>
                <w:rFonts w:hint="eastAsia" w:ascii="宋体" w:hAnsi="宋体"/>
                <w:b/>
                <w:iCs/>
                <w:color w:val="000000"/>
                <w:sz w:val="24"/>
              </w:rPr>
              <w:t>附件清单（如有）</w:t>
            </w: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19FFAE81">
            <w:pPr>
              <w:spacing w:line="480" w:lineRule="atLeast"/>
              <w:rPr>
                <w:rFonts w:ascii="宋体" w:hAnsi="宋体"/>
                <w:bCs/>
                <w:iCs/>
                <w:color w:val="000000"/>
                <w:sz w:val="24"/>
              </w:rPr>
            </w:pPr>
            <w:r>
              <w:rPr>
                <w:rFonts w:hint="eastAsia" w:ascii="宋体" w:hAnsi="宋体"/>
                <w:bCs/>
                <w:iCs/>
                <w:color w:val="000000"/>
                <w:sz w:val="24"/>
              </w:rPr>
              <w:t>无</w:t>
            </w:r>
          </w:p>
        </w:tc>
      </w:tr>
      <w:tr w14:paraId="6285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676146D7">
            <w:pPr>
              <w:spacing w:line="100" w:lineRule="atLeast"/>
              <w:jc w:val="center"/>
              <w:rPr>
                <w:rFonts w:ascii="宋体" w:hAnsi="宋体"/>
                <w:b/>
                <w:iCs/>
                <w:color w:val="000000"/>
                <w:sz w:val="24"/>
              </w:rPr>
            </w:pPr>
            <w:r>
              <w:rPr>
                <w:rFonts w:hint="eastAsia" w:ascii="宋体" w:hAnsi="宋体"/>
                <w:b/>
                <w:iCs/>
                <w:color w:val="000000"/>
                <w:sz w:val="24"/>
              </w:rPr>
              <w:t>日期</w:t>
            </w: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19E7892A">
            <w:pPr>
              <w:spacing w:line="480" w:lineRule="atLeast"/>
              <w:rPr>
                <w:rFonts w:ascii="宋体" w:hAnsi="宋体"/>
                <w:bCs/>
                <w:iCs/>
                <w:color w:val="000000"/>
                <w:sz w:val="24"/>
              </w:rPr>
            </w:pPr>
            <w:r>
              <w:rPr>
                <w:rFonts w:ascii="宋体" w:hAnsi="宋体"/>
                <w:bCs/>
                <w:iCs/>
                <w:color w:val="000000"/>
                <w:sz w:val="24"/>
              </w:rPr>
              <w:t>202</w:t>
            </w:r>
            <w:r>
              <w:rPr>
                <w:rFonts w:hint="eastAsia" w:ascii="宋体" w:hAnsi="宋体"/>
                <w:bCs/>
                <w:iCs/>
                <w:color w:val="000000"/>
                <w:sz w:val="24"/>
              </w:rPr>
              <w:t>6</w:t>
            </w:r>
            <w:r>
              <w:rPr>
                <w:rFonts w:ascii="宋体" w:hAnsi="宋体"/>
                <w:bCs/>
                <w:iCs/>
                <w:color w:val="000000"/>
                <w:sz w:val="24"/>
              </w:rPr>
              <w:t>年</w:t>
            </w:r>
            <w:r>
              <w:rPr>
                <w:rFonts w:hint="eastAsia" w:ascii="宋体" w:hAnsi="宋体"/>
                <w:bCs/>
                <w:iCs/>
                <w:color w:val="000000"/>
                <w:sz w:val="24"/>
              </w:rPr>
              <w:t>1</w:t>
            </w:r>
            <w:r>
              <w:rPr>
                <w:rFonts w:ascii="宋体" w:hAnsi="宋体"/>
                <w:bCs/>
                <w:iCs/>
                <w:color w:val="000000"/>
                <w:sz w:val="24"/>
              </w:rPr>
              <w:t>月</w:t>
            </w:r>
            <w:r>
              <w:rPr>
                <w:rFonts w:hint="eastAsia" w:ascii="宋体" w:hAnsi="宋体"/>
                <w:bCs/>
                <w:iCs/>
                <w:color w:val="000000"/>
                <w:sz w:val="24"/>
              </w:rPr>
              <w:t>9</w:t>
            </w:r>
            <w:r>
              <w:rPr>
                <w:rFonts w:ascii="宋体" w:hAnsi="宋体"/>
                <w:bCs/>
                <w:iCs/>
                <w:color w:val="000000"/>
                <w:sz w:val="24"/>
              </w:rPr>
              <w:t>日</w:t>
            </w:r>
          </w:p>
        </w:tc>
      </w:tr>
    </w:tbl>
    <w:p w14:paraId="4325A8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1F"/>
    <w:rsid w:val="0000207D"/>
    <w:rsid w:val="00003F99"/>
    <w:rsid w:val="00005DB8"/>
    <w:rsid w:val="0009346F"/>
    <w:rsid w:val="000B3556"/>
    <w:rsid w:val="001417C0"/>
    <w:rsid w:val="001A2E1E"/>
    <w:rsid w:val="001D3494"/>
    <w:rsid w:val="00200614"/>
    <w:rsid w:val="002536A4"/>
    <w:rsid w:val="00291C31"/>
    <w:rsid w:val="00293E36"/>
    <w:rsid w:val="00295CED"/>
    <w:rsid w:val="002A2C74"/>
    <w:rsid w:val="002B3F3B"/>
    <w:rsid w:val="002D7C22"/>
    <w:rsid w:val="002F3005"/>
    <w:rsid w:val="003035EA"/>
    <w:rsid w:val="00352655"/>
    <w:rsid w:val="003609BA"/>
    <w:rsid w:val="003C2CF9"/>
    <w:rsid w:val="003C4261"/>
    <w:rsid w:val="003E70FC"/>
    <w:rsid w:val="003F5289"/>
    <w:rsid w:val="004A671B"/>
    <w:rsid w:val="004C5A9E"/>
    <w:rsid w:val="004D49FA"/>
    <w:rsid w:val="004D6884"/>
    <w:rsid w:val="00532519"/>
    <w:rsid w:val="005C2459"/>
    <w:rsid w:val="00652AE8"/>
    <w:rsid w:val="006903D5"/>
    <w:rsid w:val="006A78DE"/>
    <w:rsid w:val="00707AAE"/>
    <w:rsid w:val="00742305"/>
    <w:rsid w:val="00752966"/>
    <w:rsid w:val="00770970"/>
    <w:rsid w:val="00780662"/>
    <w:rsid w:val="007F695F"/>
    <w:rsid w:val="008A37DE"/>
    <w:rsid w:val="008B0754"/>
    <w:rsid w:val="00936F15"/>
    <w:rsid w:val="00947AF9"/>
    <w:rsid w:val="009967E3"/>
    <w:rsid w:val="009A490D"/>
    <w:rsid w:val="009B0B11"/>
    <w:rsid w:val="009E743C"/>
    <w:rsid w:val="00A61CEB"/>
    <w:rsid w:val="00A6539A"/>
    <w:rsid w:val="00A67A87"/>
    <w:rsid w:val="00AC7C57"/>
    <w:rsid w:val="00AE4ED3"/>
    <w:rsid w:val="00B26A5B"/>
    <w:rsid w:val="00C969E9"/>
    <w:rsid w:val="00CF1F10"/>
    <w:rsid w:val="00D039FA"/>
    <w:rsid w:val="00D50CC2"/>
    <w:rsid w:val="00DA041C"/>
    <w:rsid w:val="00DA4F8C"/>
    <w:rsid w:val="00DB361F"/>
    <w:rsid w:val="00E250B4"/>
    <w:rsid w:val="00E52443"/>
    <w:rsid w:val="00E7215B"/>
    <w:rsid w:val="00EB0D2E"/>
    <w:rsid w:val="00ED430E"/>
    <w:rsid w:val="00F514E1"/>
    <w:rsid w:val="025F4662"/>
    <w:rsid w:val="101C0036"/>
    <w:rsid w:val="1A1467A8"/>
    <w:rsid w:val="1B9A62B3"/>
    <w:rsid w:val="213E1A41"/>
    <w:rsid w:val="39761CB6"/>
    <w:rsid w:val="43B74BE4"/>
    <w:rsid w:val="467C4DAF"/>
    <w:rsid w:val="53DF697E"/>
    <w:rsid w:val="547B6292"/>
    <w:rsid w:val="56BD4FBF"/>
    <w:rsid w:val="5DC903CD"/>
    <w:rsid w:val="6CD56718"/>
    <w:rsid w:val="78A21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批注文字 字符"/>
    <w:basedOn w:val="8"/>
    <w:link w:val="2"/>
    <w:semiHidden/>
    <w:qFormat/>
    <w:uiPriority w:val="99"/>
    <w:rPr>
      <w:rFonts w:ascii="Times New Roman" w:hAnsi="Times New Roman" w:eastAsia="宋体" w:cs="Times New Roman"/>
      <w:szCs w:val="24"/>
    </w:rPr>
  </w:style>
  <w:style w:type="character" w:customStyle="1" w:styleId="13">
    <w:name w:val="批注主题 字符"/>
    <w:basedOn w:val="12"/>
    <w:link w:val="6"/>
    <w:semiHidden/>
    <w:qFormat/>
    <w:uiPriority w:val="99"/>
    <w:rPr>
      <w:rFonts w:ascii="Times New Roman" w:hAnsi="Times New Roman" w:eastAsia="宋体" w:cs="Times New Roman"/>
      <w:b/>
      <w:bCs/>
      <w:szCs w:val="24"/>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99FBE-DA86-48A2-A0EE-6D10A1820B41}">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1643</Words>
  <Characters>1735</Characters>
  <Lines>13</Lines>
  <Paragraphs>3</Paragraphs>
  <TotalTime>16</TotalTime>
  <ScaleCrop>false</ScaleCrop>
  <LinksUpToDate>false</LinksUpToDate>
  <CharactersWithSpaces>1856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2026-01-09T06:55:00Z</dcterms:created>
  <dc:creator>skd004</dc:creator>
  <cp:lastModifiedBy>丁丁丁Joy</cp:lastModifiedBy>
  <dcterms:modified xsi:type="dcterms:W3CDTF">2026-01-09T07:24:50Z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eyJoZGlkIjoiYjdmNmE3MDhkNmNiYTM5MmRhM2MzNmUxZTkzOGI3OWYiLCJ1c2VySWQiOiI0NTMyNDc2NzMifQ==</vt:lpwstr>
  </property>
  <property fmtid="{D5CDD505-2E9C-101B-9397-08002B2CF9AE}" pid="3" name="KSOProductBuildVer">
    <vt:lpwstr>2052-12.1.0.24034</vt:lpwstr>
  </property>
  <property fmtid="{D5CDD505-2E9C-101B-9397-08002B2CF9AE}" pid="4" name="ICV">
    <vt:lpwstr>F225964530E144809E5B59060AFEB9CD_12</vt:lpwstr>
  </property>
</Properties>
</file>