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9677" w14:textId="77777777" w:rsidR="00FA10D9" w:rsidRDefault="000A1E4B">
      <w:pPr>
        <w:keepNext/>
        <w:keepLines/>
        <w:spacing w:before="260" w:after="260" w:line="360" w:lineRule="auto"/>
        <w:jc w:val="center"/>
        <w:outlineLvl w:val="1"/>
        <w:rPr>
          <w:rFonts w:ascii="宋体" w:hAnsi="宋体"/>
          <w:b/>
          <w:bCs/>
          <w:iCs/>
          <w:sz w:val="24"/>
          <w:szCs w:val="24"/>
        </w:rPr>
      </w:pPr>
      <w:r>
        <w:rPr>
          <w:rFonts w:ascii="仿宋_GB2312" w:eastAsia="仿宋_GB2312" w:hAnsi="仿宋_GB2312" w:cs="仿宋_GB2312" w:hint="eastAsia"/>
          <w:iCs/>
          <w:sz w:val="24"/>
          <w:szCs w:val="24"/>
        </w:rPr>
        <w:t>证券代码：600415                                 证券简称：小商品城</w:t>
      </w:r>
      <w:r>
        <w:rPr>
          <w:rFonts w:ascii="宋体" w:hAnsi="宋体"/>
          <w:b/>
          <w:bCs/>
          <w:iCs/>
          <w:sz w:val="24"/>
          <w:szCs w:val="24"/>
        </w:rPr>
        <w:t xml:space="preserve"> </w:t>
      </w:r>
    </w:p>
    <w:p w14:paraId="6C5DD870" w14:textId="77777777" w:rsidR="00FA10D9" w:rsidRDefault="000A1E4B">
      <w:pPr>
        <w:keepNext/>
        <w:keepLines/>
        <w:jc w:val="center"/>
        <w:outlineLvl w:val="1"/>
        <w:rPr>
          <w:rFonts w:ascii="黑体" w:eastAsia="黑体" w:hAnsi="黑体" w:cs="黑体"/>
          <w:sz w:val="32"/>
          <w:szCs w:val="32"/>
        </w:rPr>
      </w:pPr>
      <w:r>
        <w:rPr>
          <w:rFonts w:ascii="黑体" w:eastAsia="黑体" w:hAnsi="黑体" w:cs="黑体" w:hint="eastAsia"/>
          <w:sz w:val="32"/>
          <w:szCs w:val="32"/>
        </w:rPr>
        <w:t>浙江中国小商品城集团股份有限公司</w:t>
      </w:r>
    </w:p>
    <w:p w14:paraId="2C9AEFA2" w14:textId="77777777" w:rsidR="00FA10D9" w:rsidRDefault="000A1E4B">
      <w:pPr>
        <w:keepNext/>
        <w:keepLines/>
        <w:jc w:val="center"/>
        <w:outlineLvl w:val="1"/>
        <w:rPr>
          <w:rFonts w:ascii="黑体" w:eastAsia="黑体" w:hAnsi="黑体" w:cs="黑体"/>
          <w:sz w:val="32"/>
          <w:szCs w:val="32"/>
        </w:rPr>
      </w:pPr>
      <w:r>
        <w:rPr>
          <w:rFonts w:ascii="黑体" w:eastAsia="黑体" w:hAnsi="黑体" w:cs="黑体" w:hint="eastAsia"/>
          <w:sz w:val="32"/>
          <w:szCs w:val="32"/>
        </w:rPr>
        <w:t>投资者关系活动记录表</w:t>
      </w:r>
    </w:p>
    <w:p w14:paraId="12A62BD2" w14:textId="77777777" w:rsidR="00FA10D9" w:rsidRDefault="000A1E4B">
      <w:pPr>
        <w:keepNext/>
        <w:keepLines/>
        <w:spacing w:beforeLines="50" w:before="156" w:afterLines="50" w:after="156" w:line="360" w:lineRule="auto"/>
        <w:jc w:val="right"/>
        <w:outlineLvl w:val="1"/>
        <w:rPr>
          <w:rFonts w:ascii="仿宋_GB2312" w:eastAsia="仿宋_GB2312" w:hAnsi="仿宋_GB2312" w:cs="仿宋_GB2312"/>
          <w:sz w:val="24"/>
          <w:szCs w:val="24"/>
        </w:rPr>
      </w:pPr>
      <w:r>
        <w:rPr>
          <w:rFonts w:ascii="仿宋_GB2312" w:eastAsia="仿宋_GB2312" w:hAnsi="仿宋_GB2312" w:cs="仿宋_GB2312" w:hint="eastAsia"/>
          <w:sz w:val="24"/>
          <w:szCs w:val="24"/>
        </w:rPr>
        <w:t>编号：2026-001</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379"/>
      </w:tblGrid>
      <w:tr w:rsidR="00FA10D9" w14:paraId="57070E9C" w14:textId="77777777">
        <w:tc>
          <w:tcPr>
            <w:tcW w:w="2411" w:type="dxa"/>
            <w:vAlign w:val="center"/>
          </w:tcPr>
          <w:p w14:paraId="034080E7" w14:textId="77777777" w:rsidR="00FA10D9" w:rsidRDefault="000A1E4B">
            <w:pPr>
              <w:spacing w:line="360" w:lineRule="auto"/>
              <w:jc w:val="center"/>
              <w:rPr>
                <w:rFonts w:ascii="宋体" w:hAnsi="宋体" w:cs="黑体"/>
                <w:iCs/>
                <w:sz w:val="24"/>
                <w:szCs w:val="24"/>
              </w:rPr>
            </w:pPr>
            <w:r>
              <w:rPr>
                <w:rFonts w:ascii="宋体" w:hAnsi="宋体" w:cs="黑体" w:hint="eastAsia"/>
                <w:iCs/>
                <w:sz w:val="24"/>
                <w:szCs w:val="24"/>
              </w:rPr>
              <w:t>投资者关系活动类别</w:t>
            </w:r>
          </w:p>
        </w:tc>
        <w:tc>
          <w:tcPr>
            <w:tcW w:w="6379" w:type="dxa"/>
          </w:tcPr>
          <w:p w14:paraId="4CB8528A" w14:textId="77777777" w:rsidR="00FA10D9" w:rsidRDefault="000A1E4B">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特定对象调研        </w:t>
            </w:r>
            <w:r>
              <w:rPr>
                <w:rFonts w:ascii="宋体" w:hAnsi="宋体" w:cs="仿宋_GB2312" w:hint="eastAsia"/>
                <w:bCs/>
                <w:iCs/>
                <w:sz w:val="24"/>
                <w:szCs w:val="24"/>
              </w:rPr>
              <w:t>□</w:t>
            </w:r>
            <w:r>
              <w:rPr>
                <w:rFonts w:ascii="宋体" w:hAnsi="宋体" w:cs="仿宋_GB2312" w:hint="eastAsia"/>
                <w:sz w:val="24"/>
                <w:szCs w:val="24"/>
              </w:rPr>
              <w:t>分析师会议</w:t>
            </w:r>
          </w:p>
          <w:p w14:paraId="771D4756" w14:textId="77777777" w:rsidR="00FA10D9" w:rsidRDefault="000A1E4B">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媒体采访            </w:t>
            </w:r>
            <w:r>
              <w:rPr>
                <w:rFonts w:ascii="宋体" w:hAnsi="宋体" w:cs="仿宋_GB2312" w:hint="eastAsia"/>
                <w:bCs/>
                <w:iCs/>
                <w:sz w:val="24"/>
                <w:szCs w:val="24"/>
              </w:rPr>
              <w:t>□</w:t>
            </w:r>
            <w:r>
              <w:rPr>
                <w:rFonts w:ascii="宋体" w:hAnsi="宋体" w:cs="仿宋_GB2312" w:hint="eastAsia"/>
                <w:sz w:val="24"/>
                <w:szCs w:val="24"/>
              </w:rPr>
              <w:t>业绩说明会</w:t>
            </w:r>
          </w:p>
          <w:p w14:paraId="6AA14D57" w14:textId="77777777" w:rsidR="00FA10D9" w:rsidRDefault="000A1E4B">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新闻发布会          </w:t>
            </w:r>
            <w:r>
              <w:rPr>
                <w:rFonts w:ascii="宋体" w:hAnsi="宋体" w:cs="仿宋_GB2312" w:hint="eastAsia"/>
                <w:bCs/>
                <w:iCs/>
                <w:sz w:val="24"/>
                <w:szCs w:val="24"/>
              </w:rPr>
              <w:t>☑</w:t>
            </w:r>
            <w:r>
              <w:rPr>
                <w:rFonts w:ascii="宋体" w:hAnsi="宋体" w:cs="仿宋_GB2312" w:hint="eastAsia"/>
                <w:sz w:val="24"/>
                <w:szCs w:val="24"/>
              </w:rPr>
              <w:t>路演活动</w:t>
            </w:r>
          </w:p>
          <w:p w14:paraId="610D54DB" w14:textId="77777777" w:rsidR="00FA10D9" w:rsidRDefault="000A1E4B">
            <w:pPr>
              <w:tabs>
                <w:tab w:val="left" w:pos="2690"/>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现场参观            </w:t>
            </w:r>
            <w:r>
              <w:rPr>
                <w:rFonts w:ascii="宋体" w:hAnsi="宋体" w:cs="仿宋_GB2312" w:hint="eastAsia"/>
                <w:bCs/>
                <w:iCs/>
                <w:sz w:val="24"/>
                <w:szCs w:val="24"/>
              </w:rPr>
              <w:t>☑</w:t>
            </w:r>
            <w:r>
              <w:rPr>
                <w:rFonts w:ascii="宋体" w:hAnsi="宋体" w:cs="仿宋_GB2312" w:hint="eastAsia"/>
                <w:sz w:val="24"/>
                <w:szCs w:val="24"/>
              </w:rPr>
              <w:t>电话会议</w:t>
            </w:r>
          </w:p>
          <w:p w14:paraId="156C2FE1" w14:textId="77777777" w:rsidR="00FA10D9" w:rsidRDefault="000A1E4B">
            <w:pPr>
              <w:tabs>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其他 （</w:t>
            </w:r>
            <w:r>
              <w:rPr>
                <w:rFonts w:ascii="宋体" w:hAnsi="宋体" w:cs="仿宋_GB2312" w:hint="eastAsia"/>
                <w:sz w:val="24"/>
                <w:szCs w:val="24"/>
                <w:u w:val="single"/>
              </w:rPr>
              <w:t>投资者见面会）</w:t>
            </w:r>
          </w:p>
        </w:tc>
      </w:tr>
      <w:tr w:rsidR="00FA10D9" w14:paraId="7C51E963" w14:textId="77777777">
        <w:tc>
          <w:tcPr>
            <w:tcW w:w="2411" w:type="dxa"/>
            <w:vAlign w:val="center"/>
          </w:tcPr>
          <w:p w14:paraId="70FAC1EB" w14:textId="77777777" w:rsidR="00FA10D9" w:rsidRDefault="000A1E4B">
            <w:pPr>
              <w:spacing w:line="360" w:lineRule="auto"/>
              <w:jc w:val="center"/>
              <w:rPr>
                <w:rFonts w:ascii="宋体" w:hAnsi="宋体" w:cs="黑体"/>
                <w:iCs/>
                <w:sz w:val="24"/>
                <w:szCs w:val="24"/>
              </w:rPr>
            </w:pPr>
            <w:r>
              <w:rPr>
                <w:rFonts w:ascii="宋体" w:hAnsi="宋体" w:cs="黑体" w:hint="eastAsia"/>
                <w:iCs/>
                <w:sz w:val="24"/>
                <w:szCs w:val="24"/>
              </w:rPr>
              <w:t>参与单位名称</w:t>
            </w:r>
          </w:p>
        </w:tc>
        <w:tc>
          <w:tcPr>
            <w:tcW w:w="6379" w:type="dxa"/>
            <w:vAlign w:val="center"/>
          </w:tcPr>
          <w:p w14:paraId="5C1CF4CE" w14:textId="77777777" w:rsidR="00FA10D9" w:rsidRDefault="000A1E4B">
            <w:pPr>
              <w:tabs>
                <w:tab w:val="center" w:pos="2798"/>
              </w:tabs>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诺德基金、中意资管、泉果基金、国泰基金、嘉实基金、阳光资管、长城基金、中国人寿资管、光大保德信基金、南方基金、宝盈基金、西部利得基金、中信建投基金、华点投资、洋沛资产、太平养老、大家资产、光证资管、东方证券、大成基金、永安国富资管、汇丰晋信基金、中邮保险资管、中信证券、景顺长城、清和泉资本、国投瑞银基金、野村东方国际证券、国联基金、诺安基金、国金基金、平安基金、混沌投资、Point 72、Millennium、Aspoon Capital 、Cathay Life、Goldman、Manulife 、North Rock Capital 、Pinpoint、Polymer Capital、Keystone、Principal 、Wellington、Marshall Wace、JPMorgan、FIL等100余家机构。</w:t>
            </w:r>
          </w:p>
        </w:tc>
      </w:tr>
      <w:tr w:rsidR="00FA10D9" w14:paraId="12C96176" w14:textId="77777777">
        <w:tc>
          <w:tcPr>
            <w:tcW w:w="2411" w:type="dxa"/>
            <w:vAlign w:val="center"/>
          </w:tcPr>
          <w:p w14:paraId="7E9BE2D3" w14:textId="77777777" w:rsidR="00FA10D9" w:rsidRDefault="000A1E4B">
            <w:pPr>
              <w:spacing w:line="360" w:lineRule="auto"/>
              <w:jc w:val="center"/>
              <w:rPr>
                <w:rFonts w:ascii="宋体" w:hAnsi="宋体" w:cs="黑体"/>
                <w:iCs/>
                <w:sz w:val="24"/>
                <w:szCs w:val="24"/>
              </w:rPr>
            </w:pPr>
            <w:r>
              <w:rPr>
                <w:rFonts w:ascii="宋体" w:hAnsi="宋体" w:cs="黑体" w:hint="eastAsia"/>
                <w:iCs/>
                <w:sz w:val="24"/>
                <w:szCs w:val="24"/>
              </w:rPr>
              <w:t>会议时间</w:t>
            </w:r>
          </w:p>
        </w:tc>
        <w:tc>
          <w:tcPr>
            <w:tcW w:w="6379" w:type="dxa"/>
            <w:vAlign w:val="center"/>
          </w:tcPr>
          <w:p w14:paraId="6239FCCD" w14:textId="77777777" w:rsidR="00FA10D9" w:rsidRDefault="000A1E4B">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2026年1月12日-1月16日</w:t>
            </w:r>
          </w:p>
        </w:tc>
      </w:tr>
      <w:tr w:rsidR="00FA10D9" w14:paraId="58AC16BB" w14:textId="77777777">
        <w:tc>
          <w:tcPr>
            <w:tcW w:w="2411" w:type="dxa"/>
            <w:vAlign w:val="center"/>
          </w:tcPr>
          <w:p w14:paraId="760B77AE" w14:textId="77777777" w:rsidR="00FA10D9" w:rsidRDefault="000A1E4B">
            <w:pPr>
              <w:spacing w:line="360" w:lineRule="auto"/>
              <w:jc w:val="center"/>
              <w:rPr>
                <w:rFonts w:ascii="宋体" w:hAnsi="宋体" w:cs="黑体"/>
                <w:iCs/>
                <w:sz w:val="24"/>
                <w:szCs w:val="24"/>
              </w:rPr>
            </w:pPr>
            <w:r>
              <w:rPr>
                <w:rFonts w:ascii="宋体" w:hAnsi="宋体" w:cs="黑体" w:hint="eastAsia"/>
                <w:iCs/>
                <w:sz w:val="24"/>
                <w:szCs w:val="24"/>
              </w:rPr>
              <w:t>会议地点</w:t>
            </w:r>
          </w:p>
        </w:tc>
        <w:tc>
          <w:tcPr>
            <w:tcW w:w="6379" w:type="dxa"/>
            <w:vAlign w:val="center"/>
          </w:tcPr>
          <w:p w14:paraId="5B3D10F3" w14:textId="77777777" w:rsidR="00FA10D9" w:rsidRDefault="000A1E4B">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商城集团大厦会议室等</w:t>
            </w:r>
          </w:p>
        </w:tc>
      </w:tr>
      <w:tr w:rsidR="00FA10D9" w14:paraId="7EEB0211" w14:textId="77777777">
        <w:tc>
          <w:tcPr>
            <w:tcW w:w="2411" w:type="dxa"/>
            <w:vAlign w:val="center"/>
          </w:tcPr>
          <w:p w14:paraId="64C1F394" w14:textId="77777777" w:rsidR="00FA10D9" w:rsidRDefault="000A1E4B">
            <w:pPr>
              <w:spacing w:line="360" w:lineRule="auto"/>
              <w:jc w:val="center"/>
              <w:rPr>
                <w:rFonts w:ascii="宋体" w:hAnsi="宋体" w:cs="黑体"/>
                <w:iCs/>
                <w:sz w:val="24"/>
                <w:szCs w:val="24"/>
              </w:rPr>
            </w:pPr>
            <w:r>
              <w:rPr>
                <w:rFonts w:ascii="宋体" w:hAnsi="宋体" w:cs="黑体" w:hint="eastAsia"/>
                <w:iCs/>
                <w:sz w:val="24"/>
                <w:szCs w:val="24"/>
              </w:rPr>
              <w:t>上市公司接待人员</w:t>
            </w:r>
          </w:p>
        </w:tc>
        <w:tc>
          <w:tcPr>
            <w:tcW w:w="6379" w:type="dxa"/>
            <w:vAlign w:val="center"/>
          </w:tcPr>
          <w:p w14:paraId="53E2336E" w14:textId="77777777" w:rsidR="00FA10D9" w:rsidRDefault="000A1E4B">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董事会秘书：许杭</w:t>
            </w:r>
          </w:p>
          <w:p w14:paraId="6F59FBB6" w14:textId="77777777" w:rsidR="00FA10D9" w:rsidRDefault="000A1E4B">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证券事务代表：何志超</w:t>
            </w:r>
          </w:p>
          <w:p w14:paraId="2D33BBE1" w14:textId="77777777" w:rsidR="00FA10D9" w:rsidRDefault="000A1E4B">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公司证券部</w:t>
            </w:r>
          </w:p>
        </w:tc>
      </w:tr>
      <w:tr w:rsidR="00FA10D9" w14:paraId="533FEED3" w14:textId="77777777">
        <w:trPr>
          <w:trHeight w:val="490"/>
        </w:trPr>
        <w:tc>
          <w:tcPr>
            <w:tcW w:w="2411" w:type="dxa"/>
            <w:vAlign w:val="center"/>
          </w:tcPr>
          <w:p w14:paraId="19770D12" w14:textId="77777777" w:rsidR="00FA10D9" w:rsidRDefault="000A1E4B">
            <w:pPr>
              <w:spacing w:line="360" w:lineRule="auto"/>
              <w:jc w:val="center"/>
              <w:rPr>
                <w:rFonts w:ascii="宋体" w:hAnsi="宋体" w:cs="黑体"/>
                <w:iCs/>
                <w:sz w:val="24"/>
                <w:szCs w:val="24"/>
              </w:rPr>
            </w:pPr>
            <w:r>
              <w:rPr>
                <w:rFonts w:ascii="宋体" w:hAnsi="宋体" w:cs="黑体" w:hint="eastAsia"/>
                <w:iCs/>
                <w:sz w:val="24"/>
                <w:szCs w:val="24"/>
              </w:rPr>
              <w:lastRenderedPageBreak/>
              <w:t>投资者关系活动主要内容介绍</w:t>
            </w:r>
          </w:p>
        </w:tc>
        <w:tc>
          <w:tcPr>
            <w:tcW w:w="6379" w:type="dxa"/>
          </w:tcPr>
          <w:p w14:paraId="3C4033B1" w14:textId="77777777" w:rsidR="00FA10D9" w:rsidRDefault="000A1E4B">
            <w:pPr>
              <w:spacing w:line="360" w:lineRule="auto"/>
              <w:ind w:firstLineChars="200" w:firstLine="482"/>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1.目前使用或深度使用AI的用户群体画像是什么？将采取哪些举措提高AI渗透率？</w:t>
            </w:r>
          </w:p>
          <w:p w14:paraId="3C5A2FB3" w14:textId="77777777" w:rsidR="00FA10D9" w:rsidRDefault="000A1E4B">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商户对AI的核心需求是获取订单，只要AI应用能满足该需求，不同年龄商户都会使用。提高渗透率的举措包括打造“AI工具+营销场景”的完整方案，例如联合腾讯实现微信与WeChat视频号互通，多语言视频会优先推给对应语言用户，还会结合社媒流量爆点制作内容并分发，通过应用整合与渠道整合触达商户需求。</w:t>
            </w:r>
          </w:p>
          <w:p w14:paraId="05677962" w14:textId="77777777" w:rsidR="00FA10D9" w:rsidRDefault="000A1E4B">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小商品城的AI营销布局以Chinagoods平台为核心，通过自研AI工具矩阵+阿里云生态合作+场景化赋能，打通“内容生产-多语种传播-数字人带货-流量转化-数据驱动”全链路，聚焦跨境贸易与商户出海。</w:t>
            </w:r>
          </w:p>
          <w:p w14:paraId="1F4D0EF3" w14:textId="77777777" w:rsidR="00FA10D9" w:rsidRDefault="000A1E4B">
            <w:pPr>
              <w:spacing w:line="360" w:lineRule="auto"/>
              <w:ind w:firstLineChars="200" w:firstLine="482"/>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2.世界义乌大模型的情况介绍一下。</w:t>
            </w:r>
          </w:p>
          <w:p w14:paraId="3220AED1" w14:textId="77777777" w:rsidR="00FA10D9" w:rsidRDefault="000A1E4B">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截至2025年末，“世界义乌”商贸大模型APP注册用户数超5.6万人，系列AI应用累计服务用户超28.8万人，惠及线下经营户超3.4万家。广泛的市场覆盖不仅验证了AI技术在贸易场景的适配性与实用性，更积累了海量真实贸易数据，反哺大模型迭代优化，形成“技术研发-应用落地-数据沉淀-能力升级”的良性循环。</w:t>
            </w:r>
          </w:p>
          <w:p w14:paraId="055F730D" w14:textId="77777777" w:rsidR="00FA10D9" w:rsidRDefault="000A1E4B">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2025年，系列AI应用的落地实施为市场经营户带来了显著降本增效成果，核心指标实现可量化提升，有效破解传统贸易模式中设计周期长、上新效率低、跨境沟通难、营销成本高等痛点问题。</w:t>
            </w:r>
          </w:p>
          <w:p w14:paraId="19881192" w14:textId="77777777" w:rsidR="00FA10D9" w:rsidRDefault="000A1E4B">
            <w:pPr>
              <w:spacing w:line="360" w:lineRule="auto"/>
              <w:ind w:firstLineChars="200" w:firstLine="482"/>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3.公司今年整体的研发重点以及与阿里深入合作的主要看点有哪些？</w:t>
            </w:r>
          </w:p>
          <w:p w14:paraId="79409464" w14:textId="77777777" w:rsidR="00FA10D9" w:rsidRDefault="000A1E4B">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研发重点及合作看点主要包括两方面：一是基础模型层面，推进世界义乌大模型的迭代，基于通义千问技术模型与公司归集的营销库进行垂类大模型能力迭代，模型迭代需经过备案流程；二是应用层面，联合阿里市场团队及生态</w:t>
            </w:r>
            <w:r>
              <w:rPr>
                <w:rFonts w:ascii="仿宋_GB2312" w:eastAsia="仿宋_GB2312" w:hAnsi="仿宋_GB2312" w:cs="仿宋_GB2312" w:hint="eastAsia"/>
                <w:bCs/>
                <w:iCs/>
                <w:sz w:val="24"/>
                <w:szCs w:val="24"/>
              </w:rPr>
              <w:lastRenderedPageBreak/>
              <w:t>企业开展研发，通过举办2026年AI创新大赛挖掘新应用与业务融合产品，对接国内顶流AI团队的应用产品与商户需求，整合生态企业产品组合，结合自身业务及平台资源谋划完整链路的项目。</w:t>
            </w:r>
          </w:p>
          <w:p w14:paraId="495ECC72" w14:textId="77777777" w:rsidR="00FA10D9" w:rsidRDefault="000A1E4B">
            <w:pPr>
              <w:numPr>
                <w:ilvl w:val="0"/>
                <w:numId w:val="1"/>
              </w:numPr>
              <w:spacing w:line="360" w:lineRule="auto"/>
              <w:ind w:firstLineChars="200" w:firstLine="482"/>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义支付2025年有什么变化？年交易额体量如何？相对于其他第三方支付公司，义支付有哪些优势？</w:t>
            </w:r>
          </w:p>
          <w:p w14:paraId="49694137" w14:textId="00AAEB10" w:rsidR="00FA10D9" w:rsidRDefault="000A1E4B">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答：义支付平台跨境出口直收展业范围从义乌拓展至全省，市场采购贸易出口收结汇单笔交易限额从5万美元提升至15万美元，2</w:t>
            </w:r>
            <w:r>
              <w:rPr>
                <w:rFonts w:ascii="仿宋_GB2312" w:eastAsia="仿宋_GB2312" w:hAnsi="仿宋_GB2312" w:cs="仿宋_GB2312"/>
                <w:bCs/>
                <w:iCs/>
                <w:sz w:val="24"/>
                <w:szCs w:val="24"/>
              </w:rPr>
              <w:t>025</w:t>
            </w:r>
            <w:r>
              <w:rPr>
                <w:rFonts w:ascii="仿宋_GB2312" w:eastAsia="仿宋_GB2312" w:hAnsi="仿宋_GB2312" w:cs="仿宋_GB2312" w:hint="eastAsia"/>
                <w:bCs/>
                <w:iCs/>
                <w:sz w:val="24"/>
                <w:szCs w:val="24"/>
              </w:rPr>
              <w:t>年交易额突破60亿美元、同比增长50%。</w:t>
            </w:r>
          </w:p>
          <w:p w14:paraId="2EABB144" w14:textId="67AC660A" w:rsidR="00FA10D9" w:rsidRDefault="000A1E4B">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bCs/>
                <w:iCs/>
                <w:sz w:val="24"/>
                <w:szCs w:val="24"/>
              </w:rPr>
              <w:t>战略契合度：在国家推动人民币国际化、提升跨境计价结算能力的大背景下，义支付</w:t>
            </w:r>
            <w:r>
              <w:rPr>
                <w:rFonts w:ascii="仿宋_GB2312" w:eastAsia="仿宋_GB2312" w:hAnsi="仿宋_GB2312" w:cs="仿宋_GB2312" w:hint="eastAsia"/>
                <w:bCs/>
                <w:iCs/>
                <w:sz w:val="24"/>
                <w:szCs w:val="24"/>
              </w:rPr>
              <w:t>优势明显</w:t>
            </w:r>
            <w:r>
              <w:rPr>
                <w:rFonts w:ascii="仿宋_GB2312" w:eastAsia="仿宋_GB2312" w:hAnsi="仿宋_GB2312" w:cs="仿宋_GB2312"/>
                <w:bCs/>
                <w:iCs/>
                <w:sz w:val="24"/>
                <w:szCs w:val="24"/>
              </w:rPr>
              <w:t>。</w:t>
            </w:r>
          </w:p>
          <w:p w14:paraId="2E5C974C" w14:textId="723B2A40" w:rsidR="00FA10D9" w:rsidRDefault="000A1E4B">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bCs/>
                <w:iCs/>
                <w:sz w:val="24"/>
                <w:szCs w:val="24"/>
              </w:rPr>
              <w:t>核心优势：</w:t>
            </w:r>
            <w:r>
              <w:rPr>
                <w:rFonts w:ascii="仿宋_GB2312" w:eastAsia="仿宋_GB2312" w:hAnsi="仿宋_GB2312" w:cs="仿宋_GB2312" w:hint="eastAsia"/>
                <w:bCs/>
                <w:iCs/>
                <w:sz w:val="24"/>
                <w:szCs w:val="24"/>
              </w:rPr>
              <w:t>1.</w:t>
            </w:r>
            <w:r>
              <w:rPr>
                <w:rFonts w:ascii="仿宋_GB2312" w:eastAsia="仿宋_GB2312" w:hAnsi="仿宋_GB2312" w:cs="仿宋_GB2312"/>
                <w:bCs/>
                <w:iCs/>
                <w:sz w:val="24"/>
                <w:szCs w:val="24"/>
              </w:rPr>
              <w:t>市场化运营团队，拥有成功的出口端支付服务经验和规模基础。</w:t>
            </w:r>
            <w:r>
              <w:rPr>
                <w:rFonts w:ascii="仿宋_GB2312" w:eastAsia="仿宋_GB2312" w:hAnsi="仿宋_GB2312" w:cs="仿宋_GB2312" w:hint="eastAsia"/>
                <w:bCs/>
                <w:iCs/>
                <w:sz w:val="24"/>
                <w:szCs w:val="24"/>
              </w:rPr>
              <w:t>2.</w:t>
            </w:r>
            <w:r>
              <w:rPr>
                <w:rFonts w:ascii="仿宋_GB2312" w:eastAsia="仿宋_GB2312" w:hAnsi="仿宋_GB2312" w:cs="仿宋_GB2312"/>
                <w:bCs/>
                <w:iCs/>
                <w:sz w:val="24"/>
                <w:szCs w:val="24"/>
              </w:rPr>
              <w:t>浙江省内唯一的国有第三方支付牌照。</w:t>
            </w:r>
            <w:r>
              <w:rPr>
                <w:rFonts w:ascii="仿宋_GB2312" w:eastAsia="仿宋_GB2312" w:hAnsi="仿宋_GB2312" w:cs="仿宋_GB2312" w:hint="eastAsia"/>
                <w:bCs/>
                <w:iCs/>
                <w:sz w:val="24"/>
                <w:szCs w:val="24"/>
              </w:rPr>
              <w:t>3.</w:t>
            </w:r>
            <w:r>
              <w:rPr>
                <w:rFonts w:ascii="仿宋_GB2312" w:eastAsia="仿宋_GB2312" w:hAnsi="仿宋_GB2312" w:cs="仿宋_GB2312"/>
                <w:bCs/>
                <w:iCs/>
                <w:sz w:val="24"/>
                <w:szCs w:val="24"/>
              </w:rPr>
              <w:t>业务聚焦“一带一路”国家贸易，高度契合国家战略导向，获政策支持。</w:t>
            </w:r>
            <w:r>
              <w:rPr>
                <w:rFonts w:ascii="仿宋_GB2312" w:eastAsia="仿宋_GB2312" w:hAnsi="仿宋_GB2312" w:cs="仿宋_GB2312" w:hint="eastAsia"/>
                <w:bCs/>
                <w:iCs/>
                <w:sz w:val="24"/>
                <w:szCs w:val="24"/>
              </w:rPr>
              <w:t>4.</w:t>
            </w:r>
            <w:r>
              <w:rPr>
                <w:rFonts w:ascii="仿宋_GB2312" w:eastAsia="仿宋_GB2312" w:hAnsi="仿宋_GB2312" w:cs="仿宋_GB2312"/>
                <w:bCs/>
                <w:iCs/>
                <w:sz w:val="24"/>
                <w:szCs w:val="24"/>
              </w:rPr>
              <w:t>背靠义乌巨大出口贸易体量，业务基础扎实。</w:t>
            </w:r>
          </w:p>
          <w:p w14:paraId="26B66355" w14:textId="63053F3D" w:rsidR="00FA10D9" w:rsidRDefault="000A1E4B">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bCs/>
                <w:iCs/>
                <w:sz w:val="24"/>
                <w:szCs w:val="24"/>
              </w:rPr>
              <w:t>未来展望：义支付不仅是当前跨境人民币业务的核心抓手，也是后续承接数字人民币等国家金融改革任务的重要平台</w:t>
            </w:r>
            <w:r w:rsidR="00583333">
              <w:rPr>
                <w:rFonts w:asciiTheme="minorHAnsi" w:eastAsia="仿宋_GB2312" w:hAnsiTheme="minorHAnsi" w:cs="仿宋_GB2312" w:hint="eastAsia"/>
                <w:bCs/>
                <w:iCs/>
                <w:sz w:val="24"/>
                <w:szCs w:val="24"/>
              </w:rPr>
              <w:t>，</w:t>
            </w:r>
            <w:r>
              <w:rPr>
                <w:rFonts w:ascii="仿宋_GB2312" w:eastAsia="仿宋_GB2312" w:hAnsi="仿宋_GB2312" w:cs="仿宋_GB2312" w:hint="eastAsia"/>
                <w:bCs/>
                <w:iCs/>
                <w:sz w:val="24"/>
                <w:szCs w:val="24"/>
              </w:rPr>
              <w:t>预计</w:t>
            </w:r>
            <w:r>
              <w:rPr>
                <w:rFonts w:ascii="仿宋_GB2312" w:eastAsia="仿宋_GB2312" w:hAnsi="仿宋_GB2312" w:cs="仿宋_GB2312"/>
                <w:bCs/>
                <w:iCs/>
                <w:sz w:val="24"/>
                <w:szCs w:val="24"/>
              </w:rPr>
              <w:t>2026年</w:t>
            </w:r>
            <w:r>
              <w:rPr>
                <w:rFonts w:ascii="仿宋_GB2312" w:eastAsia="仿宋_GB2312" w:hAnsi="仿宋_GB2312" w:cs="仿宋_GB2312" w:hint="eastAsia"/>
                <w:bCs/>
                <w:iCs/>
                <w:sz w:val="24"/>
                <w:szCs w:val="24"/>
              </w:rPr>
              <w:t>跨境支付</w:t>
            </w:r>
            <w:r>
              <w:rPr>
                <w:rFonts w:ascii="仿宋_GB2312" w:eastAsia="仿宋_GB2312" w:hAnsi="仿宋_GB2312" w:cs="仿宋_GB2312"/>
                <w:bCs/>
                <w:iCs/>
                <w:sz w:val="24"/>
                <w:szCs w:val="24"/>
              </w:rPr>
              <w:t>业务规模有望</w:t>
            </w:r>
            <w:r>
              <w:rPr>
                <w:rFonts w:ascii="仿宋_GB2312" w:eastAsia="仿宋_GB2312" w:hAnsi="仿宋_GB2312" w:cs="仿宋_GB2312" w:hint="eastAsia"/>
                <w:bCs/>
                <w:iCs/>
                <w:sz w:val="24"/>
                <w:szCs w:val="24"/>
              </w:rPr>
              <w:t>迈上100亿美金</w:t>
            </w:r>
            <w:r>
              <w:rPr>
                <w:rFonts w:ascii="仿宋_GB2312" w:eastAsia="仿宋_GB2312" w:hAnsi="仿宋_GB2312" w:cs="仿宋_GB2312"/>
                <w:bCs/>
                <w:iCs/>
                <w:sz w:val="24"/>
                <w:szCs w:val="24"/>
              </w:rPr>
              <w:t>台阶。</w:t>
            </w:r>
          </w:p>
          <w:p w14:paraId="2B081195" w14:textId="77777777" w:rsidR="00FA10D9" w:rsidRDefault="000A1E4B">
            <w:pPr>
              <w:spacing w:line="360" w:lineRule="auto"/>
              <w:ind w:firstLineChars="200" w:firstLine="482"/>
              <w:rPr>
                <w:rFonts w:ascii="仿宋_GB2312" w:eastAsia="仿宋_GB2312" w:hAnsi="仿宋_GB2312" w:cs="仿宋_GB2312"/>
                <w:b/>
                <w:iCs/>
                <w:sz w:val="24"/>
                <w:szCs w:val="24"/>
              </w:rPr>
            </w:pPr>
            <w:r>
              <w:rPr>
                <w:rFonts w:ascii="仿宋_GB2312" w:eastAsia="仿宋_GB2312" w:hAnsi="仿宋_GB2312" w:cs="仿宋_GB2312" w:hint="eastAsia"/>
                <w:b/>
                <w:iCs/>
                <w:sz w:val="24"/>
                <w:szCs w:val="24"/>
              </w:rPr>
              <w:t>5.公司2025年是否考虑提升分红比例？</w:t>
            </w:r>
          </w:p>
          <w:p w14:paraId="263A2066" w14:textId="77777777" w:rsidR="00FA10D9" w:rsidRDefault="000A1E4B">
            <w:pPr>
              <w:spacing w:line="360" w:lineRule="auto"/>
              <w:ind w:firstLineChars="200" w:firstLine="480"/>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公司的分红决策通常基于年度经营业绩、现金流状况、未来发展需求以及股东回报政策等多重因素综合考量。我们将充分考虑股东利益，在确保公司持续健康发展的前提下，积极研究包括分红在内的多种回报方式，力求为股东创造更大价值。</w:t>
            </w:r>
          </w:p>
        </w:tc>
      </w:tr>
      <w:tr w:rsidR="00FA10D9" w14:paraId="3A534501" w14:textId="77777777">
        <w:trPr>
          <w:trHeight w:val="90"/>
        </w:trPr>
        <w:tc>
          <w:tcPr>
            <w:tcW w:w="2411" w:type="dxa"/>
            <w:vAlign w:val="center"/>
          </w:tcPr>
          <w:p w14:paraId="524BB622" w14:textId="77777777" w:rsidR="00FA10D9" w:rsidRDefault="000A1E4B">
            <w:pPr>
              <w:spacing w:line="360" w:lineRule="auto"/>
              <w:jc w:val="center"/>
              <w:rPr>
                <w:rFonts w:ascii="宋体" w:hAnsi="宋体" w:cs="黑体"/>
                <w:iCs/>
                <w:sz w:val="24"/>
                <w:szCs w:val="24"/>
              </w:rPr>
            </w:pPr>
            <w:r>
              <w:rPr>
                <w:rFonts w:ascii="宋体" w:hAnsi="宋体" w:cs="黑体" w:hint="eastAsia"/>
                <w:iCs/>
                <w:sz w:val="24"/>
                <w:szCs w:val="24"/>
              </w:rPr>
              <w:lastRenderedPageBreak/>
              <w:t>关于本次活动是否涉及应披露重大信息的说明</w:t>
            </w:r>
          </w:p>
        </w:tc>
        <w:tc>
          <w:tcPr>
            <w:tcW w:w="6379" w:type="dxa"/>
            <w:vAlign w:val="center"/>
          </w:tcPr>
          <w:p w14:paraId="1302A170" w14:textId="77777777" w:rsidR="00FA10D9" w:rsidRDefault="000A1E4B">
            <w:pPr>
              <w:spacing w:line="360" w:lineRule="auto"/>
              <w:jc w:val="center"/>
              <w:rPr>
                <w:rFonts w:ascii="宋体" w:hAnsi="宋体" w:cs="仿宋_GB2312"/>
                <w:bCs/>
                <w:iCs/>
                <w:sz w:val="24"/>
                <w:szCs w:val="24"/>
              </w:rPr>
            </w:pPr>
            <w:r>
              <w:rPr>
                <w:rFonts w:ascii="仿宋_GB2312" w:eastAsia="仿宋_GB2312" w:hAnsi="仿宋_GB2312" w:cs="仿宋_GB2312" w:hint="eastAsia"/>
                <w:bCs/>
                <w:iCs/>
                <w:sz w:val="24"/>
                <w:szCs w:val="24"/>
              </w:rPr>
              <w:t>否</w:t>
            </w:r>
          </w:p>
        </w:tc>
      </w:tr>
      <w:tr w:rsidR="00FA10D9" w14:paraId="3103E0D8" w14:textId="77777777">
        <w:trPr>
          <w:trHeight w:val="1130"/>
        </w:trPr>
        <w:tc>
          <w:tcPr>
            <w:tcW w:w="2411" w:type="dxa"/>
            <w:vAlign w:val="center"/>
          </w:tcPr>
          <w:p w14:paraId="304202EB" w14:textId="77777777" w:rsidR="00FA10D9" w:rsidRDefault="000A1E4B">
            <w:pPr>
              <w:spacing w:line="360" w:lineRule="auto"/>
              <w:jc w:val="center"/>
              <w:rPr>
                <w:rFonts w:ascii="宋体" w:hAnsi="宋体" w:cs="黑体"/>
                <w:iCs/>
                <w:sz w:val="24"/>
                <w:szCs w:val="24"/>
              </w:rPr>
            </w:pPr>
            <w:r>
              <w:rPr>
                <w:rFonts w:ascii="宋体" w:hAnsi="宋体" w:cs="黑体" w:hint="eastAsia"/>
                <w:iCs/>
                <w:sz w:val="24"/>
                <w:szCs w:val="24"/>
              </w:rPr>
              <w:lastRenderedPageBreak/>
              <w:t>附件清单（如有）</w:t>
            </w:r>
          </w:p>
        </w:tc>
        <w:tc>
          <w:tcPr>
            <w:tcW w:w="6379" w:type="dxa"/>
            <w:vAlign w:val="center"/>
          </w:tcPr>
          <w:p w14:paraId="378B2756" w14:textId="77777777" w:rsidR="00FA10D9" w:rsidRDefault="000A1E4B">
            <w:pPr>
              <w:spacing w:line="360" w:lineRule="auto"/>
              <w:jc w:val="center"/>
              <w:rPr>
                <w:rFonts w:ascii="宋体" w:hAnsi="宋体" w:cs="仿宋_GB2312"/>
                <w:bCs/>
                <w:iCs/>
                <w:sz w:val="24"/>
                <w:szCs w:val="24"/>
              </w:rPr>
            </w:pPr>
            <w:r>
              <w:rPr>
                <w:rFonts w:ascii="仿宋_GB2312" w:eastAsia="仿宋_GB2312" w:hAnsi="仿宋_GB2312" w:cs="仿宋_GB2312" w:hint="eastAsia"/>
                <w:bCs/>
                <w:iCs/>
                <w:sz w:val="24"/>
                <w:szCs w:val="24"/>
              </w:rPr>
              <w:t>无</w:t>
            </w:r>
          </w:p>
        </w:tc>
      </w:tr>
    </w:tbl>
    <w:p w14:paraId="4FF77972" w14:textId="77777777" w:rsidR="00FA10D9" w:rsidRDefault="00FA10D9">
      <w:pPr>
        <w:spacing w:line="360" w:lineRule="auto"/>
      </w:pPr>
    </w:p>
    <w:sectPr w:rsidR="00FA10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661A" w14:textId="77777777" w:rsidR="00B53CBC" w:rsidRDefault="00B53CBC" w:rsidP="007B3DEF">
      <w:r>
        <w:separator/>
      </w:r>
    </w:p>
  </w:endnote>
  <w:endnote w:type="continuationSeparator" w:id="0">
    <w:p w14:paraId="5743C3FC" w14:textId="77777777" w:rsidR="00B53CBC" w:rsidRDefault="00B53CBC" w:rsidP="007B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5074" w14:textId="77777777" w:rsidR="00B53CBC" w:rsidRDefault="00B53CBC" w:rsidP="007B3DEF">
      <w:r>
        <w:separator/>
      </w:r>
    </w:p>
  </w:footnote>
  <w:footnote w:type="continuationSeparator" w:id="0">
    <w:p w14:paraId="3C2F1CAC" w14:textId="77777777" w:rsidR="00B53CBC" w:rsidRDefault="00B53CBC" w:rsidP="007B3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BED889"/>
    <w:multiLevelType w:val="singleLevel"/>
    <w:tmpl w:val="F5BED889"/>
    <w:lvl w:ilvl="0">
      <w:start w:val="4"/>
      <w:numFmt w:val="decimal"/>
      <w:lvlText w:val="%1."/>
      <w:lvlJc w:val="left"/>
      <w:pPr>
        <w:tabs>
          <w:tab w:val="left" w:pos="312"/>
        </w:tabs>
      </w:pPr>
    </w:lvl>
  </w:abstractNum>
  <w:num w:numId="1" w16cid:durableId="156980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0D9"/>
    <w:rsid w:val="000A1E4B"/>
    <w:rsid w:val="00583333"/>
    <w:rsid w:val="007B3DEF"/>
    <w:rsid w:val="00B53CBC"/>
    <w:rsid w:val="00BF3431"/>
    <w:rsid w:val="00D808C5"/>
    <w:rsid w:val="00FA10D9"/>
    <w:rsid w:val="082264AD"/>
    <w:rsid w:val="08DB6A0C"/>
    <w:rsid w:val="0C172490"/>
    <w:rsid w:val="0F024EAD"/>
    <w:rsid w:val="1C8011BD"/>
    <w:rsid w:val="1D547238"/>
    <w:rsid w:val="1DE75D86"/>
    <w:rsid w:val="1FFC1EF1"/>
    <w:rsid w:val="22765384"/>
    <w:rsid w:val="2A644BB0"/>
    <w:rsid w:val="2EE817B0"/>
    <w:rsid w:val="31D90E48"/>
    <w:rsid w:val="331C1F78"/>
    <w:rsid w:val="36721D4D"/>
    <w:rsid w:val="3B3665B8"/>
    <w:rsid w:val="477A2C98"/>
    <w:rsid w:val="4EAE3E76"/>
    <w:rsid w:val="51237AAF"/>
    <w:rsid w:val="54CC0884"/>
    <w:rsid w:val="56194AE5"/>
    <w:rsid w:val="603D0153"/>
    <w:rsid w:val="6184481B"/>
    <w:rsid w:val="61E62405"/>
    <w:rsid w:val="63FB399E"/>
    <w:rsid w:val="67E4235D"/>
    <w:rsid w:val="69D202A8"/>
    <w:rsid w:val="6C224E83"/>
    <w:rsid w:val="743453B3"/>
    <w:rsid w:val="759B3B0D"/>
    <w:rsid w:val="77275DC2"/>
    <w:rsid w:val="7852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B159A"/>
  <w15:docId w15:val="{F033664F-F3E2-4038-970F-2CACDBCD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next w:val="a"/>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unhideWhenUsed/>
    <w:qFormat/>
    <w:pPr>
      <w:widowControl w:val="0"/>
      <w:adjustRightInd w:val="0"/>
      <w:spacing w:before="280" w:line="300" w:lineRule="auto"/>
      <w:jc w:val="both"/>
      <w:outlineLvl w:val="1"/>
    </w:pPr>
    <w:rPr>
      <w:rFonts w:eastAsia="黑体"/>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qFormat/>
    <w:pPr>
      <w:widowControl w:val="0"/>
      <w:adjustRightInd w:val="0"/>
      <w:spacing w:before="100" w:after="100" w:line="300" w:lineRule="auto"/>
      <w:ind w:firstLineChars="200" w:firstLine="1044"/>
      <w:jc w:val="both"/>
    </w:pPr>
    <w:rPr>
      <w:kern w:val="2"/>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1"/>
    <w:unhideWhenUsed/>
    <w:qFormat/>
    <w:pPr>
      <w:spacing w:beforeAutospacing="1" w:afterAutospacing="1"/>
      <w:jc w:val="left"/>
    </w:pPr>
    <w:rPr>
      <w:kern w:val="0"/>
      <w:sz w:val="24"/>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1"/>
    <w:qFormat/>
    <w:rPr>
      <w:b/>
    </w:rPr>
  </w:style>
  <w:style w:type="character" w:styleId="af1">
    <w:name w:val="Hyperlink"/>
    <w:uiPriority w:val="99"/>
    <w:unhideWhenUsed/>
    <w:qFormat/>
    <w:rPr>
      <w:color w:val="467886"/>
      <w:u w:val="single"/>
    </w:rPr>
  </w:style>
  <w:style w:type="character" w:styleId="af2">
    <w:name w:val="annotation reference"/>
    <w:uiPriority w:val="99"/>
    <w:unhideWhenUsed/>
    <w:qFormat/>
    <w:rPr>
      <w:sz w:val="21"/>
      <w:szCs w:val="21"/>
    </w:rPr>
  </w:style>
  <w:style w:type="character" w:customStyle="1" w:styleId="a9">
    <w:name w:val="页脚 字符"/>
    <w:link w:val="a8"/>
    <w:uiPriority w:val="99"/>
    <w:qFormat/>
    <w:rPr>
      <w:kern w:val="2"/>
      <w:sz w:val="18"/>
      <w:szCs w:val="18"/>
    </w:rPr>
  </w:style>
  <w:style w:type="character" w:customStyle="1" w:styleId="a4">
    <w:name w:val="批注文字 字符"/>
    <w:link w:val="a3"/>
    <w:uiPriority w:val="99"/>
    <w:semiHidden/>
    <w:qFormat/>
    <w:rPr>
      <w:kern w:val="2"/>
      <w:sz w:val="21"/>
      <w:szCs w:val="22"/>
    </w:rPr>
  </w:style>
  <w:style w:type="character" w:customStyle="1" w:styleId="10">
    <w:name w:val="未处理的提及1"/>
    <w:uiPriority w:val="99"/>
    <w:unhideWhenUsed/>
    <w:qFormat/>
    <w:rPr>
      <w:color w:val="605E5C"/>
      <w:shd w:val="clear" w:color="auto" w:fill="E1DFDD"/>
    </w:rPr>
  </w:style>
  <w:style w:type="character" w:customStyle="1" w:styleId="ab">
    <w:name w:val="页眉 字符"/>
    <w:link w:val="aa"/>
    <w:uiPriority w:val="99"/>
    <w:qFormat/>
    <w:rPr>
      <w:kern w:val="2"/>
      <w:sz w:val="18"/>
      <w:szCs w:val="18"/>
    </w:rPr>
  </w:style>
  <w:style w:type="character" w:customStyle="1" w:styleId="ae">
    <w:name w:val="批注主题 字符"/>
    <w:link w:val="ad"/>
    <w:uiPriority w:val="99"/>
    <w:semiHidden/>
    <w:qFormat/>
    <w:rPr>
      <w:b/>
      <w:bCs/>
      <w:kern w:val="2"/>
      <w:sz w:val="21"/>
      <w:szCs w:val="22"/>
    </w:rPr>
  </w:style>
  <w:style w:type="character" w:customStyle="1" w:styleId="a7">
    <w:name w:val="批注框文本 字符"/>
    <w:link w:val="a6"/>
    <w:uiPriority w:val="99"/>
    <w:semiHidden/>
    <w:qFormat/>
    <w:rPr>
      <w:kern w:val="2"/>
      <w:sz w:val="18"/>
      <w:szCs w:val="18"/>
    </w:rPr>
  </w:style>
  <w:style w:type="paragraph" w:customStyle="1" w:styleId="11">
    <w:name w:val="修订1"/>
    <w:uiPriority w:val="99"/>
    <w:unhideWhenUsed/>
    <w:qFormat/>
    <w:rPr>
      <w:kern w:val="2"/>
      <w:sz w:val="21"/>
      <w:szCs w:val="22"/>
    </w:rPr>
  </w:style>
  <w:style w:type="paragraph" w:customStyle="1" w:styleId="12">
    <w:name w:val="列表段落1"/>
    <w:basedOn w:val="a"/>
    <w:uiPriority w:val="99"/>
    <w:qFormat/>
    <w:pPr>
      <w:ind w:firstLineChars="200" w:firstLine="420"/>
    </w:pPr>
  </w:style>
  <w:style w:type="paragraph" w:customStyle="1" w:styleId="Style6">
    <w:name w:val="_Style 6"/>
    <w:basedOn w:val="a"/>
    <w:uiPriority w:val="34"/>
    <w:qFormat/>
    <w:pPr>
      <w:ind w:firstLineChars="200" w:firstLine="420"/>
    </w:pPr>
    <w:rPr>
      <w:rFonts w:ascii="Calibri" w:hAnsi="Calibri"/>
    </w:rPr>
  </w:style>
  <w:style w:type="paragraph" w:styleId="af3">
    <w:name w:val="Revision"/>
    <w:hidden/>
    <w:uiPriority w:val="99"/>
    <w:semiHidden/>
    <w:rsid w:val="007B3DE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Nail He</cp:lastModifiedBy>
  <cp:revision>4</cp:revision>
  <dcterms:created xsi:type="dcterms:W3CDTF">2026-01-16T06:33:00Z</dcterms:created>
  <dcterms:modified xsi:type="dcterms:W3CDTF">2026-01-16T07:34:00Z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55CF3B0295CE42F7B02F292A86CC634D_13</vt:lpwstr>
  </property>
  <property fmtid="{D5CDD505-2E9C-101B-9397-08002B2CF9AE}" pid="4" name="KSOTemplateDocerSaveRecord">
    <vt:lpwstr>eyJoZGlkIjoiOTE2NmY0YTllNDc1MjY1ZDE1YjE2MTkyYmI5MjFiNzUiLCJ1c2VySWQiOiI1MDQwOTk1OTEifQ==</vt:lpwstr>
  </property>
</Properties>
</file>