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04905">
      <w:pPr>
        <w:spacing w:line="288" w:lineRule="auto"/>
        <w:jc w:val="left"/>
        <w:rPr>
          <w:rFonts w:ascii="Times New Roman" w:hAnsi="Times New Roman" w:eastAsia="宋体" w:cs="Times New Roman"/>
          <w:szCs w:val="21"/>
        </w:rPr>
      </w:pPr>
      <w:bookmarkStart w:id="0" w:name="_GoBack"/>
      <w:bookmarkEnd w:id="0"/>
      <w:r>
        <w:rPr>
          <w:rFonts w:ascii="Times New Roman" w:hAnsi="Times New Roman" w:eastAsia="宋体" w:cs="Times New Roman"/>
          <w:szCs w:val="21"/>
        </w:rPr>
        <w:t>证券代码：603920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</w:t>
      </w:r>
      <w:r>
        <w:rPr>
          <w:rFonts w:ascii="Times New Roman" w:hAnsi="Times New Roman" w:eastAsia="宋体" w:cs="Times New Roman"/>
          <w:szCs w:val="21"/>
        </w:rPr>
        <w:t>证券简称：世运电路</w:t>
      </w:r>
    </w:p>
    <w:p w14:paraId="633E2CE4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广东世运电路科技股份有限公司</w:t>
      </w:r>
    </w:p>
    <w:p w14:paraId="634D0C21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917"/>
      </w:tblGrid>
      <w:tr w14:paraId="1677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79" w:type="dxa"/>
            <w:vAlign w:val="center"/>
          </w:tcPr>
          <w:p w14:paraId="1DD73E02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投资者关系活动类别</w:t>
            </w:r>
          </w:p>
        </w:tc>
        <w:tc>
          <w:tcPr>
            <w:tcW w:w="6917" w:type="dxa"/>
            <w:vAlign w:val="center"/>
          </w:tcPr>
          <w:p w14:paraId="65729B68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ascii="Times New Roman Regular" w:hAnsi="Times New Roman Regular" w:eastAsia="宋体" w:cs="Times New Roman Regular"/>
                <w:szCs w:val="21"/>
              </w:rPr>
              <w:t>☑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 xml:space="preserve">特定对象调研  □分析师会议  □媒体采访  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sym w:font="Wingdings 2" w:char="00A3"/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业绩说明会</w:t>
            </w:r>
          </w:p>
          <w:p w14:paraId="78C0C5F6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  <w:u w:val="single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□新闻发布会  □路演活动  ☑现场参观  □其他</w:t>
            </w:r>
          </w:p>
        </w:tc>
      </w:tr>
      <w:tr w14:paraId="5754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379" w:type="dxa"/>
            <w:vAlign w:val="center"/>
          </w:tcPr>
          <w:p w14:paraId="7C7B23FF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参与单位名称与人数</w:t>
            </w:r>
          </w:p>
        </w:tc>
        <w:tc>
          <w:tcPr>
            <w:tcW w:w="6917" w:type="dxa"/>
            <w:vAlign w:val="center"/>
          </w:tcPr>
          <w:p w14:paraId="1B20E094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国泰基金、平安证券、长城基金、信达澳亚、中国银行证券、国投瑞银基金、深圳杉树资产、朱雀基金、睿扬投资、中晟晨嘉、和沣资产、广发证券等15人</w:t>
            </w:r>
          </w:p>
        </w:tc>
      </w:tr>
      <w:tr w14:paraId="45AB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379" w:type="dxa"/>
            <w:vAlign w:val="center"/>
          </w:tcPr>
          <w:p w14:paraId="5A068EC6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时间</w:t>
            </w:r>
          </w:p>
        </w:tc>
        <w:tc>
          <w:tcPr>
            <w:tcW w:w="6917" w:type="dxa"/>
            <w:vAlign w:val="center"/>
          </w:tcPr>
          <w:p w14:paraId="48A038B1">
            <w:pPr>
              <w:spacing w:line="288" w:lineRule="auto"/>
              <w:rPr>
                <w:rFonts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2026年1月14日14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0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0—1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6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: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3</w:t>
            </w:r>
            <w:r>
              <w:rPr>
                <w:rFonts w:ascii="Times New Roman Regular" w:hAnsi="Times New Roman Regular" w:eastAsia="宋体" w:cs="Times New Roman Regular"/>
                <w:szCs w:val="21"/>
              </w:rPr>
              <w:t>0</w:t>
            </w:r>
          </w:p>
        </w:tc>
      </w:tr>
      <w:tr w14:paraId="27DB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379" w:type="dxa"/>
            <w:vAlign w:val="center"/>
          </w:tcPr>
          <w:p w14:paraId="67317558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地点</w:t>
            </w:r>
          </w:p>
        </w:tc>
        <w:tc>
          <w:tcPr>
            <w:tcW w:w="6917" w:type="dxa"/>
            <w:vAlign w:val="center"/>
          </w:tcPr>
          <w:p w14:paraId="6F6F9CB7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公司会议室</w:t>
            </w:r>
          </w:p>
        </w:tc>
      </w:tr>
      <w:tr w14:paraId="430D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379" w:type="dxa"/>
            <w:vAlign w:val="center"/>
          </w:tcPr>
          <w:p w14:paraId="3D113858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形式</w:t>
            </w:r>
          </w:p>
        </w:tc>
        <w:tc>
          <w:tcPr>
            <w:tcW w:w="6917" w:type="dxa"/>
            <w:vAlign w:val="center"/>
          </w:tcPr>
          <w:p w14:paraId="58AB69F9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现场会议</w:t>
            </w:r>
          </w:p>
        </w:tc>
      </w:tr>
      <w:tr w14:paraId="2D18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79" w:type="dxa"/>
            <w:vAlign w:val="center"/>
          </w:tcPr>
          <w:p w14:paraId="7406417B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上市公司接待人员姓名</w:t>
            </w:r>
          </w:p>
        </w:tc>
        <w:tc>
          <w:tcPr>
            <w:tcW w:w="6917" w:type="dxa"/>
            <w:vAlign w:val="center"/>
          </w:tcPr>
          <w:p w14:paraId="2F0B02BF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副董事长、总经理：佘英杰先生</w:t>
            </w:r>
          </w:p>
          <w:p w14:paraId="547524FD">
            <w:pPr>
              <w:spacing w:line="288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董事会秘书：尹嘉亮先生</w:t>
            </w:r>
          </w:p>
        </w:tc>
      </w:tr>
      <w:tr w14:paraId="7FB0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2EAF0030">
            <w:pPr>
              <w:spacing w:line="288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917" w:type="dxa"/>
          </w:tcPr>
          <w:p w14:paraId="0AA70536">
            <w:pPr>
              <w:spacing w:before="156" w:beforeLines="50" w:line="360" w:lineRule="auto"/>
              <w:ind w:firstLine="420" w:firstLineChars="200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公司管理层向来访者介绍了公司基本情况，包括公司发展历程、主营业务、经营情况等方面内容，并与来访人员进行互动交流，主要内容如下：</w:t>
            </w:r>
          </w:p>
          <w:p w14:paraId="447F9EF1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  <w:t>储能业务的合作情况及放量预期是什么时间？</w:t>
            </w:r>
          </w:p>
          <w:p w14:paraId="6F015179">
            <w:pPr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储能业务主要聚焦储能逆变器、高压高频高密度电源供电系统等核心部件的PCB供应，客户覆盖国际头部企业及国内储能企业，当前已进入批量供货阶段。公司自切入T客户的储能业务，为其多项大型储能项目供应高可靠性多层板和HDI等产品，随着T客户美国加州工厂、上海储能超级工厂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州工厂的推进节奏，相关订单持续放量。公司与伊顿、三菱、博世、ABB等国际头部企业达成稳定合作，为其工业控制及储能相关应用提供高可靠性PCB产品；在国内市场，公司亦与多家储能企业建立合作，核心供应适配高频功率转换与耐高压的储能逆变器PCB产品，未来订单规模将随国内储能市场增长稳步提升。</w:t>
            </w:r>
          </w:p>
          <w:p w14:paraId="209F8B91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现在下游储能板块需求比较强劲，公司是特斯拉储能主要PCB供应商，未来远期的增长指引，是否有更加积极的展望？是否有储能等其他客户的导入新进展？</w:t>
            </w:r>
          </w:p>
          <w:p w14:paraId="23B9EFDA">
            <w:pPr>
              <w:tabs>
                <w:tab w:val="left" w:pos="922"/>
              </w:tabs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</w:rPr>
              <w:t>储能业务是世运电路收入的重要组成部分，客户以T客户为主，同时涵盖伊顿、ABB等欧美客户及光伏企业等。T客户储能需求旺盛，海外市场份额高，后续仍有新增产能持续投放。美国储能市场需求空间巨大，未来几年行业增长速度相对较快。公司依托长期与T客户的合作经验及零投诉的高制造水平，获得众多客户认可，目前储能订单饱满，产能存在进一步扩大的必要性。</w:t>
            </w:r>
          </w:p>
          <w:p w14:paraId="2F333E2F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  <w:t>顺德国资入主后对公司有什么影响？公司目前的管理层是否有进行股权激励？</w:t>
            </w:r>
          </w:p>
          <w:p w14:paraId="5BE56F8F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顺控集团的经营方式是市场化投资管理，入主世运电路是“加入”而不是“接管”，不干涉原经营团队的正常经营，“加入”世运电路的主要目的是互利共赢，为世运电路带来更多的赋能。关于顺控集团的赋能，一方面是充足的资金支持，优化公司股东结构，增强公司的金融信用和资金实力，加快公司的产业布局，提高公司抗风险能力，与股东优势资源协同发展，提升公司综合盈利能力；另一方面是国内市场开拓支持，依托顺控集团在顺德地区的深耕，支持公司优化客户结构，在新能源汽车、储能、智能家电产业和机器人制造等优势产业实现良好协同发展，为公司开拓新的市场增长空间。同时，公司已制定相关的内部</w:t>
            </w:r>
            <w:r>
              <w:rPr>
                <w:rFonts w:ascii="宋体" w:hAnsi="宋体" w:eastAsia="宋体" w:cs="宋体"/>
                <w:szCs w:val="21"/>
              </w:rPr>
              <w:t>激励制度，以提高公司管理层的积极性和责任感，也会考虑在适当时间推出股权激励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0BF59CAA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新豪国际前期减持是出于什么考虑？以及创始人佘总未来的职业规划是怎么样的？</w:t>
            </w:r>
          </w:p>
          <w:p w14:paraId="6887E5D2">
            <w:pPr>
              <w:spacing w:before="156" w:beforeLines="50" w:line="360" w:lineRule="auto"/>
              <w:ind w:firstLine="420" w:firstLineChars="200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新豪国际目前仍持有公司20.11%的股份，继续稳居第二大股东，公司目标是使公司核心股东结构更加稳定、集中，更有利于保持公司战略方向的一致性与长期决策的稳定性。新豪国际之前的减持所得资金中，部分将投向与公司有协同效应的产业领域，为公司未来业务拓展、产业协同提供支持。新豪国际前期减持确保了公司战略延续性与执行力，为公司持续稳健发展奠定坚实基础；这不仅体现了股东对公司长期价值的持续认可，也有助于打造更加完善、竞争力更强的产业链布局。公司创始人在未来两年会继续在公司担任总经理，负责公司经营管理与战略执行。</w:t>
            </w:r>
          </w:p>
          <w:p w14:paraId="40888EBE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公司PCB在商业航天领域有没有得到应用？</w:t>
            </w:r>
          </w:p>
          <w:p w14:paraId="51D8E69D">
            <w:pPr>
              <w:spacing w:before="156" w:beforeLines="50" w:line="360" w:lineRule="auto"/>
              <w:ind w:firstLine="420" w:firstLineChars="200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商业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航天是电子行业发展的重要领域，公司已完成相关的技术布局，逐步推进到实际应用。此外，公司重点发展的芯片内嵌式PCB技术，通过嵌埋工艺将功率芯片直接嵌入PCB板内，可实现信号传输路径优化、散热性能提升及系统可靠性增强等核心优势，该技术路线在航空航天领域具有广阔的应用前景。</w:t>
            </w:r>
          </w:p>
          <w:p w14:paraId="0913FBD7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left="0" w:firstLine="422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公司的财务状况如何？未来是否有融资计划？</w:t>
            </w:r>
          </w:p>
          <w:p w14:paraId="5EB122AC">
            <w:pPr>
              <w:spacing w:before="156" w:beforeLines="50" w:line="360" w:lineRule="auto"/>
              <w:ind w:firstLine="420" w:firstLineChars="200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2025年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前三季度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，公司经营活动产生的现金流量净额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为7.87亿元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，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与去年同比持平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。这一数据表明公司核心业务具备强大的现金创造能力，能为公司日常运营、研发投入、市场拓展等各方面发展提供坚实的资金保障，确保公司在业务推进过程中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，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有充足的资金流维持稳健运作。在2024年，公司成功通过定向增发募集资金，使得新项目能够按计划顺利推进，有助于公司扩大产能、优化产品结构、提升技术水平，为公司在未来市场竞争中抢占先机。今年以来，公司积极布局对外投资，合理配置资金。通过一系列谨慎且富有前瞻性的投资举措，已经为公司带来了良好收益，进一步增厚了公司利润，提升了公司的综合竞争力与市场价值。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未来</w:t>
            </w:r>
            <w:r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  <w:t>若泰国工厂、鹤山新基地等项目建设超出预期资金需求，或行业出现并购整合机会，公司可能启动新的融资计划。</w:t>
            </w:r>
          </w:p>
          <w:p w14:paraId="4C8C09D5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“芯创智载”新一代PCB产品的技术有什么优势？应用领域有哪些？预计投产时间？目标客户有哪些？</w:t>
            </w:r>
          </w:p>
          <w:p w14:paraId="3362190E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芯片内嵌技术带来三大核心优势：（1）消除键合线，减小机械应力失效，显著提升芯片互连技术的可靠性；（2）通过消除键合线并采用超短连接路径，电感可降至1nH以下，进一步降低开关损耗和电压过冲，大幅改善电气性能；（3）通过内嵌的方式，不仅减少了封装体占用的空间、降低了封装成本，还一定程度提升了电气性能和散热效果。采用嵌埋工艺将功率芯片直接嵌入到PCB板内，通过创新的制程工艺实现器件与PCB的一体化，优化芯片与电路板的信号传输路径与散热性能，提高系统功效和可靠性。在新能源汽车、数据中心、人形机器人、光伏储能、高功率通信设备、航空航天等领域具有广阔的应用前景。该项目预计2026年中开始投产。目标客户主要是新能源汽车、人形机器人、光伏储能、AIDC数据中心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低空飞行器等领域的客户。</w:t>
            </w:r>
          </w:p>
          <w:p w14:paraId="5567FE68">
            <w:pPr>
              <w:pStyle w:val="16"/>
              <w:numPr>
                <w:ilvl w:val="0"/>
                <w:numId w:val="1"/>
              </w:numPr>
              <w:spacing w:before="156" w:beforeLines="50" w:after="156" w:afterLines="50" w:line="360" w:lineRule="auto"/>
              <w:ind w:firstLine="23" w:firstLineChars="0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PCB原材料有哪些？原材料价格波动对公司的影响大吗？公司如何应对原材料价格的波动？</w:t>
            </w:r>
          </w:p>
          <w:p w14:paraId="1197D132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的原材料主要包括覆铜板、玻璃纤维布等，公司接触的核心供应商合作关系比较稳定。公司也将采取一些措施减少原材料价格波动对公司的影响，比如与供应商协商，通过控制涨幅、推迟涨价时间，降低原材料涨价对公司运营成本的压力；优化供应链；提升技术工艺水平、提高生产效益；运用金融工具，开展商品套期保值业务等，同时持续与下游客户沟通并积极传导原材料价格的波动，推动新订单价格的合理调整。</w:t>
            </w:r>
          </w:p>
          <w:p w14:paraId="084136D8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公司与特斯拉当前的业务合作情况是怎么样的？</w:t>
            </w:r>
          </w:p>
          <w:p w14:paraId="48E1C17A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是公司非常重要的客户，公司与T客户有着长期紧密的合作关系。新能源车业务方面，2025年T客户因应市场需求变化，汽车车型迭代计划加快，预计会带动销量增长；同时汽车智能化提升下单车价值量会增加，公司和T客户合作已有十多年，双方在新产品、新技术紧密合作，未来随着T客户新产品陆续投放，公司在新产品的供应会有一定的优先权。销量增长、单车价值量提升和份额提升会共同驱动公司在T客户汽车业务增长。储能业务方面，随着上海储能工厂在2025年的投产，T客户储能业务保持快速增长态势，带动公司储能业务增长；在人形机器人业务方面，T客户在持续迭代推进产品，公司持续配合客户开发，后续随着人形机器人量产预计公司将同步实现增长。</w:t>
            </w:r>
          </w:p>
          <w:p w14:paraId="17C84A54">
            <w:pPr>
              <w:spacing w:before="93" w:beforeLines="30" w:line="360" w:lineRule="auto"/>
              <w:ind w:firstLine="403" w:firstLineChars="192"/>
              <w:rPr>
                <w:rFonts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T客户作为公司重要的客户，在新能源汽车、自动驾驶、储能、人形机器人等领域发展全球领先。我们预计长期来看，公司的订单仍会保持增长。未来T客户新产品持续推出，无人驾驶开始试运行，在人工智能AI芯片和人形机器人业务方面继续配合客户技术升级迭代，产能逐步释放，这些领域对公司PCB的需求都会持续增长。</w:t>
            </w:r>
          </w:p>
          <w:p w14:paraId="79D8264B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color w:val="1F2329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Cs w:val="21"/>
                <w:shd w:val="clear" w:color="auto" w:fill="FFFFFF"/>
              </w:rPr>
              <w:t>公司在汽车领域的业务增长情况如何？</w:t>
            </w:r>
          </w:p>
          <w:p w14:paraId="74420AC5">
            <w:pPr>
              <w:widowControl/>
              <w:numPr>
                <w:ilvl w:val="1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公司近几年</w:t>
            </w:r>
            <w:r>
              <w:rPr>
                <w:rFonts w:ascii="宋体" w:hAnsi="宋体" w:eastAsia="宋体" w:cs="宋体"/>
                <w:szCs w:val="21"/>
              </w:rPr>
              <w:t>在汽车领域呈现稳步增长态势，</w:t>
            </w:r>
            <w:r>
              <w:rPr>
                <w:rFonts w:hint="eastAsia" w:ascii="宋体" w:hAnsi="宋体" w:eastAsia="宋体" w:cs="宋体"/>
                <w:szCs w:val="21"/>
              </w:rPr>
              <w:t>目前</w:t>
            </w:r>
            <w:r>
              <w:rPr>
                <w:rFonts w:ascii="宋体" w:hAnsi="宋体" w:eastAsia="宋体" w:cs="宋体"/>
                <w:szCs w:val="21"/>
              </w:rPr>
              <w:t>已成为公司第一大业务板块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ascii="宋体" w:hAnsi="宋体" w:eastAsia="宋体" w:cs="宋体"/>
                <w:szCs w:val="21"/>
              </w:rPr>
              <w:t>汽车智能化、电动化趋势推动单车PCB价值量提升，自动驾驶域控、智能座舱、三电系统等高端部件对高多层硬板、HDI等产品需求激增，为业务增长奠定基础。</w:t>
            </w:r>
            <w:r>
              <w:rPr>
                <w:rFonts w:hint="eastAsia" w:ascii="宋体" w:hAnsi="宋体" w:eastAsia="宋体" w:cs="宋体"/>
                <w:szCs w:val="21"/>
              </w:rPr>
              <w:t>公司</w:t>
            </w:r>
            <w:r>
              <w:rPr>
                <w:rFonts w:ascii="宋体" w:hAnsi="宋体" w:eastAsia="宋体" w:cs="宋体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szCs w:val="21"/>
              </w:rPr>
              <w:t>T客户</w:t>
            </w:r>
            <w:r>
              <w:rPr>
                <w:rFonts w:ascii="宋体" w:hAnsi="宋体" w:eastAsia="宋体" w:cs="宋体"/>
                <w:szCs w:val="21"/>
              </w:rPr>
              <w:t>合作</w:t>
            </w:r>
            <w:r>
              <w:rPr>
                <w:rFonts w:hint="eastAsia" w:ascii="宋体" w:hAnsi="宋体" w:eastAsia="宋体" w:cs="宋体"/>
                <w:szCs w:val="21"/>
              </w:rPr>
              <w:t>已</w:t>
            </w:r>
            <w:r>
              <w:rPr>
                <w:rFonts w:ascii="宋体" w:hAnsi="宋体" w:eastAsia="宋体" w:cs="宋体"/>
                <w:szCs w:val="21"/>
              </w:rPr>
              <w:t>逾十年，从汽车电子延伸至储能、超算、机器人，绑定深度持续提升；大众、宝马、奔驰</w:t>
            </w:r>
            <w:r>
              <w:rPr>
                <w:rFonts w:hint="eastAsia" w:ascii="宋体" w:hAnsi="宋体" w:eastAsia="宋体" w:cs="宋体"/>
                <w:szCs w:val="21"/>
              </w:rPr>
              <w:t>、丰田</w:t>
            </w:r>
            <w:r>
              <w:rPr>
                <w:rFonts w:ascii="宋体" w:hAnsi="宋体" w:eastAsia="宋体" w:cs="宋体"/>
                <w:szCs w:val="21"/>
              </w:rPr>
              <w:t>等国际车企</w:t>
            </w:r>
            <w:r>
              <w:rPr>
                <w:rFonts w:hint="eastAsia" w:ascii="宋体" w:hAnsi="宋体" w:eastAsia="宋体" w:cs="宋体"/>
                <w:szCs w:val="21"/>
              </w:rPr>
              <w:t>以及电装、海拉、纬湃、安波福等TIER 1 头部客户也</w:t>
            </w:r>
            <w:r>
              <w:rPr>
                <w:rFonts w:ascii="宋体" w:hAnsi="宋体" w:eastAsia="宋体" w:cs="宋体"/>
                <w:szCs w:val="21"/>
              </w:rPr>
              <w:t>批量交付中。</w:t>
            </w:r>
            <w:r>
              <w:rPr>
                <w:rFonts w:hint="eastAsia" w:ascii="宋体" w:hAnsi="宋体" w:eastAsia="宋体" w:cs="宋体"/>
                <w:szCs w:val="21"/>
              </w:rPr>
              <w:t>在产能布局方面，</w:t>
            </w:r>
            <w:r>
              <w:rPr>
                <w:rFonts w:ascii="宋体" w:hAnsi="宋体" w:eastAsia="宋体" w:cs="宋体"/>
                <w:szCs w:val="21"/>
              </w:rPr>
              <w:t>鹤山基地为汽车业务主</w:t>
            </w:r>
            <w:r>
              <w:rPr>
                <w:rFonts w:hint="eastAsia" w:ascii="宋体" w:hAnsi="宋体" w:eastAsia="宋体" w:cs="宋体"/>
                <w:szCs w:val="21"/>
              </w:rPr>
              <w:t>要</w:t>
            </w:r>
            <w:r>
              <w:rPr>
                <w:rFonts w:ascii="宋体" w:hAnsi="宋体" w:eastAsia="宋体" w:cs="宋体"/>
                <w:szCs w:val="21"/>
              </w:rPr>
              <w:t>产能</w:t>
            </w:r>
            <w:r>
              <w:rPr>
                <w:rFonts w:hint="eastAsia" w:ascii="宋体" w:hAnsi="宋体" w:eastAsia="宋体" w:cs="宋体"/>
                <w:szCs w:val="21"/>
              </w:rPr>
              <w:t>基地，</w:t>
            </w:r>
            <w:r>
              <w:rPr>
                <w:rFonts w:ascii="宋体" w:hAnsi="宋体" w:eastAsia="宋体" w:cs="宋体"/>
                <w:szCs w:val="21"/>
              </w:rPr>
              <w:t>在建</w:t>
            </w:r>
            <w:r>
              <w:rPr>
                <w:rFonts w:hint="eastAsia" w:ascii="宋体" w:hAnsi="宋体" w:eastAsia="宋体" w:cs="宋体"/>
                <w:szCs w:val="21"/>
              </w:rPr>
              <w:t>的</w:t>
            </w:r>
            <w:r>
              <w:rPr>
                <w:rFonts w:ascii="宋体" w:hAnsi="宋体" w:eastAsia="宋体" w:cs="宋体"/>
                <w:szCs w:val="21"/>
              </w:rPr>
              <w:t>泰国基地将重点服务海外汽车客户，优化供应链布局，保障海外订单交付效率，进一步释放增长空间。随着泰国基地</w:t>
            </w:r>
            <w:r>
              <w:rPr>
                <w:rFonts w:hint="eastAsia" w:ascii="宋体" w:hAnsi="宋体" w:eastAsia="宋体" w:cs="宋体"/>
                <w:szCs w:val="21"/>
              </w:rPr>
              <w:t>的</w:t>
            </w:r>
            <w:r>
              <w:rPr>
                <w:rFonts w:ascii="宋体" w:hAnsi="宋体" w:eastAsia="宋体" w:cs="宋体"/>
                <w:szCs w:val="21"/>
              </w:rPr>
              <w:t>投产、国内车型迭代升级、国际车企合作规模扩大，叠加汽车智能化带来的高端PCB需求增长，预计汽车领域业务将持续增长，巩固公司在车规级PCB领域的竞争优势。</w:t>
            </w:r>
          </w:p>
          <w:p w14:paraId="24A42DC4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  <w:t>泰国工厂的规划及投产情况是怎么样的？核心竞争力是什么？</w:t>
            </w:r>
          </w:p>
          <w:p w14:paraId="497C77F8">
            <w:pPr>
              <w:widowControl/>
              <w:numPr>
                <w:ilvl w:val="1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泰国工厂一期规划预计将于2026年一季度开始试产和产能爬坡。该工厂定位高端PCB生产基地，旨在</w:t>
            </w:r>
            <w:r>
              <w:rPr>
                <w:rFonts w:ascii="宋体" w:hAnsi="宋体" w:eastAsia="宋体" w:cs="宋体"/>
                <w:szCs w:val="21"/>
              </w:rPr>
              <w:t>优化全球供应链布局</w:t>
            </w:r>
            <w:r>
              <w:rPr>
                <w:rFonts w:hint="eastAsia" w:ascii="宋体" w:hAnsi="宋体" w:eastAsia="宋体" w:cs="宋体"/>
                <w:szCs w:val="21"/>
              </w:rPr>
              <w:t>。主要</w:t>
            </w:r>
            <w:r>
              <w:rPr>
                <w:rFonts w:ascii="宋体" w:hAnsi="宋体" w:eastAsia="宋体" w:cs="宋体"/>
                <w:szCs w:val="21"/>
              </w:rPr>
              <w:t>承接包括</w:t>
            </w:r>
            <w:r>
              <w:rPr>
                <w:rFonts w:hint="eastAsia" w:ascii="宋体" w:hAnsi="宋体" w:eastAsia="宋体" w:cs="宋体"/>
                <w:szCs w:val="21"/>
              </w:rPr>
              <w:t>T客户</w:t>
            </w:r>
            <w:r>
              <w:rPr>
                <w:rFonts w:ascii="宋体" w:hAnsi="宋体" w:eastAsia="宋体" w:cs="宋体"/>
                <w:szCs w:val="21"/>
              </w:rPr>
              <w:t>在内的海外核心战略客户订单，聚焦海外汽车电子、储能、人形机器人</w:t>
            </w:r>
            <w:r>
              <w:rPr>
                <w:rFonts w:hint="eastAsia" w:ascii="宋体" w:hAnsi="宋体" w:eastAsia="宋体" w:cs="宋体"/>
                <w:szCs w:val="21"/>
              </w:rPr>
              <w:t>、AI芯片PCB</w:t>
            </w:r>
            <w:r>
              <w:rPr>
                <w:rFonts w:ascii="宋体" w:hAnsi="宋体" w:eastAsia="宋体" w:cs="宋体"/>
                <w:szCs w:val="21"/>
              </w:rPr>
              <w:t>等高附加值领域</w:t>
            </w:r>
            <w:r>
              <w:rPr>
                <w:rFonts w:hint="eastAsia" w:ascii="宋体" w:hAnsi="宋体" w:eastAsia="宋体" w:cs="宋体"/>
                <w:szCs w:val="21"/>
              </w:rPr>
              <w:t>产品。同时依托公司海外客户资源，通过本土化生产提升交付效率，聚焦高端市场，避免低端同质化竞争。泰国的管理团队具备成熟的海外客户服务和高端PCB生产经验，同时公司同步派遣干部并现场培养本地人才，确保海外基地在技术标准和管理效率上与总部保持一致。</w:t>
            </w:r>
          </w:p>
          <w:p w14:paraId="47132EAC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  <w:t>机器人用PCB的设计特点是什么？</w:t>
            </w:r>
          </w:p>
          <w:p w14:paraId="45F2648F">
            <w:pPr>
              <w:widowControl/>
              <w:numPr>
                <w:ilvl w:val="1"/>
                <w:numId w:val="0"/>
              </w:numPr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机器人用PCB设计核心围绕</w:t>
            </w:r>
            <w:r>
              <w:rPr>
                <w:rFonts w:hint="eastAsia" w:ascii="宋体" w:hAnsi="宋体" w:eastAsia="宋体" w:cs="宋体"/>
                <w:szCs w:val="21"/>
              </w:rPr>
              <w:t>“大小脑与灵巧手系统发展</w:t>
            </w:r>
            <w:r>
              <w:rPr>
                <w:rFonts w:ascii="宋体" w:hAnsi="宋体" w:eastAsia="宋体" w:cs="宋体"/>
                <w:szCs w:val="21"/>
              </w:rPr>
              <w:t>适配</w:t>
            </w:r>
            <w:r>
              <w:rPr>
                <w:rFonts w:hint="eastAsia" w:ascii="宋体" w:hAnsi="宋体" w:eastAsia="宋体" w:cs="宋体"/>
                <w:szCs w:val="21"/>
              </w:rPr>
              <w:t>自主感知与学习和</w:t>
            </w:r>
            <w:r>
              <w:rPr>
                <w:rFonts w:ascii="宋体" w:hAnsi="宋体" w:eastAsia="宋体" w:cs="宋体"/>
                <w:szCs w:val="21"/>
              </w:rPr>
              <w:t>运动特性、满足高精度控制、兼顾小型化与高可靠性”展开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ascii="宋体" w:hAnsi="宋体" w:eastAsia="宋体" w:cs="宋体"/>
                <w:szCs w:val="21"/>
              </w:rPr>
              <w:t>机器人</w:t>
            </w:r>
            <w:r>
              <w:rPr>
                <w:rFonts w:hint="eastAsia" w:ascii="宋体" w:hAnsi="宋体" w:eastAsia="宋体" w:cs="宋体"/>
                <w:szCs w:val="21"/>
              </w:rPr>
              <w:t>用的PCB需要根据</w:t>
            </w:r>
            <w:r>
              <w:rPr>
                <w:rFonts w:ascii="宋体" w:hAnsi="宋体" w:eastAsia="宋体" w:cs="宋体"/>
                <w:szCs w:val="21"/>
              </w:rPr>
              <w:t>不同核心部件的功能进行定制化设计</w:t>
            </w:r>
            <w:r>
              <w:rPr>
                <w:rFonts w:hint="eastAsia" w:ascii="宋体" w:hAnsi="宋体" w:eastAsia="宋体" w:cs="宋体"/>
                <w:szCs w:val="21"/>
              </w:rPr>
              <w:t>，本体控制</w:t>
            </w:r>
            <w:r>
              <w:rPr>
                <w:rFonts w:ascii="宋体" w:hAnsi="宋体" w:eastAsia="宋体" w:cs="宋体"/>
                <w:szCs w:val="21"/>
              </w:rPr>
              <w:t>关节驱动部件侧重</w:t>
            </w:r>
            <w:r>
              <w:rPr>
                <w:rFonts w:hint="eastAsia" w:ascii="宋体" w:hAnsi="宋体" w:eastAsia="宋体" w:cs="宋体"/>
                <w:szCs w:val="21"/>
              </w:rPr>
              <w:t>高频运动功能</w:t>
            </w:r>
            <w:r>
              <w:rPr>
                <w:rFonts w:ascii="宋体" w:hAnsi="宋体" w:eastAsia="宋体" w:cs="宋体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szCs w:val="21"/>
              </w:rPr>
              <w:t>较</w:t>
            </w:r>
            <w:r>
              <w:rPr>
                <w:rFonts w:ascii="宋体" w:hAnsi="宋体" w:eastAsia="宋体" w:cs="宋体"/>
                <w:szCs w:val="21"/>
              </w:rPr>
              <w:t>大电流承载能力，采用</w:t>
            </w:r>
            <w:r>
              <w:rPr>
                <w:rFonts w:hint="eastAsia" w:ascii="宋体" w:hAnsi="宋体" w:eastAsia="宋体" w:cs="宋体"/>
                <w:szCs w:val="21"/>
              </w:rPr>
              <w:t>多层和HDI</w:t>
            </w:r>
            <w:r>
              <w:rPr>
                <w:rFonts w:ascii="宋体" w:hAnsi="宋体" w:eastAsia="宋体" w:cs="宋体"/>
                <w:szCs w:val="21"/>
              </w:rPr>
              <w:t>设计；中央控制部件</w:t>
            </w:r>
            <w:r>
              <w:rPr>
                <w:rFonts w:hint="eastAsia" w:ascii="宋体" w:hAnsi="宋体" w:eastAsia="宋体" w:cs="宋体"/>
                <w:szCs w:val="21"/>
              </w:rPr>
              <w:t>采用</w:t>
            </w:r>
            <w:r>
              <w:rPr>
                <w:rFonts w:ascii="宋体" w:hAnsi="宋体" w:eastAsia="宋体" w:cs="宋体"/>
                <w:szCs w:val="21"/>
              </w:rPr>
              <w:t>高阶HDI的高密度集成</w:t>
            </w:r>
            <w:r>
              <w:rPr>
                <w:rFonts w:hint="eastAsia" w:ascii="宋体" w:hAnsi="宋体" w:eastAsia="宋体" w:cs="宋体"/>
                <w:szCs w:val="21"/>
              </w:rPr>
              <w:t>设计侧重算力提供</w:t>
            </w:r>
            <w:r>
              <w:rPr>
                <w:rFonts w:ascii="宋体" w:hAnsi="宋体" w:eastAsia="宋体" w:cs="宋体"/>
                <w:szCs w:val="21"/>
              </w:rPr>
              <w:t>高速信号处理；视觉感知部件则强化信号传输的稳定性与抗干扰能力</w:t>
            </w:r>
            <w:r>
              <w:rPr>
                <w:rFonts w:hint="eastAsia" w:ascii="宋体" w:hAnsi="宋体" w:eastAsia="宋体" w:cs="宋体"/>
                <w:szCs w:val="21"/>
              </w:rPr>
              <w:t>，采用HDI软硬结合板设计。</w:t>
            </w:r>
          </w:p>
          <w:p w14:paraId="7F08A740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  <w:t>人民币升值对公司业务有何影响？</w:t>
            </w:r>
          </w:p>
          <w:p w14:paraId="0A053245">
            <w:pPr>
              <w:widowControl/>
              <w:spacing w:before="156" w:beforeLines="50"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海外营收占比近80%，外销是以美元结算，人民币升值客观上会对汇兑损益及报表端营收产生一定影响。为降低汇率波动风险，公司做了应对策略和风险对冲，比如开展外汇套期保值（远期结售汇、外汇期权），锁定未来结汇汇率，优化结汇节奏，缩短美元应收账款账期，提高资金周转率；同时与核心客户协商价格调整机制，按汇率波动比例分摊成本，长期绑定提升议价能力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</w:p>
          <w:p w14:paraId="046649D3">
            <w:pPr>
              <w:pStyle w:val="16"/>
              <w:numPr>
                <w:ilvl w:val="0"/>
                <w:numId w:val="1"/>
              </w:numPr>
              <w:spacing w:before="156" w:beforeLines="50" w:line="360" w:lineRule="auto"/>
              <w:ind w:left="0" w:firstLine="422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1F2329"/>
                <w:szCs w:val="21"/>
              </w:rPr>
              <w:t>中美贸易格局对公司布局的影响是什么？</w:t>
            </w:r>
          </w:p>
          <w:p w14:paraId="632AE570">
            <w:pPr>
              <w:widowControl/>
              <w:spacing w:before="156" w:beforeLines="50" w:line="360" w:lineRule="auto"/>
              <w:ind w:firstLine="420" w:firstLineChars="200"/>
              <w:rPr>
                <w:rFonts w:ascii="Times New Roman Regular" w:hAnsi="Times New Roman Regular" w:eastAsia="宋体" w:cs="Times New Roman Regular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szCs w:val="21"/>
              </w:rPr>
              <w:t>中美贸易格局</w:t>
            </w:r>
            <w:r>
              <w:rPr>
                <w:rFonts w:hint="eastAsia" w:ascii="宋体" w:hAnsi="宋体" w:eastAsia="宋体" w:cs="宋体"/>
                <w:szCs w:val="21"/>
              </w:rPr>
              <w:t>推动</w:t>
            </w:r>
            <w:r>
              <w:rPr>
                <w:rFonts w:ascii="宋体" w:hAnsi="宋体" w:eastAsia="宋体" w:cs="宋体"/>
                <w:szCs w:val="21"/>
              </w:rPr>
              <w:t>世运电路加速全球化产能布局与供应链本地化</w:t>
            </w:r>
            <w:r>
              <w:rPr>
                <w:rFonts w:hint="eastAsia" w:ascii="宋体" w:hAnsi="宋体" w:eastAsia="宋体" w:cs="宋体"/>
                <w:szCs w:val="21"/>
              </w:rPr>
              <w:t>进程。</w:t>
            </w:r>
            <w:r>
              <w:rPr>
                <w:rFonts w:ascii="宋体" w:hAnsi="宋体" w:eastAsia="宋体" w:cs="宋体"/>
                <w:szCs w:val="21"/>
              </w:rPr>
              <w:t>短期通过泰国工厂规避贸易壁垒、拓展多元化市场，中期强化技术</w:t>
            </w:r>
            <w:r>
              <w:rPr>
                <w:rFonts w:hint="eastAsia" w:ascii="宋体" w:hAnsi="宋体" w:eastAsia="宋体" w:cs="宋体"/>
                <w:szCs w:val="21"/>
              </w:rPr>
              <w:t>迭代</w:t>
            </w:r>
            <w:r>
              <w:rPr>
                <w:rFonts w:ascii="宋体" w:hAnsi="宋体" w:eastAsia="宋体" w:cs="宋体"/>
                <w:szCs w:val="21"/>
              </w:rPr>
              <w:t>与人才激励，长期依托国资赋能与“技术协同+产业链整合”双轮驱动</w:t>
            </w:r>
            <w:r>
              <w:rPr>
                <w:rFonts w:hint="eastAsia" w:ascii="宋体" w:hAnsi="宋体" w:eastAsia="宋体" w:cs="宋体"/>
                <w:szCs w:val="21"/>
              </w:rPr>
              <w:t>战</w:t>
            </w:r>
            <w:r>
              <w:rPr>
                <w:rFonts w:ascii="宋体" w:hAnsi="宋体" w:eastAsia="宋体" w:cs="宋体"/>
                <w:szCs w:val="21"/>
              </w:rPr>
              <w:t>略，构建高端PCB竞争壁垒，同步推进国内市场拓展与供应链优化，实现稳健增长。</w:t>
            </w:r>
          </w:p>
        </w:tc>
      </w:tr>
      <w:tr w14:paraId="517C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4072D3E7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0"/>
                <w:szCs w:val="20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0"/>
                <w:szCs w:val="20"/>
              </w:rPr>
              <w:t>关于本次活动是否涉及应披露重大信息的说明</w:t>
            </w:r>
          </w:p>
        </w:tc>
        <w:tc>
          <w:tcPr>
            <w:tcW w:w="6917" w:type="dxa"/>
            <w:vAlign w:val="center"/>
          </w:tcPr>
          <w:p w14:paraId="10380DFA">
            <w:pPr>
              <w:spacing w:line="360" w:lineRule="auto"/>
              <w:rPr>
                <w:rFonts w:ascii="Times New Roman Regular" w:hAnsi="Times New Roman Regular" w:eastAsia="宋体" w:cs="Times New Roman Regular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  <w:t>接待交流过程中，</w:t>
            </w:r>
            <w:r>
              <w:rPr>
                <w:rFonts w:hint="eastAsia" w:ascii="Times New Roman Regular" w:hAnsi="Times New Roman Regular" w:eastAsia="宋体" w:cs="Times New Roman Regular"/>
                <w:szCs w:val="21"/>
                <w:shd w:val="clear" w:color="auto" w:fill="FFFFFF"/>
              </w:rPr>
              <w:t>公司</w:t>
            </w:r>
            <w:r>
              <w:rPr>
                <w:rFonts w:hint="eastAsia" w:ascii="Times New Roman Regular" w:hAnsi="Times New Roman Regular" w:eastAsia="宋体" w:cs="Times New Roman Regular"/>
                <w:bCs/>
                <w:szCs w:val="21"/>
              </w:rPr>
              <w:t>接待人员严格按照有关制度要求，没有出现未公开重大信息泄露等情况。二级市场股价受多重因素影响，敬请投资者注意投资风险。</w:t>
            </w:r>
          </w:p>
        </w:tc>
      </w:tr>
      <w:tr w14:paraId="0F09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3FBB45B0">
            <w:pPr>
              <w:jc w:val="center"/>
              <w:rPr>
                <w:rFonts w:ascii="Times New Roman Regular" w:hAnsi="Times New Roman Regular" w:eastAsia="宋体" w:cs="Times New Roman Regular"/>
                <w:b/>
                <w:bCs/>
                <w:sz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b/>
                <w:bCs/>
                <w:sz w:val="20"/>
                <w:szCs w:val="20"/>
              </w:rPr>
              <w:t>活动过程中所使用的演示文稿、提供文档等附件（如有）</w:t>
            </w:r>
          </w:p>
        </w:tc>
        <w:tc>
          <w:tcPr>
            <w:tcW w:w="6917" w:type="dxa"/>
            <w:vAlign w:val="center"/>
          </w:tcPr>
          <w:p w14:paraId="0E6D37F9">
            <w:pPr>
              <w:spacing w:line="288" w:lineRule="auto"/>
              <w:jc w:val="left"/>
              <w:rPr>
                <w:rFonts w:ascii="Times New Roman Regular" w:hAnsi="Times New Roman Regular" w:eastAsia="宋体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Cs w:val="21"/>
              </w:rPr>
              <w:t>无</w:t>
            </w:r>
          </w:p>
        </w:tc>
      </w:tr>
    </w:tbl>
    <w:p w14:paraId="68485B90">
      <w:pPr>
        <w:tabs>
          <w:tab w:val="left" w:pos="2627"/>
        </w:tabs>
        <w:jc w:val="lef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1BC56">
    <w:pPr>
      <w:pStyle w:val="6"/>
      <w:jc w:val="right"/>
      <w:rPr>
        <w:rFonts w:hint="eastAsia" w:ascii="宋体" w:hAnsi="宋体" w:eastAsia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</w:rPr>
      <w:t>广东世运电路科技股份有限公司投资者关系活动记录表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C715CC"/>
    <w:multiLevelType w:val="multilevel"/>
    <w:tmpl w:val="19C715CC"/>
    <w:lvl w:ilvl="0" w:tentative="0">
      <w:start w:val="1"/>
      <w:numFmt w:val="decimal"/>
      <w:lvlText w:val="Q%1."/>
      <w:lvlJc w:val="left"/>
      <w:pPr>
        <w:ind w:left="440" w:hanging="440"/>
      </w:pPr>
      <w:rPr>
        <w:rFonts w:hint="default" w:ascii="宋体" w:hAnsi="宋体" w:eastAsia="宋体" w:cs="宋体"/>
        <w:b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3983"/>
    <w:rsid w:val="000173D1"/>
    <w:rsid w:val="00027018"/>
    <w:rsid w:val="00030614"/>
    <w:rsid w:val="00032C15"/>
    <w:rsid w:val="00036345"/>
    <w:rsid w:val="0003793B"/>
    <w:rsid w:val="00045B54"/>
    <w:rsid w:val="00046312"/>
    <w:rsid w:val="00054739"/>
    <w:rsid w:val="0007712D"/>
    <w:rsid w:val="00081FD3"/>
    <w:rsid w:val="00082F52"/>
    <w:rsid w:val="00091841"/>
    <w:rsid w:val="00096B62"/>
    <w:rsid w:val="000A1892"/>
    <w:rsid w:val="000A7D28"/>
    <w:rsid w:val="000C5027"/>
    <w:rsid w:val="000D4F64"/>
    <w:rsid w:val="000D7352"/>
    <w:rsid w:val="000D748E"/>
    <w:rsid w:val="000F3A9D"/>
    <w:rsid w:val="00100FAA"/>
    <w:rsid w:val="001030B7"/>
    <w:rsid w:val="00104550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24B6"/>
    <w:rsid w:val="00254C8F"/>
    <w:rsid w:val="00265A27"/>
    <w:rsid w:val="00273941"/>
    <w:rsid w:val="0027410F"/>
    <w:rsid w:val="00280A12"/>
    <w:rsid w:val="002816D6"/>
    <w:rsid w:val="00283B77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C4054"/>
    <w:rsid w:val="002D5ED6"/>
    <w:rsid w:val="002E7391"/>
    <w:rsid w:val="002F3891"/>
    <w:rsid w:val="00312194"/>
    <w:rsid w:val="00315378"/>
    <w:rsid w:val="00320A9B"/>
    <w:rsid w:val="00331AB7"/>
    <w:rsid w:val="00336799"/>
    <w:rsid w:val="003376B2"/>
    <w:rsid w:val="003403F4"/>
    <w:rsid w:val="00341151"/>
    <w:rsid w:val="00357B6D"/>
    <w:rsid w:val="00364D86"/>
    <w:rsid w:val="00366FAA"/>
    <w:rsid w:val="00373816"/>
    <w:rsid w:val="00375CB3"/>
    <w:rsid w:val="003B1385"/>
    <w:rsid w:val="003D28C2"/>
    <w:rsid w:val="00405C69"/>
    <w:rsid w:val="00413B0F"/>
    <w:rsid w:val="004315B4"/>
    <w:rsid w:val="00431F33"/>
    <w:rsid w:val="00433463"/>
    <w:rsid w:val="004431FD"/>
    <w:rsid w:val="004452D6"/>
    <w:rsid w:val="004639CC"/>
    <w:rsid w:val="0046424B"/>
    <w:rsid w:val="004659BF"/>
    <w:rsid w:val="00465A18"/>
    <w:rsid w:val="0046631F"/>
    <w:rsid w:val="00471A3B"/>
    <w:rsid w:val="004749DD"/>
    <w:rsid w:val="004A4817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0758"/>
    <w:rsid w:val="00556768"/>
    <w:rsid w:val="00556BE1"/>
    <w:rsid w:val="00561C55"/>
    <w:rsid w:val="00565F17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863A7"/>
    <w:rsid w:val="00690F8F"/>
    <w:rsid w:val="00693F39"/>
    <w:rsid w:val="006A2590"/>
    <w:rsid w:val="006B79D4"/>
    <w:rsid w:val="006C3794"/>
    <w:rsid w:val="006C559A"/>
    <w:rsid w:val="006D090B"/>
    <w:rsid w:val="006E229C"/>
    <w:rsid w:val="006E5DFA"/>
    <w:rsid w:val="006F1BC4"/>
    <w:rsid w:val="006F50E1"/>
    <w:rsid w:val="006F5513"/>
    <w:rsid w:val="007038A0"/>
    <w:rsid w:val="00705423"/>
    <w:rsid w:val="0070756E"/>
    <w:rsid w:val="00710620"/>
    <w:rsid w:val="00722AD2"/>
    <w:rsid w:val="0073277A"/>
    <w:rsid w:val="0073293A"/>
    <w:rsid w:val="007367B8"/>
    <w:rsid w:val="00740B07"/>
    <w:rsid w:val="0077534D"/>
    <w:rsid w:val="00783B9F"/>
    <w:rsid w:val="007867D8"/>
    <w:rsid w:val="007B7472"/>
    <w:rsid w:val="007C7800"/>
    <w:rsid w:val="007D2238"/>
    <w:rsid w:val="007D2297"/>
    <w:rsid w:val="007D4003"/>
    <w:rsid w:val="007D6B8A"/>
    <w:rsid w:val="007E5FD7"/>
    <w:rsid w:val="007F0307"/>
    <w:rsid w:val="007F1CB3"/>
    <w:rsid w:val="007F7AD8"/>
    <w:rsid w:val="008018AC"/>
    <w:rsid w:val="008037CD"/>
    <w:rsid w:val="0080457D"/>
    <w:rsid w:val="00805C7B"/>
    <w:rsid w:val="00812FE7"/>
    <w:rsid w:val="00815903"/>
    <w:rsid w:val="00816DFD"/>
    <w:rsid w:val="00827BAF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0627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4D51"/>
    <w:rsid w:val="00987104"/>
    <w:rsid w:val="00997D8F"/>
    <w:rsid w:val="009A2DDF"/>
    <w:rsid w:val="009A52F0"/>
    <w:rsid w:val="009A6757"/>
    <w:rsid w:val="009A6B04"/>
    <w:rsid w:val="009B7989"/>
    <w:rsid w:val="009C2F0C"/>
    <w:rsid w:val="009C6396"/>
    <w:rsid w:val="009C668C"/>
    <w:rsid w:val="009D0AC8"/>
    <w:rsid w:val="009E0F8A"/>
    <w:rsid w:val="009F500F"/>
    <w:rsid w:val="009F5C45"/>
    <w:rsid w:val="00A0024D"/>
    <w:rsid w:val="00A04F0D"/>
    <w:rsid w:val="00A228A7"/>
    <w:rsid w:val="00A32DD6"/>
    <w:rsid w:val="00A45953"/>
    <w:rsid w:val="00A478C8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AD145B"/>
    <w:rsid w:val="00B01807"/>
    <w:rsid w:val="00B073C3"/>
    <w:rsid w:val="00B237D2"/>
    <w:rsid w:val="00B26A69"/>
    <w:rsid w:val="00B33A53"/>
    <w:rsid w:val="00B3412F"/>
    <w:rsid w:val="00B34D2A"/>
    <w:rsid w:val="00B53CB6"/>
    <w:rsid w:val="00B62A3D"/>
    <w:rsid w:val="00B8570F"/>
    <w:rsid w:val="00B87A2E"/>
    <w:rsid w:val="00BA08AA"/>
    <w:rsid w:val="00BC020A"/>
    <w:rsid w:val="00BC47CD"/>
    <w:rsid w:val="00BD3B7B"/>
    <w:rsid w:val="00BD5D38"/>
    <w:rsid w:val="00BE4252"/>
    <w:rsid w:val="00C16904"/>
    <w:rsid w:val="00C4401E"/>
    <w:rsid w:val="00C44C02"/>
    <w:rsid w:val="00C557FA"/>
    <w:rsid w:val="00C55AD6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4A6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36A2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12D3"/>
    <w:rsid w:val="00E04C5B"/>
    <w:rsid w:val="00E06F82"/>
    <w:rsid w:val="00E130BD"/>
    <w:rsid w:val="00E1555F"/>
    <w:rsid w:val="00E215F2"/>
    <w:rsid w:val="00E23603"/>
    <w:rsid w:val="00E237EC"/>
    <w:rsid w:val="00E27702"/>
    <w:rsid w:val="00E31222"/>
    <w:rsid w:val="00E62F08"/>
    <w:rsid w:val="00E64ADA"/>
    <w:rsid w:val="00E70895"/>
    <w:rsid w:val="00E75595"/>
    <w:rsid w:val="00E778CF"/>
    <w:rsid w:val="00E930B8"/>
    <w:rsid w:val="00EA1549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1741E8A"/>
    <w:rsid w:val="03972EAD"/>
    <w:rsid w:val="03FB1756"/>
    <w:rsid w:val="04425FE9"/>
    <w:rsid w:val="05011D28"/>
    <w:rsid w:val="05245EC7"/>
    <w:rsid w:val="072D6492"/>
    <w:rsid w:val="07481B68"/>
    <w:rsid w:val="09356565"/>
    <w:rsid w:val="09CE04F3"/>
    <w:rsid w:val="0A5627EE"/>
    <w:rsid w:val="0A7E581E"/>
    <w:rsid w:val="0BCB720C"/>
    <w:rsid w:val="0C255797"/>
    <w:rsid w:val="0F745098"/>
    <w:rsid w:val="102B4AA5"/>
    <w:rsid w:val="1111746F"/>
    <w:rsid w:val="1360648C"/>
    <w:rsid w:val="15D31F5B"/>
    <w:rsid w:val="174E6F4B"/>
    <w:rsid w:val="17924D93"/>
    <w:rsid w:val="179E0FC9"/>
    <w:rsid w:val="17FF3103"/>
    <w:rsid w:val="18AA570E"/>
    <w:rsid w:val="199D3BA8"/>
    <w:rsid w:val="19E82D37"/>
    <w:rsid w:val="1A8F016D"/>
    <w:rsid w:val="1C6A39D3"/>
    <w:rsid w:val="1CBC50B4"/>
    <w:rsid w:val="1D562B86"/>
    <w:rsid w:val="1E390979"/>
    <w:rsid w:val="1EE73F05"/>
    <w:rsid w:val="1F2479C4"/>
    <w:rsid w:val="204053D7"/>
    <w:rsid w:val="20632D0D"/>
    <w:rsid w:val="21301222"/>
    <w:rsid w:val="219537A4"/>
    <w:rsid w:val="21997ACE"/>
    <w:rsid w:val="21FC7CC7"/>
    <w:rsid w:val="22AE2B9B"/>
    <w:rsid w:val="22FF5201"/>
    <w:rsid w:val="25825F73"/>
    <w:rsid w:val="25F7A2FF"/>
    <w:rsid w:val="26BB599A"/>
    <w:rsid w:val="27A37F1A"/>
    <w:rsid w:val="28392672"/>
    <w:rsid w:val="28814A83"/>
    <w:rsid w:val="29A0718A"/>
    <w:rsid w:val="2B7D093F"/>
    <w:rsid w:val="2D4A5D8B"/>
    <w:rsid w:val="2DD90EBD"/>
    <w:rsid w:val="2E290D23"/>
    <w:rsid w:val="2E5F0EDB"/>
    <w:rsid w:val="2E6D4845"/>
    <w:rsid w:val="31321010"/>
    <w:rsid w:val="325D1DC8"/>
    <w:rsid w:val="32623A27"/>
    <w:rsid w:val="33EC3745"/>
    <w:rsid w:val="35BA0276"/>
    <w:rsid w:val="35E623C9"/>
    <w:rsid w:val="35ED0854"/>
    <w:rsid w:val="37464DD3"/>
    <w:rsid w:val="386145BF"/>
    <w:rsid w:val="38EF5A38"/>
    <w:rsid w:val="3B60044E"/>
    <w:rsid w:val="3BDA5C13"/>
    <w:rsid w:val="3D077460"/>
    <w:rsid w:val="3D1E396C"/>
    <w:rsid w:val="3D6627D1"/>
    <w:rsid w:val="3E3025E1"/>
    <w:rsid w:val="3FAE0B3D"/>
    <w:rsid w:val="400F4CAD"/>
    <w:rsid w:val="40CC196E"/>
    <w:rsid w:val="42333D35"/>
    <w:rsid w:val="4328665C"/>
    <w:rsid w:val="46554434"/>
    <w:rsid w:val="47F13E2D"/>
    <w:rsid w:val="4862527A"/>
    <w:rsid w:val="49575660"/>
    <w:rsid w:val="4B6C4DE1"/>
    <w:rsid w:val="4DE81C5E"/>
    <w:rsid w:val="51236B64"/>
    <w:rsid w:val="518576BF"/>
    <w:rsid w:val="52996D53"/>
    <w:rsid w:val="53266D9E"/>
    <w:rsid w:val="545E787C"/>
    <w:rsid w:val="55195EBF"/>
    <w:rsid w:val="56BF0D97"/>
    <w:rsid w:val="57F44A81"/>
    <w:rsid w:val="58B80F10"/>
    <w:rsid w:val="58F538E4"/>
    <w:rsid w:val="59573BB6"/>
    <w:rsid w:val="5A55148C"/>
    <w:rsid w:val="5A57728F"/>
    <w:rsid w:val="5A877BF1"/>
    <w:rsid w:val="5AE2794C"/>
    <w:rsid w:val="5BA109BC"/>
    <w:rsid w:val="5BE2525D"/>
    <w:rsid w:val="5C86208C"/>
    <w:rsid w:val="5CDA5F34"/>
    <w:rsid w:val="5D1257AE"/>
    <w:rsid w:val="5DFC012C"/>
    <w:rsid w:val="5F8D3A15"/>
    <w:rsid w:val="60BF1F83"/>
    <w:rsid w:val="60CC64DC"/>
    <w:rsid w:val="60E708E9"/>
    <w:rsid w:val="61C31253"/>
    <w:rsid w:val="61CB3443"/>
    <w:rsid w:val="63B55005"/>
    <w:rsid w:val="64243F39"/>
    <w:rsid w:val="642D103F"/>
    <w:rsid w:val="647B728D"/>
    <w:rsid w:val="6666BD81"/>
    <w:rsid w:val="66710DA7"/>
    <w:rsid w:val="668D6355"/>
    <w:rsid w:val="66C57C55"/>
    <w:rsid w:val="67C9744E"/>
    <w:rsid w:val="68541290"/>
    <w:rsid w:val="68D23FD8"/>
    <w:rsid w:val="6A4E67F0"/>
    <w:rsid w:val="6B623CC4"/>
    <w:rsid w:val="6BC60EE7"/>
    <w:rsid w:val="6C957922"/>
    <w:rsid w:val="6CA21FD3"/>
    <w:rsid w:val="6D725D15"/>
    <w:rsid w:val="6D9914F3"/>
    <w:rsid w:val="6DA607CA"/>
    <w:rsid w:val="6E9E6C91"/>
    <w:rsid w:val="70977EAE"/>
    <w:rsid w:val="71DE09DC"/>
    <w:rsid w:val="741915E0"/>
    <w:rsid w:val="750F3614"/>
    <w:rsid w:val="754B3253"/>
    <w:rsid w:val="764058F0"/>
    <w:rsid w:val="77B873B4"/>
    <w:rsid w:val="78BA59DD"/>
    <w:rsid w:val="79DC0F8B"/>
    <w:rsid w:val="7A613399"/>
    <w:rsid w:val="7A811C8D"/>
    <w:rsid w:val="7AE75F94"/>
    <w:rsid w:val="7B484D21"/>
    <w:rsid w:val="7BB00E79"/>
    <w:rsid w:val="7BDF2043"/>
    <w:rsid w:val="7CEFCEF9"/>
    <w:rsid w:val="7D0D3E92"/>
    <w:rsid w:val="7D621B85"/>
    <w:rsid w:val="7E4D13E4"/>
    <w:rsid w:val="7F651B7D"/>
    <w:rsid w:val="7F89586C"/>
    <w:rsid w:val="7FFFB002"/>
    <w:rsid w:val="AFDBC818"/>
    <w:rsid w:val="E3FF51D2"/>
    <w:rsid w:val="EBBF5161"/>
    <w:rsid w:val="ED279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  <w:szCs w:val="23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字符"/>
    <w:basedOn w:val="11"/>
    <w:link w:val="3"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626de9e0-9145-425d-8460-7a7de729f253</errorID>
      <errorWord>、和</errorWord>
      <group>L1_Punc</group>
      <groupName>标点问题</groupName>
      <ability>L2_Punc</ability>
      <abilityName>标点符号检查</abilityName>
      <candidateList>
        <item>和</item>
      </candidateList>
      <explain>“及”“和”“等”连词前不宜使用顿号，建议删除（或使用逗号）。</explain>
      <paraID>1B20E094</paraID>
      <start>55</start>
      <end>57</end>
      <status>ignored</status>
      <modifiedWord/>
      <trackRevisions>false</trackRevisions>
    </reviewItem>
    <reviewItem>
      <errorID>bdd48ad5-648b-40fc-88d4-b3f3f1c7dbce</errorID>
      <errorWord>，</errorWord>
      <group>L1_Word</group>
      <groupName>字词问题</groupName>
      <ability>L2_Typo</ability>
      <abilityName>字词错误</abilityName>
      <candidateList>
        <item>，与</item>
      </candidateList>
      <explain/>
      <paraID>1197D132</paraID>
      <start>20</start>
      <end>21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56b6ce28-9b80-448e-8a12-a9b16cb6d374}">
  <ds:schemaRefs/>
</ds:datastoreItem>
</file>

<file path=customXml/itemProps2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4261</Words>
  <Characters>4377</Characters>
  <Lines>97</Lines>
  <Paragraphs>54</Paragraphs>
  <TotalTime>2</TotalTime>
  <ScaleCrop>false</ScaleCrop>
  <LinksUpToDate>false</LinksUpToDate>
  <CharactersWithSpaces>4435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2026-01-15T15:41:00Z</dcterms:created>
  <dc:creator>lenovo</dc:creator>
  <cp:lastModifiedBy>陈结文</cp:lastModifiedBy>
  <cp:lastPrinted>2026-01-15T07:39:00Z</cp:lastPrinted>
  <dcterms:modified xsi:type="dcterms:W3CDTF">2026-01-16T06:00:50Z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94BEDC360D884047B4B8D39EF8BD042D_13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