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A6E286">
      <w:pPr>
        <w:spacing w:after="71"/>
        <w:ind w:left="12"/>
      </w:pPr>
      <w:bookmarkStart w:id="0" w:name="_Hlk135031606"/>
      <w:r>
        <w:rPr>
          <w:rFonts w:ascii="宋体" w:hAnsi="宋体" w:eastAsia="宋体" w:cs="宋体"/>
          <w:sz w:val="24"/>
        </w:rPr>
        <w:t xml:space="preserve">证券代码：600230 </w:t>
      </w:r>
      <w:r>
        <w:rPr>
          <w:rFonts w:ascii="Times New Roman" w:hAnsi="Times New Roman" w:eastAsia="Times New Roman" w:cs="Times New Roman"/>
          <w:sz w:val="24"/>
        </w:rPr>
        <w:t xml:space="preserve">                                                           </w:t>
      </w:r>
      <w:r>
        <w:rPr>
          <w:rFonts w:ascii="宋体" w:hAnsi="宋体" w:eastAsia="宋体" w:cs="宋体"/>
          <w:sz w:val="24"/>
        </w:rPr>
        <w:t>证券简称：</w:t>
      </w:r>
      <w:r>
        <w:rPr>
          <w:rFonts w:hint="eastAsia" w:ascii="宋体" w:hAnsi="宋体" w:eastAsia="宋体" w:cs="宋体"/>
          <w:sz w:val="24"/>
        </w:rPr>
        <w:t>沧州大化</w:t>
      </w:r>
    </w:p>
    <w:p w14:paraId="6ED899B3">
      <w:pPr>
        <w:spacing w:after="77"/>
        <w:ind w:left="23" w:hanging="10"/>
        <w:jc w:val="center"/>
        <w:rPr>
          <w:rFonts w:ascii="黑体" w:hAnsi="黑体" w:eastAsia="黑体" w:cs="黑体"/>
          <w:sz w:val="36"/>
        </w:rPr>
      </w:pPr>
    </w:p>
    <w:p w14:paraId="774CFF86">
      <w:pPr>
        <w:spacing w:after="77"/>
        <w:ind w:left="23" w:hanging="10"/>
        <w:jc w:val="center"/>
      </w:pPr>
      <w:r>
        <w:rPr>
          <w:rFonts w:hint="eastAsia" w:ascii="黑体" w:hAnsi="黑体" w:eastAsia="黑体" w:cs="黑体"/>
          <w:sz w:val="36"/>
        </w:rPr>
        <w:t>沧州大化</w:t>
      </w:r>
      <w:r>
        <w:rPr>
          <w:rFonts w:ascii="黑体" w:hAnsi="黑体" w:eastAsia="黑体" w:cs="黑体"/>
          <w:sz w:val="36"/>
        </w:rPr>
        <w:t>股份有限公司</w:t>
      </w:r>
      <w:r>
        <w:rPr>
          <w:rFonts w:ascii="Times New Roman" w:hAnsi="Times New Roman" w:eastAsia="Times New Roman" w:cs="Times New Roman"/>
          <w:b/>
          <w:sz w:val="36"/>
        </w:rPr>
        <w:t xml:space="preserve"> </w:t>
      </w:r>
    </w:p>
    <w:p w14:paraId="5FF3B781">
      <w:pPr>
        <w:spacing w:after="77"/>
        <w:ind w:left="23" w:right="3" w:hanging="10"/>
        <w:jc w:val="center"/>
      </w:pPr>
      <w:r>
        <w:rPr>
          <w:rFonts w:ascii="黑体" w:hAnsi="黑体" w:eastAsia="黑体" w:cs="黑体"/>
          <w:sz w:val="36"/>
        </w:rPr>
        <w:t>投资者关系活动记录表</w:t>
      </w:r>
      <w:r>
        <w:rPr>
          <w:rFonts w:ascii="Times New Roman" w:hAnsi="Times New Roman" w:eastAsia="Times New Roman" w:cs="Times New Roman"/>
          <w:b/>
          <w:sz w:val="36"/>
        </w:rPr>
        <w:t xml:space="preserve"> </w:t>
      </w:r>
    </w:p>
    <w:p w14:paraId="23D3CB92">
      <w:pPr>
        <w:spacing w:after="0"/>
        <w:ind w:left="82"/>
        <w:jc w:val="center"/>
      </w:pPr>
    </w:p>
    <w:tbl>
      <w:tblPr>
        <w:tblStyle w:val="6"/>
        <w:tblW w:w="8524" w:type="dxa"/>
        <w:tblInd w:w="-108" w:type="dxa"/>
        <w:tblLayout w:type="autofit"/>
        <w:tblCellMar>
          <w:top w:w="0" w:type="dxa"/>
          <w:left w:w="108" w:type="dxa"/>
          <w:bottom w:w="31" w:type="dxa"/>
          <w:right w:w="51" w:type="dxa"/>
        </w:tblCellMar>
      </w:tblPr>
      <w:tblGrid>
        <w:gridCol w:w="1521"/>
        <w:gridCol w:w="7003"/>
      </w:tblGrid>
      <w:tr w14:paraId="5CF21B3F">
        <w:tblPrEx>
          <w:tblCellMar>
            <w:top w:w="0" w:type="dxa"/>
            <w:left w:w="108" w:type="dxa"/>
            <w:bottom w:w="31" w:type="dxa"/>
            <w:right w:w="51" w:type="dxa"/>
          </w:tblCellMar>
        </w:tblPrEx>
        <w:trPr>
          <w:trHeight w:val="3450" w:hRule="atLeast"/>
        </w:trPr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EDA5C9">
            <w:pPr>
              <w:spacing w:after="26" w:line="375" w:lineRule="auto"/>
            </w:pPr>
            <w:r>
              <w:rPr>
                <w:rFonts w:ascii="宋体" w:hAnsi="宋体" w:eastAsia="宋体" w:cs="宋体"/>
                <w:sz w:val="24"/>
              </w:rPr>
              <w:t>投资者关系活动类别</w:t>
            </w:r>
          </w:p>
        </w:tc>
        <w:tc>
          <w:tcPr>
            <w:tcW w:w="7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FDC7C5">
            <w:pPr>
              <w:spacing w:after="178"/>
              <w:jc w:val="left"/>
            </w:pPr>
            <w:r>
              <w:rPr>
                <w:rFonts w:ascii="Wingdings 2" w:hAnsi="Wingdings 2" w:eastAsia="Wingdings 2" w:cs="Wingdings 2"/>
                <w:sz w:val="24"/>
              </w:rPr>
              <w:sym w:font="Wingdings 2" w:char="0052"/>
            </w:r>
            <w:r>
              <w:rPr>
                <w:rFonts w:ascii="宋体" w:hAnsi="宋体" w:eastAsia="宋体" w:cs="宋体"/>
                <w:sz w:val="24"/>
                <w:highlight w:val="none"/>
              </w:rPr>
              <w:t>特定对象调研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        </w:t>
            </w:r>
            <w:r>
              <w:rPr>
                <w:rFonts w:ascii="Wingdings 2" w:hAnsi="Wingdings 2" w:eastAsia="Wingdings 2" w:cs="Wingdings 2"/>
                <w:sz w:val="24"/>
              </w:rPr>
              <w:t></w:t>
            </w:r>
            <w:r>
              <w:rPr>
                <w:rFonts w:ascii="宋体" w:hAnsi="宋体" w:eastAsia="宋体" w:cs="宋体"/>
                <w:sz w:val="24"/>
              </w:rPr>
              <w:t>分析师会议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  <w:p w14:paraId="2DE58970">
            <w:pPr>
              <w:spacing w:after="175"/>
              <w:jc w:val="left"/>
            </w:pPr>
            <w:r>
              <w:rPr>
                <w:rFonts w:ascii="Wingdings 2" w:hAnsi="Wingdings 2" w:eastAsia="Wingdings 2" w:cs="Wingdings 2"/>
                <w:sz w:val="24"/>
              </w:rPr>
              <w:t></w:t>
            </w:r>
            <w:r>
              <w:rPr>
                <w:rFonts w:ascii="宋体" w:hAnsi="宋体" w:eastAsia="宋体" w:cs="宋体"/>
                <w:sz w:val="24"/>
              </w:rPr>
              <w:t>媒体采访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                </w:t>
            </w:r>
            <w:r>
              <w:rPr>
                <w:rFonts w:ascii="Wingdings 2" w:hAnsi="Wingdings 2" w:eastAsia="Wingdings 2" w:cs="Wingdings 2"/>
                <w:sz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</w:rPr>
              <w:t>业绩说明会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  <w:p w14:paraId="59D6625B">
            <w:pPr>
              <w:spacing w:after="183"/>
              <w:jc w:val="left"/>
            </w:pPr>
            <w:r>
              <w:rPr>
                <w:rFonts w:ascii="Wingdings 2" w:hAnsi="Wingdings 2" w:eastAsia="Wingdings 2" w:cs="Wingdings 2"/>
                <w:sz w:val="24"/>
              </w:rPr>
              <w:t></w:t>
            </w:r>
            <w:r>
              <w:rPr>
                <w:rFonts w:ascii="宋体" w:hAnsi="宋体" w:eastAsia="宋体" w:cs="宋体"/>
                <w:sz w:val="24"/>
              </w:rPr>
              <w:t>新闻发布会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            </w:t>
            </w:r>
            <w:r>
              <w:rPr>
                <w:rFonts w:ascii="Wingdings 2" w:hAnsi="Wingdings 2" w:eastAsia="Wingdings 2" w:cs="Wingdings 2"/>
                <w:sz w:val="24"/>
              </w:rPr>
              <w:t></w:t>
            </w:r>
            <w:r>
              <w:rPr>
                <w:rFonts w:ascii="宋体" w:hAnsi="宋体" w:eastAsia="宋体" w:cs="宋体"/>
                <w:sz w:val="24"/>
              </w:rPr>
              <w:t>路演活动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  <w:p w14:paraId="108820A4">
            <w:pPr>
              <w:spacing w:after="166"/>
              <w:jc w:val="left"/>
            </w:pPr>
            <w:r>
              <w:rPr>
                <w:rFonts w:ascii="Wingdings 2" w:hAnsi="Wingdings 2" w:eastAsia="Wingdings 2" w:cs="Wingdings 2"/>
                <w:sz w:val="24"/>
              </w:rPr>
              <w:t></w:t>
            </w:r>
            <w:r>
              <w:rPr>
                <w:rFonts w:ascii="宋体" w:hAnsi="宋体" w:eastAsia="宋体" w:cs="宋体"/>
                <w:sz w:val="24"/>
              </w:rPr>
              <w:t>现场参观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            </w:t>
            </w:r>
          </w:p>
          <w:p w14:paraId="5158F66A">
            <w:pPr>
              <w:spacing w:after="0"/>
              <w:jc w:val="left"/>
            </w:pPr>
            <w:r>
              <w:rPr>
                <w:rFonts w:ascii="Wingdings 2" w:hAnsi="Wingdings 2" w:eastAsia="Wingdings 2" w:cs="Wingdings 2"/>
                <w:sz w:val="24"/>
              </w:rPr>
              <w:t></w:t>
            </w:r>
            <w:r>
              <w:rPr>
                <w:rFonts w:ascii="宋体" w:hAnsi="宋体" w:eastAsia="宋体" w:cs="宋体"/>
                <w:sz w:val="24"/>
              </w:rPr>
              <w:t>其他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  </w:t>
            </w:r>
          </w:p>
        </w:tc>
      </w:tr>
      <w:tr w14:paraId="566C09C5">
        <w:tblPrEx>
          <w:tblCellMar>
            <w:top w:w="0" w:type="dxa"/>
            <w:left w:w="108" w:type="dxa"/>
            <w:bottom w:w="31" w:type="dxa"/>
            <w:right w:w="51" w:type="dxa"/>
          </w:tblCellMar>
        </w:tblPrEx>
        <w:trPr>
          <w:trHeight w:val="3161" w:hRule="atLeast"/>
        </w:trPr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0C1874">
            <w:pPr>
              <w:spacing w:after="0"/>
            </w:pPr>
            <w:r>
              <w:rPr>
                <w:rFonts w:ascii="宋体" w:hAnsi="宋体" w:eastAsia="宋体" w:cs="宋体"/>
                <w:sz w:val="24"/>
              </w:rPr>
              <w:t>参与单位名称及人员姓名</w:t>
            </w:r>
          </w:p>
        </w:tc>
        <w:tc>
          <w:tcPr>
            <w:tcW w:w="7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416650">
            <w:pPr>
              <w:spacing w:after="175"/>
              <w:jc w:val="both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富国基金：曹文俊、张啸伟、黄彦东等</w:t>
            </w:r>
          </w:p>
          <w:p w14:paraId="39D1768C">
            <w:pPr>
              <w:spacing w:after="175"/>
              <w:jc w:val="both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山西证券：李旋坤等</w:t>
            </w:r>
          </w:p>
          <w:p w14:paraId="1E12E871">
            <w:pPr>
              <w:spacing w:after="175"/>
              <w:jc w:val="both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华创能源：陈俊新</w:t>
            </w:r>
          </w:p>
          <w:p w14:paraId="7E455D00">
            <w:pPr>
              <w:spacing w:after="175"/>
              <w:jc w:val="both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大朴资产：付赫</w:t>
            </w:r>
          </w:p>
          <w:p w14:paraId="3364BBB7">
            <w:pPr>
              <w:spacing w:after="175"/>
              <w:jc w:val="both"/>
              <w:rPr>
                <w:rFonts w:hint="default" w:ascii="宋体" w:hAnsi="宋体" w:eastAsia="宋体" w:cstheme="minorBidi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中泰化工：徐思博</w:t>
            </w:r>
          </w:p>
        </w:tc>
      </w:tr>
      <w:tr w14:paraId="5615ECCA">
        <w:tblPrEx>
          <w:tblCellMar>
            <w:top w:w="0" w:type="dxa"/>
            <w:left w:w="108" w:type="dxa"/>
            <w:bottom w:w="31" w:type="dxa"/>
            <w:right w:w="51" w:type="dxa"/>
          </w:tblCellMar>
        </w:tblPrEx>
        <w:trPr>
          <w:trHeight w:val="892" w:hRule="atLeast"/>
        </w:trPr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BFB8CA">
            <w:pPr>
              <w:spacing w:after="0"/>
              <w:jc w:val="center"/>
            </w:pPr>
            <w:r>
              <w:rPr>
                <w:rFonts w:ascii="宋体" w:hAnsi="宋体" w:eastAsia="宋体" w:cs="宋体"/>
                <w:sz w:val="24"/>
              </w:rPr>
              <w:t>时间</w:t>
            </w:r>
          </w:p>
        </w:tc>
        <w:tc>
          <w:tcPr>
            <w:tcW w:w="7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20D847">
            <w:pPr>
              <w:spacing w:after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2026年1月7日-1月19日</w:t>
            </w:r>
          </w:p>
        </w:tc>
      </w:tr>
      <w:tr w14:paraId="33DA9FD7">
        <w:tblPrEx>
          <w:tblCellMar>
            <w:top w:w="0" w:type="dxa"/>
            <w:left w:w="108" w:type="dxa"/>
            <w:bottom w:w="31" w:type="dxa"/>
            <w:right w:w="51" w:type="dxa"/>
          </w:tblCellMar>
        </w:tblPrEx>
        <w:trPr>
          <w:trHeight w:val="893" w:hRule="atLeast"/>
        </w:trPr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29E8C9">
            <w:pPr>
              <w:spacing w:after="0" w:line="240" w:lineRule="auto"/>
              <w:jc w:val="center"/>
            </w:pPr>
            <w:r>
              <w:rPr>
                <w:rFonts w:hint="eastAsia" w:ascii="宋体" w:hAnsi="宋体" w:eastAsia="宋体" w:cs="宋体"/>
                <w:sz w:val="24"/>
              </w:rPr>
              <w:t>地点</w:t>
            </w:r>
          </w:p>
        </w:tc>
        <w:tc>
          <w:tcPr>
            <w:tcW w:w="7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D433F9">
            <w:pPr>
              <w:spacing w:after="0"/>
              <w:jc w:val="left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公司会议室</w:t>
            </w:r>
          </w:p>
        </w:tc>
      </w:tr>
      <w:tr w14:paraId="652512D7">
        <w:tblPrEx>
          <w:tblCellMar>
            <w:top w:w="0" w:type="dxa"/>
            <w:left w:w="108" w:type="dxa"/>
            <w:bottom w:w="31" w:type="dxa"/>
            <w:right w:w="51" w:type="dxa"/>
          </w:tblCellMar>
        </w:tblPrEx>
        <w:trPr>
          <w:trHeight w:val="2679" w:hRule="atLeast"/>
        </w:trPr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32C06A">
            <w:pPr>
              <w:spacing w:after="0"/>
            </w:pPr>
            <w:r>
              <w:rPr>
                <w:rFonts w:ascii="宋体" w:hAnsi="宋体" w:eastAsia="宋体" w:cs="宋体"/>
                <w:sz w:val="24"/>
              </w:rPr>
              <w:t>公司接待人员姓名</w:t>
            </w:r>
          </w:p>
        </w:tc>
        <w:tc>
          <w:tcPr>
            <w:tcW w:w="7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0C7D05">
            <w:pPr>
              <w:spacing w:after="175"/>
              <w:jc w:val="both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董事会秘书 刘晓婧女士</w:t>
            </w:r>
          </w:p>
          <w:p w14:paraId="4A27D64E">
            <w:pPr>
              <w:spacing w:after="175"/>
              <w:jc w:val="both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证券事务代表 刘艳凤女士</w:t>
            </w:r>
          </w:p>
        </w:tc>
      </w:tr>
      <w:tr w14:paraId="12D534AF">
        <w:tblPrEx>
          <w:tblCellMar>
            <w:top w:w="0" w:type="dxa"/>
            <w:left w:w="108" w:type="dxa"/>
            <w:bottom w:w="31" w:type="dxa"/>
            <w:right w:w="51" w:type="dxa"/>
          </w:tblCellMar>
        </w:tblPrEx>
        <w:trPr>
          <w:trHeight w:val="492" w:hRule="atLeast"/>
        </w:trPr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509CC4">
            <w:pPr>
              <w:spacing w:after="0"/>
              <w:jc w:val="both"/>
            </w:pPr>
            <w:r>
              <w:rPr>
                <w:rFonts w:ascii="宋体" w:hAnsi="宋体" w:eastAsia="宋体" w:cs="宋体"/>
                <w:sz w:val="24"/>
              </w:rPr>
              <w:t>投资者关系</w:t>
            </w:r>
            <w:r>
              <w:rPr>
                <w:rFonts w:hint="eastAsia" w:ascii="宋体" w:hAnsi="宋体" w:eastAsia="宋体" w:cs="宋体"/>
                <w:sz w:val="24"/>
              </w:rPr>
              <w:t>活动主要内容介绍</w:t>
            </w:r>
          </w:p>
        </w:tc>
        <w:tc>
          <w:tcPr>
            <w:tcW w:w="7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DE7C3B">
            <w:pPr>
              <w:spacing w:after="0" w:line="360" w:lineRule="exact"/>
              <w:rPr>
                <w:rFonts w:hint="eastAsia" w:ascii="宋体" w:hAnsi="宋体" w:eastAsia="宋体" w:cstheme="minorBidi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theme="minorBidi"/>
                <w:b/>
                <w:bCs/>
                <w:color w:val="auto"/>
                <w:sz w:val="24"/>
                <w:szCs w:val="24"/>
                <w:lang w:val="en-US" w:eastAsia="zh-CN"/>
              </w:rPr>
              <w:t>公司</w:t>
            </w:r>
            <w:r>
              <w:rPr>
                <w:rFonts w:hint="eastAsia" w:ascii="宋体" w:hAnsi="宋体" w:eastAsia="宋体" w:cstheme="minorBidi"/>
                <w:b/>
                <w:bCs/>
                <w:color w:val="auto"/>
                <w:sz w:val="24"/>
                <w:szCs w:val="24"/>
              </w:rPr>
              <w:t>交流的主要问题及回复</w:t>
            </w:r>
            <w:r>
              <w:rPr>
                <w:rFonts w:hint="eastAsia" w:ascii="宋体" w:hAnsi="宋体" w:eastAsia="宋体" w:cstheme="minorBidi"/>
                <w:b/>
                <w:bCs/>
                <w:color w:val="auto"/>
                <w:sz w:val="24"/>
                <w:szCs w:val="24"/>
                <w:lang w:val="en-US" w:eastAsia="zh-CN"/>
              </w:rPr>
              <w:t>如下</w:t>
            </w:r>
            <w:r>
              <w:rPr>
                <w:rFonts w:hint="eastAsia" w:ascii="宋体" w:hAnsi="宋体" w:eastAsia="宋体" w:cstheme="minorBidi"/>
                <w:b/>
                <w:bCs/>
                <w:color w:val="auto"/>
                <w:sz w:val="24"/>
                <w:szCs w:val="24"/>
              </w:rPr>
              <w:t>：</w:t>
            </w:r>
          </w:p>
          <w:p w14:paraId="0406F25D">
            <w:pPr>
              <w:spacing w:after="0" w:line="360" w:lineRule="exact"/>
              <w:rPr>
                <w:rFonts w:hint="eastAsia" w:ascii="宋体" w:hAnsi="宋体" w:eastAsia="宋体" w:cstheme="minorBidi"/>
                <w:b/>
                <w:bCs/>
                <w:color w:val="auto"/>
                <w:sz w:val="24"/>
                <w:szCs w:val="24"/>
              </w:rPr>
            </w:pPr>
          </w:p>
          <w:p w14:paraId="04DABFF3">
            <w:pPr>
              <w:spacing w:after="0" w:line="360" w:lineRule="exact"/>
              <w:ind w:firstLine="482" w:firstLineChars="200"/>
              <w:jc w:val="both"/>
              <w:rPr>
                <w:rFonts w:ascii="宋体" w:hAnsi="宋体" w:eastAsia="宋体" w:cstheme="minorBidi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theme="minorBidi"/>
                <w:b/>
                <w:color w:val="auto"/>
                <w:sz w:val="24"/>
                <w:szCs w:val="24"/>
              </w:rPr>
              <w:t>问题</w:t>
            </w:r>
            <w:r>
              <w:rPr>
                <w:rFonts w:hint="eastAsia" w:ascii="宋体" w:hAnsi="宋体" w:eastAsia="宋体" w:cstheme="minorBidi"/>
                <w:b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theme="minorBidi"/>
                <w:b/>
                <w:color w:val="auto"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 w:cstheme="minorBidi"/>
                <w:b/>
                <w:color w:val="auto"/>
                <w:sz w:val="24"/>
                <w:szCs w:val="24"/>
                <w:highlight w:val="none"/>
              </w:rPr>
              <w:t>公司“十</w:t>
            </w:r>
            <w:r>
              <w:rPr>
                <w:rFonts w:hint="eastAsia" w:ascii="宋体" w:hAnsi="宋体" w:eastAsia="宋体" w:cstheme="minorBidi"/>
                <w:b/>
                <w:color w:val="auto"/>
                <w:sz w:val="24"/>
                <w:szCs w:val="24"/>
              </w:rPr>
              <w:t>五五”规划的重点是什么？项目资金来源有哪些考虑？</w:t>
            </w:r>
          </w:p>
          <w:p w14:paraId="19A0733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firstLine="480" w:firstLineChars="200"/>
              <w:jc w:val="left"/>
              <w:rPr>
                <w:rFonts w:hint="eastAsia" w:ascii="宋体" w:hAnsi="宋体" w:eastAsia="宋体" w:cstheme="minorBidi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4"/>
                <w:szCs w:val="24"/>
                <w:lang w:val="en-US" w:eastAsia="zh-CN"/>
              </w:rPr>
              <w:t>答：公司“十五五”规划重点是特种PC的持续研发，还有聚氨酸产业链的延伸，充分发挥光气点资源和专业人才，围绕聚氨酯和聚碳酸酯及其上下游产品延链、补链、强链，走高质量、高端化、差异化发展路线，全力打造中国中化沧州化工新材料特色化产业基地。公司资产负债率低，融资能力较强，后续项目资金可以考虑自有资金、银行贷款或者资本市场融资等多种方式，优先保障高盈利潜力的项目。</w:t>
            </w:r>
          </w:p>
          <w:p w14:paraId="5B548807">
            <w:pPr>
              <w:widowControl w:val="0"/>
              <w:shd w:val="clear" w:color="auto" w:fill="FFFFFF"/>
              <w:overflowPunct w:val="0"/>
              <w:spacing w:after="0" w:line="360" w:lineRule="exact"/>
              <w:ind w:firstLine="482" w:firstLineChars="200"/>
              <w:jc w:val="both"/>
              <w:rPr>
                <w:rFonts w:hint="eastAsia" w:ascii="宋体" w:hAnsi="宋体" w:eastAsia="宋体" w:cstheme="minorBidi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b/>
                <w:color w:val="auto"/>
                <w:sz w:val="24"/>
                <w:szCs w:val="24"/>
              </w:rPr>
              <w:t>问题</w:t>
            </w:r>
            <w:r>
              <w:rPr>
                <w:rFonts w:hint="eastAsia" w:ascii="宋体" w:hAnsi="宋体" w:eastAsia="宋体" w:cstheme="minorBidi"/>
                <w:b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theme="minorBidi"/>
                <w:b/>
                <w:color w:val="auto"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 w:cstheme="minorBidi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依托公司在光气领域的优势，在聚氨酯行业延伸的相关产品研发规划是什么？技术可行性如何？</w:t>
            </w:r>
          </w:p>
          <w:p w14:paraId="1CC838F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firstLine="480" w:firstLineChars="200"/>
              <w:jc w:val="left"/>
              <w:rPr>
                <w:rFonts w:hint="eastAsia" w:ascii="宋体" w:hAnsi="宋体" w:eastAsia="宋体" w:cstheme="minorBidi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4"/>
                <w:szCs w:val="24"/>
                <w:lang w:val="en-US" w:eastAsia="zh-CN"/>
              </w:rPr>
              <w:t>答：公司在光气领域有着显著优势，依托该优势，在聚氨酯行业研发规划是特种异氰酸酯产品的研发，拓展公司产品种类。</w:t>
            </w:r>
          </w:p>
          <w:p w14:paraId="74087EF6">
            <w:pPr>
              <w:widowControl w:val="0"/>
              <w:shd w:val="clear" w:color="auto" w:fill="FFFFFF"/>
              <w:overflowPunct w:val="0"/>
              <w:spacing w:after="0" w:line="360" w:lineRule="exact"/>
              <w:ind w:firstLine="482" w:firstLineChars="200"/>
              <w:jc w:val="both"/>
              <w:rPr>
                <w:rFonts w:hint="eastAsia" w:ascii="宋体" w:hAnsi="宋体" w:eastAsia="宋体" w:cstheme="minorBidi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问题3：国外市场价格与国内存在差异，通用PC与特种PC的出口和内销分配策略是什么？后续出口拓展有哪些具体计划？</w:t>
            </w:r>
          </w:p>
          <w:p w14:paraId="1753D4F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firstLine="480" w:firstLineChars="200"/>
              <w:jc w:val="left"/>
              <w:rPr>
                <w:rFonts w:hint="default" w:ascii="宋体" w:hAnsi="宋体" w:eastAsia="宋体" w:cstheme="minorBidi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4"/>
                <w:szCs w:val="24"/>
                <w:lang w:val="en-US" w:eastAsia="zh-CN"/>
              </w:rPr>
              <w:t>答：公司聚焦特种PC研发，多种特种产品实现进口产品替代。后续依托国际经济形势变化及全球产业链重构机会，持续深化与国际头部企业的战略合作。</w:t>
            </w:r>
          </w:p>
          <w:p w14:paraId="7B2FDCFD">
            <w:pPr>
              <w:widowControl w:val="0"/>
              <w:shd w:val="clear" w:color="auto" w:fill="FFFFFF"/>
              <w:overflowPunct w:val="0"/>
              <w:spacing w:after="0" w:line="360" w:lineRule="exact"/>
              <w:ind w:firstLine="482" w:firstLineChars="200"/>
              <w:jc w:val="both"/>
              <w:rPr>
                <w:rFonts w:hint="eastAsia" w:ascii="宋体" w:hAnsi="宋体" w:eastAsia="宋体" w:cstheme="minorBidi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问题4：除了现有溴化PC等两种特种PC产品，公司是否有新的产品研发计划？是否考虑拓展其他相关领域的特种PC产品？</w:t>
            </w:r>
          </w:p>
          <w:p w14:paraId="27800F8A">
            <w:pPr>
              <w:spacing w:after="0" w:line="360" w:lineRule="exact"/>
              <w:ind w:firstLine="480" w:firstLineChars="200"/>
              <w:jc w:val="both"/>
              <w:rPr>
                <w:rFonts w:hint="eastAsia" w:ascii="宋体" w:hAnsi="宋体" w:eastAsia="宋体" w:cstheme="minorBidi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4"/>
                <w:szCs w:val="24"/>
                <w:lang w:val="en-US" w:eastAsia="zh-CN"/>
              </w:rPr>
              <w:t>答：公司有一系列特种PC研发计划，量产后会逐步推向市场。</w:t>
            </w:r>
          </w:p>
          <w:p w14:paraId="4BD6D54C">
            <w:pPr>
              <w:spacing w:after="0" w:line="360" w:lineRule="exact"/>
              <w:ind w:firstLine="482" w:firstLineChars="200"/>
              <w:jc w:val="both"/>
              <w:rPr>
                <w:rFonts w:ascii="宋体" w:hAnsi="宋体" w:eastAsia="宋体" w:cstheme="minorBidi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theme="minorBidi"/>
                <w:b/>
                <w:color w:val="auto"/>
                <w:sz w:val="24"/>
                <w:szCs w:val="24"/>
              </w:rPr>
              <w:t>问题</w:t>
            </w:r>
            <w:r>
              <w:rPr>
                <w:rFonts w:hint="eastAsia" w:ascii="宋体" w:hAnsi="宋体" w:eastAsia="宋体" w:cstheme="minorBidi"/>
                <w:b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theme="minorBidi"/>
                <w:b/>
                <w:color w:val="auto"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 w:cstheme="minorBidi"/>
                <w:b/>
                <w:color w:val="auto"/>
                <w:sz w:val="24"/>
                <w:szCs w:val="24"/>
                <w:lang w:val="en-US" w:eastAsia="zh-CN"/>
              </w:rPr>
              <w:t>公司对于2026年的PC产品市场走势预判是什么？</w:t>
            </w:r>
          </w:p>
          <w:p w14:paraId="205222E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firstLine="480" w:firstLineChars="200"/>
              <w:jc w:val="left"/>
              <w:rPr>
                <w:rFonts w:hint="eastAsia" w:ascii="宋体" w:hAnsi="宋体" w:eastAsia="宋体" w:cstheme="minorBidi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4"/>
                <w:szCs w:val="24"/>
                <w:lang w:val="en-US" w:eastAsia="zh-CN"/>
              </w:rPr>
              <w:t>答：国内市场正迎来一个明确的“供需拐点”，行业有望逐步步入景气周期。尽管市场前景乐观，但仍需关注下游需求增长不及预期带来的风险点。</w:t>
            </w:r>
          </w:p>
        </w:tc>
      </w:tr>
      <w:tr w14:paraId="7D54788B">
        <w:tblPrEx>
          <w:tblCellMar>
            <w:top w:w="0" w:type="dxa"/>
            <w:left w:w="108" w:type="dxa"/>
            <w:bottom w:w="31" w:type="dxa"/>
            <w:right w:w="51" w:type="dxa"/>
          </w:tblCellMar>
        </w:tblPrEx>
        <w:trPr>
          <w:trHeight w:val="90" w:hRule="atLeast"/>
        </w:trPr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268F0B4"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</w:rPr>
              <w:t>附件清单</w:t>
            </w:r>
            <w:bookmarkStart w:id="1" w:name="_GoBack"/>
            <w:bookmarkEnd w:id="1"/>
          </w:p>
        </w:tc>
        <w:tc>
          <w:tcPr>
            <w:tcW w:w="7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E6F511">
            <w:pPr>
              <w:spacing w:after="0" w:line="360" w:lineRule="exact"/>
              <w:ind w:firstLine="480" w:firstLineChars="200"/>
              <w:rPr>
                <w:rFonts w:ascii="宋体" w:hAnsi="宋体" w:eastAsia="宋体" w:cstheme="minorBidi"/>
                <w:b/>
                <w:bCs/>
                <w:color w:val="auto"/>
                <w:sz w:val="24"/>
                <w:szCs w:val="24"/>
                <w:highlight w:val="yellow"/>
              </w:rPr>
            </w:pPr>
            <w:r>
              <w:rPr>
                <w:rFonts w:ascii="宋体" w:hAnsi="宋体" w:eastAsia="宋体" w:cs="宋体"/>
                <w:sz w:val="24"/>
              </w:rPr>
              <w:t>无</w:t>
            </w:r>
          </w:p>
        </w:tc>
      </w:tr>
      <w:tr w14:paraId="20449364">
        <w:tblPrEx>
          <w:tblCellMar>
            <w:top w:w="0" w:type="dxa"/>
            <w:left w:w="108" w:type="dxa"/>
            <w:bottom w:w="31" w:type="dxa"/>
            <w:right w:w="51" w:type="dxa"/>
          </w:tblCellMar>
        </w:tblPrEx>
        <w:trPr>
          <w:trHeight w:val="90" w:hRule="atLeast"/>
        </w:trPr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3A4F7E3">
            <w:pPr>
              <w:spacing w:after="0"/>
              <w:jc w:val="both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日期</w:t>
            </w:r>
          </w:p>
        </w:tc>
        <w:tc>
          <w:tcPr>
            <w:tcW w:w="7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AC69B67">
            <w:pPr>
              <w:spacing w:after="0" w:line="360" w:lineRule="exact"/>
              <w:ind w:firstLine="480" w:firstLineChars="200"/>
              <w:rPr>
                <w:rFonts w:hint="default" w:ascii="宋体" w:hAnsi="宋体" w:eastAsia="宋体" w:cstheme="minorBidi"/>
                <w:b/>
                <w:bCs/>
                <w:color w:val="auto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202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4"/>
              </w:rPr>
              <w:t>年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</w:rPr>
              <w:t>月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24"/>
              </w:rPr>
              <w:t>日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-1月19日</w:t>
            </w:r>
          </w:p>
        </w:tc>
      </w:tr>
      <w:bookmarkEnd w:id="0"/>
    </w:tbl>
    <w:p w14:paraId="3E76125A">
      <w:pPr>
        <w:keepNext w:val="0"/>
        <w:keepLines w:val="0"/>
        <w:pageBreakBefore w:val="0"/>
        <w:widowControl/>
        <w:tabs>
          <w:tab w:val="left" w:pos="28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0" w:lineRule="exact"/>
        <w:textAlignment w:val="auto"/>
        <w:rPr>
          <w:rFonts w:hint="eastAsia" w:eastAsia="宋体"/>
          <w:lang w:eastAsia="zh-CN"/>
        </w:rPr>
      </w:pPr>
    </w:p>
    <w:sectPr>
      <w:pgSz w:w="11906" w:h="16838"/>
      <w:pgMar w:top="1445" w:right="1812" w:bottom="1462" w:left="18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26824"/>
    <w:rsid w:val="000E080A"/>
    <w:rsid w:val="001D77BC"/>
    <w:rsid w:val="00292465"/>
    <w:rsid w:val="00345500"/>
    <w:rsid w:val="0038620A"/>
    <w:rsid w:val="00407738"/>
    <w:rsid w:val="00494420"/>
    <w:rsid w:val="004A717F"/>
    <w:rsid w:val="004E1EEC"/>
    <w:rsid w:val="005C70F0"/>
    <w:rsid w:val="00672B34"/>
    <w:rsid w:val="006E2706"/>
    <w:rsid w:val="007846C2"/>
    <w:rsid w:val="0084337D"/>
    <w:rsid w:val="00883146"/>
    <w:rsid w:val="00A27E62"/>
    <w:rsid w:val="00A90ADA"/>
    <w:rsid w:val="00AF56C2"/>
    <w:rsid w:val="00B84236"/>
    <w:rsid w:val="00B86D43"/>
    <w:rsid w:val="00C152A5"/>
    <w:rsid w:val="00C35B3D"/>
    <w:rsid w:val="00C71B31"/>
    <w:rsid w:val="00C82D5D"/>
    <w:rsid w:val="00C95CB6"/>
    <w:rsid w:val="00D747F6"/>
    <w:rsid w:val="00DB2A06"/>
    <w:rsid w:val="00E363F9"/>
    <w:rsid w:val="00EA1CC8"/>
    <w:rsid w:val="00EB5E85"/>
    <w:rsid w:val="00F001EC"/>
    <w:rsid w:val="00FE5692"/>
    <w:rsid w:val="04F74332"/>
    <w:rsid w:val="058F32CB"/>
    <w:rsid w:val="0AC018B0"/>
    <w:rsid w:val="0E5D5AB0"/>
    <w:rsid w:val="1132601A"/>
    <w:rsid w:val="117F4DF5"/>
    <w:rsid w:val="15053175"/>
    <w:rsid w:val="15785D0F"/>
    <w:rsid w:val="18856C48"/>
    <w:rsid w:val="1BC77265"/>
    <w:rsid w:val="1C873114"/>
    <w:rsid w:val="1F585CFC"/>
    <w:rsid w:val="27F74C6F"/>
    <w:rsid w:val="282C4D02"/>
    <w:rsid w:val="2A290739"/>
    <w:rsid w:val="2F1C2A92"/>
    <w:rsid w:val="30B113A2"/>
    <w:rsid w:val="344319D6"/>
    <w:rsid w:val="374F6888"/>
    <w:rsid w:val="3A3A5696"/>
    <w:rsid w:val="3B9935E9"/>
    <w:rsid w:val="3C5E539B"/>
    <w:rsid w:val="3C663BD4"/>
    <w:rsid w:val="3FCA714C"/>
    <w:rsid w:val="3FDF2BFE"/>
    <w:rsid w:val="42263B92"/>
    <w:rsid w:val="47DE55F6"/>
    <w:rsid w:val="49544081"/>
    <w:rsid w:val="4C8B4857"/>
    <w:rsid w:val="4E7074C0"/>
    <w:rsid w:val="4F9E3ABC"/>
    <w:rsid w:val="55B72CB0"/>
    <w:rsid w:val="56771E88"/>
    <w:rsid w:val="57040BA0"/>
    <w:rsid w:val="5AF75218"/>
    <w:rsid w:val="5D3428F4"/>
    <w:rsid w:val="62A13C45"/>
    <w:rsid w:val="65085848"/>
    <w:rsid w:val="6B457289"/>
    <w:rsid w:val="6D8171D9"/>
    <w:rsid w:val="70442F3F"/>
    <w:rsid w:val="70552111"/>
    <w:rsid w:val="714040DC"/>
    <w:rsid w:val="7652792C"/>
    <w:rsid w:val="773F30B5"/>
    <w:rsid w:val="7C647292"/>
    <w:rsid w:val="7C66738C"/>
    <w:rsid w:val="7CDD751A"/>
    <w:rsid w:val="7CF77196"/>
    <w:rsid w:val="7D645F37"/>
    <w:rsid w:val="7E1D6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color w:val="000000"/>
      <w:kern w:val="2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customStyle="1" w:styleId="6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页眉 字符"/>
    <w:basedOn w:val="5"/>
    <w:link w:val="3"/>
    <w:qFormat/>
    <w:uiPriority w:val="99"/>
    <w:rPr>
      <w:rFonts w:ascii="Calibri" w:hAnsi="Calibri" w:eastAsia="Calibri" w:cs="Calibri"/>
      <w:color w:val="000000"/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rFonts w:ascii="Calibri" w:hAnsi="Calibri" w:eastAsia="Calibri" w:cs="Calibri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185</Words>
  <Characters>1058</Characters>
  <Lines>8</Lines>
  <Paragraphs>2</Paragraphs>
  <TotalTime>1</TotalTime>
  <ScaleCrop>false</ScaleCrop>
  <LinksUpToDate>false</LinksUpToDate>
  <CharactersWithSpaces>1241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2023-05-15T00:07:00Z</dcterms:created>
  <dc:creator>skd004</dc:creator>
  <cp:lastModifiedBy>aaa</cp:lastModifiedBy>
  <cp:lastPrinted>2026-01-20T01:04:00Z</cp:lastPrinted>
  <dcterms:modified xsi:type="dcterms:W3CDTF">2026-01-20T01:45:41Z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7D236808AE144DB5BD4E5114C8E7ECF0_12</vt:lpwstr>
  </property>
</Properties>
</file>