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B6C32">
      <w:pPr>
        <w:spacing w:before="156" w:beforeLines="50" w:after="156" w:afterLines="50" w:line="400" w:lineRule="exact"/>
        <w:ind w:right="240"/>
        <w:jc w:val="right"/>
        <w:rPr>
          <w:bCs/>
          <w:iCs/>
          <w:color w:val="000000"/>
          <w:sz w:val="24"/>
        </w:rPr>
      </w:pPr>
      <w:r>
        <w:rPr>
          <w:bCs/>
          <w:iCs/>
          <w:color w:val="000000"/>
          <w:sz w:val="24"/>
        </w:rPr>
        <w:t xml:space="preserve">证券代码：688362                                 证券简称：甬矽电子    </w:t>
      </w:r>
    </w:p>
    <w:p w14:paraId="514D7A0F">
      <w:pPr>
        <w:spacing w:line="360" w:lineRule="auto"/>
        <w:jc w:val="center"/>
        <w:rPr>
          <w:b/>
          <w:bCs/>
          <w:iCs/>
          <w:color w:val="000000"/>
          <w:sz w:val="28"/>
        </w:rPr>
      </w:pPr>
      <w:r>
        <w:rPr>
          <w:b/>
          <w:bCs/>
          <w:sz w:val="28"/>
        </w:rPr>
        <w:t>甬矽电子（宁波）</w:t>
      </w:r>
      <w:r>
        <w:rPr>
          <w:b/>
          <w:bCs/>
          <w:iCs/>
          <w:color w:val="000000"/>
          <w:sz w:val="28"/>
        </w:rPr>
        <w:t>股份有限公司投资者关系活动记录表</w:t>
      </w:r>
    </w:p>
    <w:p w14:paraId="094E8C41">
      <w:pPr>
        <w:spacing w:line="400" w:lineRule="exact"/>
        <w:jc w:val="right"/>
        <w:rPr>
          <w:rFonts w:hint="default" w:eastAsia="宋体"/>
          <w:bCs/>
          <w:iCs/>
          <w:color w:val="000000"/>
          <w:sz w:val="24"/>
          <w:lang w:val="en-US" w:eastAsia="zh-CN"/>
        </w:rPr>
      </w:pPr>
      <w:r>
        <w:rPr>
          <w:bCs/>
          <w:iCs/>
          <w:color w:val="000000"/>
          <w:sz w:val="24"/>
        </w:rPr>
        <w:t>编号：202</w:t>
      </w:r>
      <w:r>
        <w:rPr>
          <w:rFonts w:hint="eastAsia"/>
          <w:bCs/>
          <w:iCs/>
          <w:color w:val="000000"/>
          <w:sz w:val="24"/>
          <w:lang w:val="en-US" w:eastAsia="zh-CN"/>
        </w:rPr>
        <w:t>6-001</w:t>
      </w:r>
    </w:p>
    <w:tbl>
      <w:tblPr>
        <w:tblStyle w:val="8"/>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6048"/>
      </w:tblGrid>
      <w:tr w14:paraId="2FC4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14:paraId="5B882077">
            <w:pPr>
              <w:spacing w:line="360" w:lineRule="auto"/>
              <w:rPr>
                <w:bCs/>
                <w:iCs/>
                <w:color w:val="000000"/>
                <w:sz w:val="24"/>
              </w:rPr>
            </w:pPr>
            <w:r>
              <w:rPr>
                <w:bCs/>
                <w:iCs/>
                <w:color w:val="000000"/>
                <w:sz w:val="24"/>
              </w:rPr>
              <w:t>投资者关系活动类别</w:t>
            </w:r>
          </w:p>
          <w:p w14:paraId="1FDCA8DB">
            <w:pPr>
              <w:spacing w:line="360" w:lineRule="auto"/>
              <w:rPr>
                <w:bCs/>
                <w:iCs/>
                <w:color w:val="000000"/>
                <w:sz w:val="24"/>
              </w:rPr>
            </w:pPr>
          </w:p>
        </w:tc>
        <w:tc>
          <w:tcPr>
            <w:tcW w:w="6048" w:type="dxa"/>
            <w:tcBorders>
              <w:top w:val="single" w:color="auto" w:sz="4" w:space="0"/>
              <w:left w:val="single" w:color="auto" w:sz="4" w:space="0"/>
              <w:bottom w:val="single" w:color="auto" w:sz="4" w:space="0"/>
              <w:right w:val="single" w:color="auto" w:sz="4" w:space="0"/>
            </w:tcBorders>
          </w:tcPr>
          <w:p w14:paraId="3ADD6F63">
            <w:pPr>
              <w:spacing w:line="480" w:lineRule="atLeast"/>
              <w:rPr>
                <w:bCs/>
                <w:iCs/>
                <w:color w:val="000000"/>
                <w:sz w:val="24"/>
              </w:rPr>
            </w:pPr>
            <w:r>
              <w:rPr>
                <w:bCs/>
                <w:iCs/>
                <w:color w:val="000000"/>
                <w:sz w:val="24"/>
              </w:rPr>
              <w:sym w:font="Wingdings 2" w:char="00A3"/>
            </w:r>
            <w:r>
              <w:rPr>
                <w:sz w:val="24"/>
              </w:rPr>
              <w:t xml:space="preserve">特定对象调研        </w:t>
            </w:r>
            <w:r>
              <w:rPr>
                <w:rFonts w:hint="eastAsia"/>
                <w:bCs/>
                <w:iCs/>
                <w:color w:val="000000"/>
                <w:sz w:val="24"/>
              </w:rPr>
              <w:t>□</w:t>
            </w:r>
            <w:r>
              <w:rPr>
                <w:sz w:val="24"/>
              </w:rPr>
              <w:t>分析师会议</w:t>
            </w:r>
          </w:p>
          <w:p w14:paraId="633325A7">
            <w:pPr>
              <w:spacing w:line="480" w:lineRule="atLeast"/>
              <w:rPr>
                <w:bCs/>
                <w:iCs/>
                <w:color w:val="000000"/>
                <w:sz w:val="24"/>
              </w:rPr>
            </w:pPr>
            <w:r>
              <w:rPr>
                <w:rFonts w:hint="eastAsia"/>
                <w:bCs/>
                <w:iCs/>
                <w:color w:val="000000"/>
                <w:sz w:val="24"/>
              </w:rPr>
              <w:t>□</w:t>
            </w:r>
            <w:r>
              <w:rPr>
                <w:sz w:val="24"/>
              </w:rPr>
              <w:t xml:space="preserve">媒体采访            </w:t>
            </w:r>
            <w:r>
              <w:rPr>
                <w:bCs/>
                <w:iCs/>
                <w:color w:val="000000"/>
                <w:sz w:val="24"/>
              </w:rPr>
              <w:sym w:font="Wingdings 2" w:char="00A3"/>
            </w:r>
            <w:r>
              <w:rPr>
                <w:sz w:val="24"/>
              </w:rPr>
              <w:t>业绩说明会</w:t>
            </w:r>
          </w:p>
          <w:p w14:paraId="5B5C39D1">
            <w:pPr>
              <w:spacing w:line="480" w:lineRule="atLeast"/>
              <w:rPr>
                <w:bCs/>
                <w:iCs/>
                <w:color w:val="000000"/>
                <w:sz w:val="24"/>
              </w:rPr>
            </w:pPr>
            <w:r>
              <w:rPr>
                <w:rFonts w:hint="eastAsia"/>
                <w:bCs/>
                <w:iCs/>
                <w:color w:val="000000"/>
                <w:sz w:val="24"/>
              </w:rPr>
              <w:t>□</w:t>
            </w:r>
            <w:r>
              <w:rPr>
                <w:sz w:val="24"/>
              </w:rPr>
              <w:t xml:space="preserve">新闻发布会          </w:t>
            </w:r>
            <w:r>
              <w:rPr>
                <w:rFonts w:hint="eastAsia"/>
                <w:bCs/>
                <w:iCs/>
                <w:color w:val="000000"/>
                <w:sz w:val="24"/>
              </w:rPr>
              <w:t>□</w:t>
            </w:r>
            <w:r>
              <w:rPr>
                <w:sz w:val="24"/>
              </w:rPr>
              <w:t>路演活动</w:t>
            </w:r>
          </w:p>
          <w:p w14:paraId="10F6D6EB">
            <w:pPr>
              <w:tabs>
                <w:tab w:val="left" w:pos="3045"/>
                <w:tab w:val="center" w:pos="3199"/>
              </w:tabs>
              <w:spacing w:line="480" w:lineRule="atLeast"/>
              <w:rPr>
                <w:bCs/>
                <w:iCs/>
                <w:color w:val="000000"/>
                <w:sz w:val="24"/>
              </w:rPr>
            </w:pPr>
            <w:r>
              <w:rPr>
                <w:bCs/>
                <w:iCs/>
                <w:color w:val="000000"/>
                <w:sz w:val="24"/>
              </w:rPr>
              <w:sym w:font="Wingdings 2" w:char="0052"/>
            </w:r>
            <w:r>
              <w:rPr>
                <w:sz w:val="24"/>
              </w:rPr>
              <w:t>现场参观</w:t>
            </w:r>
            <w:r>
              <w:rPr>
                <w:bCs/>
                <w:iCs/>
                <w:color w:val="000000"/>
                <w:sz w:val="24"/>
              </w:rPr>
              <w:tab/>
            </w:r>
          </w:p>
          <w:p w14:paraId="42E71A2D">
            <w:pPr>
              <w:tabs>
                <w:tab w:val="center" w:pos="3199"/>
              </w:tabs>
              <w:spacing w:line="480" w:lineRule="atLeast"/>
              <w:rPr>
                <w:bCs/>
                <w:iCs/>
                <w:color w:val="000000"/>
                <w:sz w:val="24"/>
              </w:rPr>
            </w:pPr>
            <w:r>
              <w:rPr>
                <w:bCs/>
                <w:iCs/>
                <w:color w:val="000000"/>
                <w:sz w:val="24"/>
              </w:rPr>
              <w:sym w:font="Wingdings 2" w:char="00A3"/>
            </w:r>
            <w:r>
              <w:rPr>
                <w:sz w:val="24"/>
              </w:rPr>
              <w:t>其他 （</w:t>
            </w:r>
            <w:r>
              <w:rPr>
                <w:rFonts w:hint="eastAsia"/>
                <w:sz w:val="24"/>
                <w:u w:val="single"/>
              </w:rPr>
              <w:t>投资者开放日</w:t>
            </w:r>
            <w:r>
              <w:rPr>
                <w:sz w:val="24"/>
                <w:u w:val="single"/>
              </w:rPr>
              <w:t>）</w:t>
            </w:r>
          </w:p>
        </w:tc>
      </w:tr>
      <w:tr w14:paraId="3313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14:paraId="1C606BBF">
            <w:pPr>
              <w:spacing w:line="360" w:lineRule="auto"/>
              <w:rPr>
                <w:bCs/>
                <w:iCs/>
                <w:color w:val="000000"/>
                <w:sz w:val="24"/>
              </w:rPr>
            </w:pPr>
            <w:r>
              <w:rPr>
                <w:bCs/>
                <w:iCs/>
                <w:color w:val="000000"/>
                <w:sz w:val="24"/>
              </w:rPr>
              <w:t>参与单位名称及人员姓名</w:t>
            </w:r>
          </w:p>
        </w:tc>
        <w:tc>
          <w:tcPr>
            <w:tcW w:w="6048" w:type="dxa"/>
            <w:tcBorders>
              <w:top w:val="single" w:color="auto" w:sz="4" w:space="0"/>
              <w:left w:val="single" w:color="auto" w:sz="4" w:space="0"/>
              <w:bottom w:val="single" w:color="auto" w:sz="4" w:space="0"/>
              <w:right w:val="single" w:color="auto" w:sz="4" w:space="0"/>
            </w:tcBorders>
          </w:tcPr>
          <w:p w14:paraId="30754F3A">
            <w:pPr>
              <w:spacing w:line="360" w:lineRule="auto"/>
              <w:rPr>
                <w:bCs/>
                <w:iCs/>
                <w:color w:val="000000"/>
                <w:sz w:val="24"/>
              </w:rPr>
            </w:pPr>
            <w:r>
              <w:rPr>
                <w:rFonts w:hint="eastAsia"/>
                <w:bCs/>
                <w:iCs/>
                <w:color w:val="000000"/>
                <w:sz w:val="24"/>
                <w:lang w:bidi="ar"/>
              </w:rPr>
              <w:t>详见附件</w:t>
            </w:r>
          </w:p>
        </w:tc>
      </w:tr>
      <w:tr w14:paraId="5199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14:paraId="14052865">
            <w:pPr>
              <w:spacing w:line="360" w:lineRule="auto"/>
              <w:rPr>
                <w:bCs/>
                <w:iCs/>
                <w:color w:val="000000"/>
                <w:sz w:val="24"/>
              </w:rPr>
            </w:pPr>
            <w:r>
              <w:rPr>
                <w:bCs/>
                <w:iCs/>
                <w:color w:val="000000"/>
                <w:sz w:val="24"/>
              </w:rPr>
              <w:t>时间</w:t>
            </w:r>
          </w:p>
        </w:tc>
        <w:tc>
          <w:tcPr>
            <w:tcW w:w="6048" w:type="dxa"/>
            <w:tcBorders>
              <w:top w:val="single" w:color="auto" w:sz="4" w:space="0"/>
              <w:left w:val="single" w:color="auto" w:sz="4" w:space="0"/>
              <w:bottom w:val="single" w:color="auto" w:sz="4" w:space="0"/>
              <w:right w:val="single" w:color="auto" w:sz="4" w:space="0"/>
            </w:tcBorders>
          </w:tcPr>
          <w:p w14:paraId="709C7F0B">
            <w:pPr>
              <w:spacing w:line="360" w:lineRule="auto"/>
              <w:rPr>
                <w:bCs/>
                <w:iCs/>
                <w:color w:val="000000"/>
                <w:sz w:val="24"/>
              </w:rPr>
            </w:pPr>
            <w:r>
              <w:rPr>
                <w:bCs/>
                <w:iCs/>
                <w:color w:val="000000"/>
                <w:sz w:val="24"/>
              </w:rPr>
              <w:t>202</w:t>
            </w:r>
            <w:r>
              <w:rPr>
                <w:rFonts w:hint="eastAsia"/>
                <w:bCs/>
                <w:iCs/>
                <w:color w:val="000000"/>
                <w:sz w:val="24"/>
                <w:lang w:val="en-US" w:eastAsia="zh-CN"/>
              </w:rPr>
              <w:t>6</w:t>
            </w:r>
            <w:r>
              <w:rPr>
                <w:bCs/>
                <w:iCs/>
                <w:color w:val="000000"/>
                <w:sz w:val="24"/>
              </w:rPr>
              <w:t>年</w:t>
            </w:r>
            <w:r>
              <w:rPr>
                <w:rFonts w:hint="eastAsia"/>
                <w:bCs/>
                <w:iCs/>
                <w:color w:val="000000"/>
                <w:sz w:val="24"/>
                <w:lang w:val="en-US" w:eastAsia="zh-CN"/>
              </w:rPr>
              <w:t>1</w:t>
            </w:r>
            <w:r>
              <w:rPr>
                <w:bCs/>
                <w:iCs/>
                <w:color w:val="000000"/>
                <w:sz w:val="24"/>
              </w:rPr>
              <w:t>月</w:t>
            </w:r>
          </w:p>
        </w:tc>
      </w:tr>
      <w:tr w14:paraId="4610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14:paraId="779769D3">
            <w:pPr>
              <w:spacing w:line="360" w:lineRule="auto"/>
              <w:rPr>
                <w:bCs/>
                <w:iCs/>
                <w:color w:val="000000"/>
                <w:sz w:val="24"/>
              </w:rPr>
            </w:pPr>
            <w:r>
              <w:rPr>
                <w:bCs/>
                <w:iCs/>
                <w:color w:val="000000"/>
                <w:sz w:val="24"/>
              </w:rPr>
              <w:t>地点</w:t>
            </w:r>
          </w:p>
        </w:tc>
        <w:tc>
          <w:tcPr>
            <w:tcW w:w="6048" w:type="dxa"/>
            <w:tcBorders>
              <w:top w:val="single" w:color="auto" w:sz="4" w:space="0"/>
              <w:left w:val="single" w:color="auto" w:sz="4" w:space="0"/>
              <w:bottom w:val="single" w:color="auto" w:sz="4" w:space="0"/>
              <w:right w:val="single" w:color="auto" w:sz="4" w:space="0"/>
            </w:tcBorders>
          </w:tcPr>
          <w:p w14:paraId="4F56A2D8">
            <w:pPr>
              <w:spacing w:line="360" w:lineRule="auto"/>
              <w:rPr>
                <w:bCs/>
                <w:iCs/>
                <w:color w:val="000000"/>
                <w:sz w:val="24"/>
              </w:rPr>
            </w:pPr>
            <w:r>
              <w:rPr>
                <w:bCs/>
                <w:iCs/>
                <w:color w:val="000000"/>
                <w:sz w:val="24"/>
              </w:rPr>
              <w:t>公司会议室</w:t>
            </w:r>
          </w:p>
        </w:tc>
      </w:tr>
      <w:tr w14:paraId="54ED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876" w:type="dxa"/>
            <w:tcBorders>
              <w:top w:val="single" w:color="auto" w:sz="4" w:space="0"/>
              <w:left w:val="single" w:color="auto" w:sz="4" w:space="0"/>
              <w:bottom w:val="single" w:color="auto" w:sz="4" w:space="0"/>
              <w:right w:val="single" w:color="auto" w:sz="4" w:space="0"/>
            </w:tcBorders>
            <w:vAlign w:val="center"/>
          </w:tcPr>
          <w:p w14:paraId="40C2DAA3">
            <w:pPr>
              <w:spacing w:line="360" w:lineRule="auto"/>
              <w:rPr>
                <w:bCs/>
                <w:iCs/>
                <w:color w:val="000000"/>
                <w:sz w:val="24"/>
              </w:rPr>
            </w:pPr>
            <w:r>
              <w:rPr>
                <w:bCs/>
                <w:iCs/>
                <w:color w:val="000000"/>
                <w:sz w:val="24"/>
              </w:rPr>
              <w:t>上市公司接待人员姓名</w:t>
            </w:r>
          </w:p>
        </w:tc>
        <w:tc>
          <w:tcPr>
            <w:tcW w:w="6048" w:type="dxa"/>
            <w:tcBorders>
              <w:top w:val="single" w:color="auto" w:sz="4" w:space="0"/>
              <w:left w:val="single" w:color="auto" w:sz="4" w:space="0"/>
              <w:bottom w:val="single" w:color="auto" w:sz="4" w:space="0"/>
              <w:right w:val="single" w:color="auto" w:sz="4" w:space="0"/>
            </w:tcBorders>
            <w:vAlign w:val="center"/>
          </w:tcPr>
          <w:p w14:paraId="55616F68">
            <w:pPr>
              <w:widowControl/>
              <w:jc w:val="left"/>
              <w:rPr>
                <w:bCs/>
                <w:iCs/>
                <w:color w:val="000000"/>
                <w:sz w:val="24"/>
              </w:rPr>
            </w:pPr>
            <w:r>
              <w:rPr>
                <w:rFonts w:hint="eastAsia"/>
                <w:bCs/>
                <w:iCs/>
                <w:color w:val="000000"/>
                <w:sz w:val="24"/>
              </w:rPr>
              <w:t>董事会秘书、副总经理</w:t>
            </w:r>
            <w:r>
              <w:rPr>
                <w:bCs/>
                <w:iCs/>
                <w:color w:val="000000"/>
                <w:sz w:val="24"/>
              </w:rPr>
              <w:t>李大林先生</w:t>
            </w:r>
          </w:p>
        </w:tc>
      </w:tr>
      <w:tr w14:paraId="22B1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14:paraId="2225B5B3">
            <w:pPr>
              <w:spacing w:line="480" w:lineRule="atLeast"/>
              <w:rPr>
                <w:bCs/>
                <w:iCs/>
                <w:color w:val="000000"/>
                <w:sz w:val="24"/>
              </w:rPr>
            </w:pPr>
            <w:r>
              <w:rPr>
                <w:bCs/>
                <w:iCs/>
                <w:color w:val="000000"/>
                <w:sz w:val="24"/>
              </w:rPr>
              <w:t>投资者关系活动主要内容介绍</w:t>
            </w:r>
          </w:p>
        </w:tc>
        <w:tc>
          <w:tcPr>
            <w:tcW w:w="6048" w:type="dxa"/>
            <w:tcBorders>
              <w:top w:val="single" w:color="auto" w:sz="4" w:space="0"/>
              <w:left w:val="single" w:color="auto" w:sz="4" w:space="0"/>
              <w:bottom w:val="single" w:color="auto" w:sz="4" w:space="0"/>
              <w:right w:val="single" w:color="auto" w:sz="4" w:space="0"/>
            </w:tcBorders>
          </w:tcPr>
          <w:p w14:paraId="579D8D6B">
            <w:pPr>
              <w:widowControl/>
              <w:numPr>
                <w:ilvl w:val="0"/>
                <w:numId w:val="1"/>
              </w:numPr>
              <w:spacing w:line="360" w:lineRule="auto"/>
              <w:ind w:left="0" w:leftChars="0" w:firstLine="400" w:firstLineChars="0"/>
              <w:jc w:val="both"/>
              <w:rPr>
                <w:sz w:val="24"/>
              </w:rPr>
            </w:pPr>
            <w:r>
              <w:rPr>
                <w:rFonts w:hint="eastAsia"/>
                <w:b/>
                <w:bCs/>
                <w:sz w:val="24"/>
              </w:rPr>
              <w:t>公司整体发展经营情况介绍</w:t>
            </w:r>
            <w:r>
              <w:rPr>
                <w:b/>
                <w:bCs/>
                <w:sz w:val="24"/>
              </w:rPr>
              <w:t xml:space="preserve">？ </w:t>
            </w:r>
            <w:r>
              <w:rPr>
                <w:sz w:val="24"/>
              </w:rPr>
              <w:t xml:space="preserve"> </w:t>
            </w:r>
          </w:p>
          <w:p w14:paraId="681C3179">
            <w:pPr>
              <w:widowControl/>
              <w:numPr>
                <w:ilvl w:val="0"/>
                <w:numId w:val="0"/>
              </w:numPr>
              <w:spacing w:line="360" w:lineRule="auto"/>
              <w:ind w:firstLine="480" w:firstLineChars="200"/>
              <w:jc w:val="both"/>
              <w:rPr>
                <w:rFonts w:hint="eastAsia"/>
                <w:sz w:val="24"/>
              </w:rPr>
            </w:pPr>
            <w:r>
              <w:rPr>
                <w:rFonts w:hint="eastAsia"/>
                <w:sz w:val="24"/>
              </w:rPr>
              <w:t>甬矽电子</w:t>
            </w:r>
            <w:r>
              <w:rPr>
                <w:sz w:val="24"/>
              </w:rPr>
              <w:t>成立于2017年11月，</w:t>
            </w:r>
            <w:r>
              <w:rPr>
                <w:rFonts w:hint="eastAsia"/>
                <w:sz w:val="24"/>
              </w:rPr>
              <w:t>从成立之初就</w:t>
            </w:r>
            <w:r>
              <w:rPr>
                <w:sz w:val="24"/>
              </w:rPr>
              <w:t>聚焦集成电路中高端及先进晶圆级封装测试服务，终端包含消费类电子、物联网、工业/汽车电子及AI高性能计算领域等。</w:t>
            </w:r>
            <w:r>
              <w:rPr>
                <w:rFonts w:hint="eastAsia"/>
                <w:sz w:val="24"/>
              </w:rPr>
              <w:t>公司总部位于浙江省宁波市余姚市，在上海、深圳、中国台湾等地设销售办公室，</w:t>
            </w:r>
            <w:r>
              <w:rPr>
                <w:rFonts w:hint="eastAsia"/>
                <w:sz w:val="24"/>
                <w:lang w:val="en-US" w:eastAsia="zh-CN"/>
              </w:rPr>
              <w:t>目前</w:t>
            </w:r>
            <w:r>
              <w:rPr>
                <w:rFonts w:hint="eastAsia"/>
                <w:sz w:val="24"/>
              </w:rPr>
              <w:t>拥有两个生产基地，一期占地126亩，</w:t>
            </w:r>
            <w:r>
              <w:rPr>
                <w:rFonts w:hint="eastAsia"/>
                <w:sz w:val="24"/>
                <w:lang w:val="en-US" w:eastAsia="zh-CN"/>
              </w:rPr>
              <w:t>产品包括SiP系统级</w:t>
            </w:r>
            <w:r>
              <w:rPr>
                <w:rFonts w:hint="eastAsia"/>
                <w:sz w:val="24"/>
              </w:rPr>
              <w:t>封装</w:t>
            </w:r>
            <w:r>
              <w:rPr>
                <w:rFonts w:hint="eastAsia"/>
                <w:sz w:val="24"/>
                <w:lang w:eastAsia="zh-CN"/>
              </w:rPr>
              <w:t>、</w:t>
            </w:r>
            <w:r>
              <w:rPr>
                <w:rFonts w:hint="eastAsia"/>
                <w:sz w:val="24"/>
                <w:lang w:val="en-US" w:eastAsia="zh-CN"/>
              </w:rPr>
              <w:t>WB-BGA、Sensor等</w:t>
            </w:r>
            <w:r>
              <w:rPr>
                <w:rFonts w:hint="eastAsia"/>
                <w:sz w:val="24"/>
              </w:rPr>
              <w:t>产品；二期占地300亩，预计总投资110亿，聚焦</w:t>
            </w:r>
            <w:r>
              <w:rPr>
                <w:rFonts w:hint="eastAsia"/>
                <w:sz w:val="24"/>
                <w:lang w:val="en-US" w:eastAsia="zh-CN"/>
              </w:rPr>
              <w:t>晶圆级封装等</w:t>
            </w:r>
            <w:r>
              <w:rPr>
                <w:rFonts w:hint="eastAsia"/>
                <w:sz w:val="24"/>
              </w:rPr>
              <w:t>先进封装产品；未来拟于马来西亚建设</w:t>
            </w:r>
            <w:r>
              <w:rPr>
                <w:rFonts w:hint="eastAsia"/>
                <w:sz w:val="24"/>
                <w:lang w:val="en-US" w:eastAsia="zh-CN"/>
              </w:rPr>
              <w:t>海外</w:t>
            </w:r>
            <w:r>
              <w:rPr>
                <w:rFonts w:hint="eastAsia"/>
                <w:sz w:val="24"/>
              </w:rPr>
              <w:t>基地以更好服务海外大客户。</w:t>
            </w:r>
            <w:r>
              <w:rPr>
                <w:rFonts w:hint="eastAsia"/>
                <w:sz w:val="24"/>
                <w:lang w:val="en-US" w:eastAsia="zh-CN"/>
              </w:rPr>
              <w:t>公司</w:t>
            </w:r>
            <w:r>
              <w:rPr>
                <w:rFonts w:hint="eastAsia"/>
                <w:sz w:val="24"/>
              </w:rPr>
              <w:t>从2018年6月实现量产，当年实现营业收入超过3000万；2019年全年出货量超过9亿颗并通过车规认证。2022年于科创板上市；2023年二期工厂启动；2024年营收增长率超过50%。从公司成立至今，出货量及营业收入一直保持增长状态。2019年至2021年，随着公司高端封装产品系统级封装产品（SiP）收入规模及占比、毛利率的提高，QFN等产品销售单价及毛利率的提高，公司毛利率及净利润逐年增长。2022年至2023年，受宏观经济增速放缓、国际地缘政治冲突和行业周期性波动等多重因素影响，以消费电子为代表的终端市场整体需求疲软，半导体行业需求出现较大波动，整体出现周期性下行。下游客户处于去库存阶段，并且2023年二期工厂启动，相应固定资产折旧进入财务报表中，导致该阶段毛利率处于较低水平。2023年后迎来行业周期拐点，随着全球终端消费市场出现回暖，产业链去库存周期基本结束，叠加AI应用场景不断涌现，集成电路行业整体景气度回升明显在公司层面，得益于海外大客户突破并且在2025年持续放量，以及原有核心客户群高速成长，规模效应逐渐体现，整体毛利率回升。</w:t>
            </w:r>
          </w:p>
          <w:p w14:paraId="7D0A00D8">
            <w:pPr>
              <w:widowControl/>
              <w:numPr>
                <w:ilvl w:val="0"/>
                <w:numId w:val="1"/>
              </w:numPr>
              <w:spacing w:line="360" w:lineRule="auto"/>
              <w:ind w:left="0" w:leftChars="0" w:firstLine="400" w:firstLineChars="0"/>
              <w:jc w:val="both"/>
              <w:rPr>
                <w:rFonts w:hint="eastAsia"/>
                <w:b/>
                <w:bCs/>
                <w:sz w:val="24"/>
                <w:lang w:val="en-US" w:eastAsia="zh-CN"/>
              </w:rPr>
            </w:pPr>
            <w:r>
              <w:rPr>
                <w:rFonts w:hint="eastAsia"/>
                <w:b/>
                <w:bCs/>
                <w:sz w:val="24"/>
                <w:lang w:val="en-US" w:eastAsia="zh-CN"/>
              </w:rPr>
              <w:t>产品价格变动趋势？</w:t>
            </w:r>
          </w:p>
          <w:p w14:paraId="06CE916F">
            <w:pPr>
              <w:widowControl/>
              <w:numPr>
                <w:ilvl w:val="0"/>
                <w:numId w:val="0"/>
              </w:numPr>
              <w:spacing w:line="360" w:lineRule="auto"/>
              <w:ind w:leftChars="0" w:firstLine="480" w:firstLineChars="200"/>
              <w:jc w:val="left"/>
              <w:rPr>
                <w:rFonts w:hint="default" w:ascii="Times New Roman" w:hAnsi="Times New Roman" w:eastAsia="宋体" w:cs="Times New Roman"/>
                <w:sz w:val="24"/>
                <w:lang w:val="en-US" w:eastAsia="zh-CN"/>
              </w:rPr>
            </w:pPr>
            <w:r>
              <w:rPr>
                <w:rFonts w:hint="eastAsia" w:cs="Times New Roman"/>
                <w:sz w:val="24"/>
                <w:lang w:val="en-US" w:eastAsia="zh-CN"/>
              </w:rPr>
              <w:t>一方面，上游原材料价格与下游需求持续向好，产品价格可能因此水涨船高；另一方面</w:t>
            </w:r>
            <w:r>
              <w:rPr>
                <w:rFonts w:hint="default" w:ascii="Times New Roman" w:hAnsi="Times New Roman" w:eastAsia="宋体" w:cs="Times New Roman"/>
                <w:sz w:val="24"/>
                <w:lang w:val="en-US" w:eastAsia="zh-CN"/>
              </w:rPr>
              <w:t>在产能饱和情况下客户可能会出于缩短交期目的而主动</w:t>
            </w:r>
            <w:r>
              <w:rPr>
                <w:rFonts w:hint="default" w:ascii="Times New Roman" w:hAnsi="Times New Roman" w:cs="Times New Roman"/>
                <w:sz w:val="24"/>
                <w:lang w:val="en-US" w:eastAsia="zh-CN"/>
              </w:rPr>
              <w:t>溢价</w:t>
            </w:r>
            <w:r>
              <w:rPr>
                <w:rFonts w:hint="default" w:ascii="Times New Roman" w:hAnsi="Times New Roman" w:eastAsia="宋体" w:cs="Times New Roman"/>
                <w:sz w:val="24"/>
                <w:lang w:val="en-US" w:eastAsia="zh-CN"/>
              </w:rPr>
              <w:t>。</w:t>
            </w:r>
          </w:p>
          <w:p w14:paraId="6D3B5090">
            <w:pPr>
              <w:widowControl/>
              <w:numPr>
                <w:ilvl w:val="0"/>
                <w:numId w:val="1"/>
              </w:numPr>
              <w:spacing w:line="360" w:lineRule="auto"/>
              <w:ind w:left="0" w:leftChars="0" w:firstLine="400" w:firstLineChars="0"/>
              <w:jc w:val="both"/>
              <w:rPr>
                <w:rFonts w:hint="default"/>
                <w:b/>
                <w:bCs/>
                <w:sz w:val="24"/>
                <w:lang w:val="en-US" w:eastAsia="zh-CN"/>
              </w:rPr>
            </w:pPr>
            <w:r>
              <w:rPr>
                <w:rFonts w:hint="eastAsia"/>
                <w:b/>
                <w:bCs/>
                <w:sz w:val="24"/>
                <w:lang w:val="en-US" w:eastAsia="zh-CN"/>
              </w:rPr>
              <w:t>公司毛利率相对于同行业水平较高的主要原因？</w:t>
            </w:r>
          </w:p>
          <w:p w14:paraId="5999F4CA">
            <w:pPr>
              <w:widowControl/>
              <w:numPr>
                <w:ilvl w:val="0"/>
                <w:numId w:val="0"/>
              </w:numPr>
              <w:spacing w:line="360" w:lineRule="auto"/>
              <w:ind w:leftChars="0" w:firstLine="480" w:firstLineChars="200"/>
              <w:jc w:val="left"/>
              <w:rPr>
                <w:rFonts w:hint="default" w:cs="Times New Roman"/>
                <w:sz w:val="24"/>
                <w:lang w:val="en-US" w:eastAsia="zh-CN"/>
              </w:rPr>
            </w:pPr>
            <w:r>
              <w:rPr>
                <w:rFonts w:hint="eastAsia" w:cs="Times New Roman"/>
                <w:sz w:val="24"/>
                <w:lang w:val="en-US" w:eastAsia="zh-CN"/>
              </w:rPr>
              <w:t>产品及客户方面，公司聚焦于“有门槛的客户”与“有门槛的产品”，下游客户以品牌终端为主，粘性强，导入周期长但合作关系稳定；同时，公司持续提升工程研发能力，努力成为多家客户一供并深度参与其新产品开发，可以获取更高价值的新产品订单；运营效率方面，工厂自动化水平高、人机比优、设备利用率高，构成隐形成本优势。</w:t>
            </w:r>
          </w:p>
          <w:p w14:paraId="3D46B6F9">
            <w:pPr>
              <w:widowControl/>
              <w:numPr>
                <w:ilvl w:val="0"/>
                <w:numId w:val="1"/>
              </w:numPr>
              <w:spacing w:line="360" w:lineRule="auto"/>
              <w:ind w:left="0" w:leftChars="0" w:firstLine="400" w:firstLineChars="0"/>
              <w:jc w:val="both"/>
              <w:rPr>
                <w:rFonts w:hint="default"/>
                <w:b/>
                <w:bCs/>
                <w:sz w:val="24"/>
                <w:lang w:val="en-US" w:eastAsia="zh-CN"/>
              </w:rPr>
            </w:pPr>
            <w:r>
              <w:rPr>
                <w:rFonts w:hint="eastAsia"/>
                <w:b/>
                <w:bCs/>
                <w:sz w:val="24"/>
                <w:lang w:val="en-US" w:eastAsia="zh-CN"/>
              </w:rPr>
              <w:t>2026年稼动率水平及订单预期？</w:t>
            </w:r>
          </w:p>
          <w:p w14:paraId="514129FA">
            <w:pPr>
              <w:widowControl/>
              <w:numPr>
                <w:ilvl w:val="0"/>
                <w:numId w:val="0"/>
              </w:numPr>
              <w:spacing w:line="360" w:lineRule="auto"/>
              <w:ind w:leftChars="0" w:firstLine="480" w:firstLineChars="200"/>
              <w:jc w:val="left"/>
              <w:rPr>
                <w:rFonts w:hint="eastAsia" w:cs="Times New Roman"/>
                <w:sz w:val="24"/>
                <w:lang w:val="en-US" w:eastAsia="zh-CN"/>
              </w:rPr>
            </w:pPr>
            <w:r>
              <w:rPr>
                <w:rFonts w:hint="eastAsia" w:cs="Times New Roman"/>
                <w:sz w:val="24"/>
                <w:lang w:val="en-US" w:eastAsia="zh-CN"/>
              </w:rPr>
              <w:t>稼动率方面，目前一季度公司整体稼动率将维持在较高水平；订单方面，中国台湾地区头部封测企业因产能紧张，将消费类封装产能转向至AI/HPC等产品，导致消费类电子订单外溢，总体上公司对于2026年的订单预期较为乐观。</w:t>
            </w:r>
          </w:p>
          <w:p w14:paraId="1A5852D5">
            <w:pPr>
              <w:widowControl/>
              <w:numPr>
                <w:ilvl w:val="0"/>
                <w:numId w:val="1"/>
              </w:numPr>
              <w:spacing w:line="360" w:lineRule="auto"/>
              <w:ind w:left="0" w:leftChars="0" w:firstLine="400" w:firstLineChars="0"/>
              <w:jc w:val="both"/>
              <w:rPr>
                <w:rFonts w:hint="eastAsia"/>
                <w:b/>
                <w:bCs/>
                <w:sz w:val="24"/>
                <w:lang w:val="en-US" w:eastAsia="zh-CN"/>
              </w:rPr>
            </w:pPr>
            <w:r>
              <w:rPr>
                <w:rFonts w:hint="eastAsia"/>
                <w:b/>
                <w:bCs/>
                <w:sz w:val="24"/>
                <w:lang w:val="en-US" w:eastAsia="zh-CN"/>
              </w:rPr>
              <w:t>2026年Q1营业收入预期？</w:t>
            </w:r>
          </w:p>
          <w:p w14:paraId="0E507B43">
            <w:pPr>
              <w:widowControl/>
              <w:numPr>
                <w:ilvl w:val="0"/>
                <w:numId w:val="0"/>
              </w:numPr>
              <w:spacing w:line="360" w:lineRule="auto"/>
              <w:ind w:leftChars="0" w:firstLine="480" w:firstLineChars="200"/>
              <w:jc w:val="left"/>
              <w:rPr>
                <w:rFonts w:hint="default" w:cs="Times New Roman"/>
                <w:sz w:val="24"/>
                <w:lang w:val="en-US" w:eastAsia="zh-CN"/>
              </w:rPr>
            </w:pPr>
            <w:r>
              <w:rPr>
                <w:rFonts w:hint="eastAsia" w:cs="Times New Roman"/>
                <w:sz w:val="24"/>
                <w:lang w:val="en-US" w:eastAsia="zh-CN"/>
              </w:rPr>
              <w:t>2026年Q1的客户需求Forecast相对较为旺盛，整体呈现淡季不淡的特点。</w:t>
            </w:r>
          </w:p>
          <w:p w14:paraId="69B1102C">
            <w:pPr>
              <w:widowControl/>
              <w:numPr>
                <w:ilvl w:val="0"/>
                <w:numId w:val="1"/>
              </w:numPr>
              <w:spacing w:line="360" w:lineRule="auto"/>
              <w:ind w:left="0" w:leftChars="0" w:firstLine="400" w:firstLineChars="0"/>
              <w:jc w:val="both"/>
              <w:rPr>
                <w:rFonts w:hint="eastAsia"/>
                <w:b/>
                <w:bCs/>
                <w:sz w:val="24"/>
                <w:lang w:val="en-US" w:eastAsia="zh-CN"/>
              </w:rPr>
            </w:pPr>
            <w:r>
              <w:rPr>
                <w:rFonts w:hint="eastAsia"/>
                <w:b/>
                <w:bCs/>
                <w:sz w:val="24"/>
                <w:lang w:val="en-US" w:eastAsia="zh-CN"/>
              </w:rPr>
              <w:t>2026年全年营业收入展望？</w:t>
            </w:r>
          </w:p>
          <w:p w14:paraId="5E8BBA33">
            <w:pPr>
              <w:widowControl/>
              <w:numPr>
                <w:ilvl w:val="0"/>
                <w:numId w:val="0"/>
              </w:numPr>
              <w:spacing w:line="360" w:lineRule="auto"/>
              <w:ind w:leftChars="0" w:firstLine="480" w:firstLineChars="200"/>
              <w:jc w:val="left"/>
              <w:rPr>
                <w:rFonts w:hint="eastAsia" w:cs="Times New Roman"/>
                <w:sz w:val="24"/>
                <w:lang w:val="en-US" w:eastAsia="zh-CN"/>
              </w:rPr>
            </w:pPr>
            <w:r>
              <w:rPr>
                <w:rFonts w:hint="eastAsia" w:cs="Times New Roman"/>
                <w:sz w:val="24"/>
                <w:lang w:val="en-US" w:eastAsia="zh-CN"/>
              </w:rPr>
              <w:t>根据公司发布的2025年年度业绩预告，预计2025年年度实现营业收入420,000万元至460,000万元，与上年同期相比，同比增加16.37%至27.45%，对2026年营业收入增速持乐观态度。</w:t>
            </w:r>
          </w:p>
          <w:p w14:paraId="1B9FFED8">
            <w:pPr>
              <w:widowControl/>
              <w:numPr>
                <w:ilvl w:val="0"/>
                <w:numId w:val="1"/>
              </w:numPr>
              <w:spacing w:line="360" w:lineRule="auto"/>
              <w:ind w:left="0" w:leftChars="0" w:firstLine="400" w:firstLineChars="0"/>
              <w:jc w:val="both"/>
              <w:rPr>
                <w:rFonts w:hint="eastAsia"/>
                <w:b/>
                <w:bCs/>
                <w:sz w:val="24"/>
                <w:lang w:val="en-US" w:eastAsia="zh-CN"/>
              </w:rPr>
            </w:pPr>
            <w:r>
              <w:rPr>
                <w:rFonts w:hint="eastAsia"/>
                <w:b/>
                <w:bCs/>
                <w:sz w:val="24"/>
                <w:lang w:val="en-US" w:eastAsia="zh-CN"/>
              </w:rPr>
              <w:t>2.5D先进封装产线进展情况？</w:t>
            </w:r>
          </w:p>
          <w:p w14:paraId="68901793">
            <w:pPr>
              <w:widowControl/>
              <w:numPr>
                <w:ilvl w:val="0"/>
                <w:numId w:val="0"/>
              </w:numPr>
              <w:spacing w:line="360" w:lineRule="auto"/>
              <w:ind w:leftChars="0" w:firstLine="480" w:firstLineChars="200"/>
              <w:jc w:val="left"/>
              <w:rPr>
                <w:rFonts w:hint="default" w:cs="Times New Roman"/>
                <w:sz w:val="24"/>
                <w:lang w:val="en-US" w:eastAsia="zh-CN"/>
              </w:rPr>
            </w:pPr>
            <w:r>
              <w:rPr>
                <w:rFonts w:hint="eastAsia" w:cs="Times New Roman"/>
                <w:sz w:val="24"/>
                <w:lang w:val="en-US" w:eastAsia="zh-CN"/>
              </w:rPr>
              <w:t>公司2.5D封装产线于2024年四季度通线，目前正在和相关客户做产品验证。但由于2.5D封装产品工艺复杂，验证周期较长，实现稳定量产需要一定时间。产能方面，公司后续会根据国产先进制程产能释放节奏进行扩产。</w:t>
            </w:r>
          </w:p>
          <w:p w14:paraId="67B9F6C7">
            <w:pPr>
              <w:widowControl/>
              <w:numPr>
                <w:ilvl w:val="0"/>
                <w:numId w:val="1"/>
              </w:numPr>
              <w:spacing w:line="360" w:lineRule="auto"/>
              <w:ind w:left="0" w:leftChars="0" w:firstLine="400" w:firstLineChars="0"/>
              <w:jc w:val="both"/>
              <w:rPr>
                <w:rFonts w:hint="default"/>
                <w:b/>
                <w:bCs/>
                <w:sz w:val="24"/>
                <w:lang w:val="en-US" w:eastAsia="zh-CN"/>
              </w:rPr>
            </w:pPr>
            <w:r>
              <w:rPr>
                <w:rFonts w:hint="eastAsia"/>
                <w:b/>
                <w:bCs/>
                <w:sz w:val="24"/>
                <w:lang w:val="en-US" w:eastAsia="zh-CN"/>
              </w:rPr>
              <w:t>2026年预计资本开支情况</w:t>
            </w:r>
            <w:r>
              <w:rPr>
                <w:rFonts w:hint="default"/>
                <w:b/>
                <w:bCs/>
                <w:sz w:val="24"/>
                <w:lang w:val="en-US" w:eastAsia="zh-CN"/>
              </w:rPr>
              <w:t>？</w:t>
            </w:r>
          </w:p>
          <w:p w14:paraId="5F665167">
            <w:pPr>
              <w:widowControl/>
              <w:numPr>
                <w:ilvl w:val="0"/>
                <w:numId w:val="0"/>
              </w:numPr>
              <w:spacing w:line="360" w:lineRule="auto"/>
              <w:ind w:leftChars="0" w:firstLine="480" w:firstLineChars="200"/>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202</w:t>
            </w:r>
            <w:r>
              <w:rPr>
                <w:rFonts w:hint="eastAsia" w:cs="Times New Roman"/>
                <w:sz w:val="24"/>
                <w:szCs w:val="24"/>
                <w:lang w:val="en-US" w:eastAsia="zh-CN"/>
              </w:rPr>
              <w:t>6</w:t>
            </w:r>
            <w:r>
              <w:rPr>
                <w:rFonts w:hint="default" w:ascii="Times New Roman" w:hAnsi="Times New Roman" w:eastAsia="宋体" w:cs="Times New Roman"/>
                <w:sz w:val="24"/>
                <w:szCs w:val="24"/>
                <w:lang w:val="en-US" w:eastAsia="zh-CN"/>
              </w:rPr>
              <w:t>年资本开支规模</w:t>
            </w:r>
            <w:r>
              <w:rPr>
                <w:rFonts w:hint="eastAsia" w:cs="Times New Roman"/>
                <w:sz w:val="24"/>
                <w:szCs w:val="24"/>
                <w:lang w:val="en-US" w:eastAsia="zh-CN"/>
              </w:rPr>
              <w:t>预计较2025年有所增长</w:t>
            </w:r>
            <w:r>
              <w:rPr>
                <w:rFonts w:hint="default" w:ascii="Times New Roman" w:hAnsi="Times New Roman" w:eastAsia="宋体" w:cs="Times New Roman"/>
                <w:sz w:val="24"/>
                <w:szCs w:val="24"/>
                <w:lang w:val="en-US" w:eastAsia="zh-CN"/>
              </w:rPr>
              <w:t>，主要投向包括现有产品线产能扩张、</w:t>
            </w:r>
            <w:r>
              <w:rPr>
                <w:rFonts w:hint="eastAsia" w:cs="Times New Roman"/>
                <w:sz w:val="24"/>
                <w:szCs w:val="24"/>
                <w:lang w:val="en-US" w:eastAsia="zh-CN"/>
              </w:rPr>
              <w:t>新客户产品导入、</w:t>
            </w:r>
            <w:r>
              <w:rPr>
                <w:rFonts w:hint="default" w:ascii="Times New Roman" w:hAnsi="Times New Roman" w:eastAsia="宋体" w:cs="Times New Roman"/>
                <w:sz w:val="24"/>
                <w:szCs w:val="24"/>
                <w:lang w:val="en-US" w:eastAsia="zh-CN"/>
              </w:rPr>
              <w:t>晶圆级封装及2.5D、FC</w:t>
            </w:r>
            <w:r>
              <w:rPr>
                <w:rFonts w:hint="eastAsia" w:cs="Times New Roman"/>
                <w:sz w:val="24"/>
                <w:szCs w:val="24"/>
                <w:lang w:val="en-US" w:eastAsia="zh-CN"/>
              </w:rPr>
              <w:t>类产品</w:t>
            </w:r>
            <w:r>
              <w:rPr>
                <w:rFonts w:hint="default" w:ascii="Times New Roman" w:hAnsi="Times New Roman" w:eastAsia="宋体" w:cs="Times New Roman"/>
                <w:sz w:val="24"/>
                <w:szCs w:val="24"/>
                <w:lang w:val="en-US" w:eastAsia="zh-CN"/>
              </w:rPr>
              <w:t>等领域。</w:t>
            </w:r>
            <w:bookmarkStart w:id="0" w:name="_GoBack"/>
            <w:bookmarkEnd w:id="0"/>
          </w:p>
          <w:p w14:paraId="63592E36">
            <w:pPr>
              <w:widowControl/>
              <w:numPr>
                <w:ilvl w:val="0"/>
                <w:numId w:val="1"/>
              </w:numPr>
              <w:spacing w:line="360" w:lineRule="auto"/>
              <w:ind w:left="0" w:leftChars="0" w:firstLine="400" w:firstLineChars="0"/>
              <w:jc w:val="both"/>
              <w:rPr>
                <w:rFonts w:hint="eastAsia"/>
                <w:b/>
                <w:bCs/>
                <w:sz w:val="24"/>
                <w:lang w:val="en-US" w:eastAsia="zh-CN"/>
              </w:rPr>
            </w:pPr>
            <w:r>
              <w:rPr>
                <w:rFonts w:hint="eastAsia"/>
                <w:b/>
                <w:bCs/>
                <w:sz w:val="24"/>
                <w:lang w:val="en-US" w:eastAsia="zh-CN"/>
              </w:rPr>
              <w:t>产品下游应用领域结构情况？</w:t>
            </w:r>
          </w:p>
          <w:p w14:paraId="405AF70A">
            <w:pPr>
              <w:widowControl/>
              <w:spacing w:line="360" w:lineRule="auto"/>
              <w:ind w:firstLine="480" w:firstLineChars="200"/>
              <w:jc w:val="both"/>
              <w:rPr>
                <w:sz w:val="24"/>
              </w:rPr>
            </w:pPr>
            <w:r>
              <w:rPr>
                <w:sz w:val="24"/>
              </w:rPr>
              <w:t>AIoT营收占比接近70%，目前</w:t>
            </w:r>
            <w:r>
              <w:rPr>
                <w:rFonts w:hint="eastAsia"/>
                <w:sz w:val="24"/>
              </w:rPr>
              <w:t>A</w:t>
            </w:r>
            <w:r>
              <w:rPr>
                <w:sz w:val="24"/>
              </w:rPr>
              <w:t>IoT领域处于“创新驱动”周期，AI驱动下新应用场景渗透率提升，下游需求</w:t>
            </w:r>
            <w:r>
              <w:rPr>
                <w:rFonts w:hint="eastAsia"/>
                <w:sz w:val="24"/>
              </w:rPr>
              <w:t>预计将会持续</w:t>
            </w:r>
            <w:r>
              <w:rPr>
                <w:sz w:val="24"/>
              </w:rPr>
              <w:t>增长；PA营收占比约为10%，后续重心以PAMiF及PAMiD模组类产品为主；安防营收占比约为10%，整体增速平稳；运算和车规产品</w:t>
            </w:r>
            <w:r>
              <w:rPr>
                <w:rFonts w:hint="eastAsia"/>
                <w:sz w:val="24"/>
              </w:rPr>
              <w:t>营收</w:t>
            </w:r>
            <w:r>
              <w:rPr>
                <w:sz w:val="24"/>
              </w:rPr>
              <w:t>合计占比10%左右，</w:t>
            </w:r>
            <w:r>
              <w:rPr>
                <w:rFonts w:hint="eastAsia"/>
                <w:sz w:val="24"/>
              </w:rPr>
              <w:t>未来随着国内车规设计公司的发展以及海外车规大厂本土化布局战略的推进和AI发展对运算类芯片的需求，预计</w:t>
            </w:r>
            <w:r>
              <w:rPr>
                <w:sz w:val="24"/>
              </w:rPr>
              <w:t>运算和车规</w:t>
            </w:r>
            <w:r>
              <w:rPr>
                <w:rFonts w:hint="eastAsia"/>
                <w:sz w:val="24"/>
              </w:rPr>
              <w:t>领域的增速较快，营收占比将会持续提升</w:t>
            </w:r>
            <w:r>
              <w:rPr>
                <w:sz w:val="24"/>
              </w:rPr>
              <w:t>。</w:t>
            </w:r>
          </w:p>
          <w:p w14:paraId="548591AF">
            <w:pPr>
              <w:widowControl/>
              <w:numPr>
                <w:ilvl w:val="0"/>
                <w:numId w:val="1"/>
              </w:numPr>
              <w:spacing w:line="360" w:lineRule="auto"/>
              <w:ind w:left="0" w:leftChars="0" w:firstLine="400" w:firstLineChars="0"/>
              <w:jc w:val="both"/>
              <w:rPr>
                <w:rFonts w:hint="default"/>
                <w:b/>
                <w:bCs/>
                <w:sz w:val="24"/>
                <w:lang w:val="en-US" w:eastAsia="zh-CN"/>
              </w:rPr>
            </w:pPr>
            <w:r>
              <w:rPr>
                <w:rFonts w:hint="eastAsia"/>
                <w:b/>
                <w:bCs/>
                <w:sz w:val="24"/>
                <w:lang w:val="en-US" w:eastAsia="zh-CN"/>
              </w:rPr>
              <w:t>2026年预计折旧情况？</w:t>
            </w:r>
          </w:p>
          <w:p w14:paraId="7561EDAB">
            <w:pPr>
              <w:widowControl/>
              <w:numPr>
                <w:ilvl w:val="0"/>
                <w:numId w:val="0"/>
              </w:numPr>
              <w:spacing w:line="360" w:lineRule="auto"/>
              <w:ind w:leftChars="0" w:firstLine="480" w:firstLineChars="200"/>
              <w:jc w:val="left"/>
              <w:rPr>
                <w:rFonts w:hint="eastAsia" w:cs="Times New Roman"/>
                <w:sz w:val="24"/>
                <w:szCs w:val="24"/>
                <w:lang w:val="en-US" w:eastAsia="zh-CN"/>
              </w:rPr>
            </w:pPr>
            <w:r>
              <w:rPr>
                <w:rFonts w:hint="default" w:ascii="Times New Roman" w:hAnsi="Times New Roman" w:eastAsia="宋体" w:cs="Times New Roman"/>
                <w:sz w:val="24"/>
                <w:szCs w:val="24"/>
                <w:lang w:val="en-US" w:eastAsia="zh-CN"/>
              </w:rPr>
              <w:t>202</w:t>
            </w:r>
            <w:r>
              <w:rPr>
                <w:rFonts w:hint="eastAsia" w:cs="Times New Roman"/>
                <w:sz w:val="24"/>
                <w:szCs w:val="24"/>
                <w:lang w:val="en-US" w:eastAsia="zh-CN"/>
              </w:rPr>
              <w:t>6</w:t>
            </w:r>
            <w:r>
              <w:rPr>
                <w:rFonts w:hint="default" w:ascii="Times New Roman" w:hAnsi="Times New Roman" w:eastAsia="宋体" w:cs="Times New Roman"/>
                <w:sz w:val="24"/>
                <w:szCs w:val="24"/>
                <w:lang w:val="en-US" w:eastAsia="zh-CN"/>
              </w:rPr>
              <w:t>年全年折旧的绝对金额预计相比202</w:t>
            </w:r>
            <w:r>
              <w:rPr>
                <w:rFonts w:hint="eastAsia" w:cs="Times New Roman"/>
                <w:sz w:val="24"/>
                <w:szCs w:val="24"/>
                <w:lang w:val="en-US" w:eastAsia="zh-CN"/>
              </w:rPr>
              <w:t>5</w:t>
            </w:r>
            <w:r>
              <w:rPr>
                <w:rFonts w:hint="default" w:ascii="Times New Roman" w:hAnsi="Times New Roman" w:eastAsia="宋体" w:cs="Times New Roman"/>
                <w:sz w:val="24"/>
                <w:szCs w:val="24"/>
                <w:lang w:val="en-US" w:eastAsia="zh-CN"/>
              </w:rPr>
              <w:t>年仍会上涨。未来随着原有投资设备折旧期陆续到期，折旧压力缓解，利润空间有望逐步释放，对整体盈利能力产生积极影响</w:t>
            </w:r>
            <w:r>
              <w:rPr>
                <w:rFonts w:hint="eastAsia" w:cs="Times New Roman"/>
                <w:sz w:val="24"/>
                <w:szCs w:val="24"/>
                <w:lang w:val="en-US" w:eastAsia="zh-CN"/>
              </w:rPr>
              <w:t>。</w:t>
            </w:r>
          </w:p>
          <w:p w14:paraId="16116964">
            <w:pPr>
              <w:widowControl/>
              <w:numPr>
                <w:ilvl w:val="0"/>
                <w:numId w:val="1"/>
              </w:numPr>
              <w:spacing w:line="360" w:lineRule="auto"/>
              <w:ind w:left="0" w:leftChars="0" w:firstLine="400" w:firstLineChars="0"/>
              <w:jc w:val="both"/>
              <w:rPr>
                <w:rFonts w:hint="eastAsia"/>
                <w:b/>
                <w:bCs/>
                <w:sz w:val="24"/>
                <w:lang w:val="en-US" w:eastAsia="zh-CN"/>
              </w:rPr>
            </w:pPr>
            <w:r>
              <w:rPr>
                <w:rFonts w:hint="eastAsia"/>
                <w:b/>
                <w:bCs/>
                <w:sz w:val="24"/>
                <w:lang w:val="en-US" w:eastAsia="zh-CN"/>
              </w:rPr>
              <w:t>海外客户拓展情况？</w:t>
            </w:r>
          </w:p>
          <w:p w14:paraId="50677F8A">
            <w:pPr>
              <w:widowControl/>
              <w:spacing w:line="360" w:lineRule="auto"/>
              <w:ind w:firstLine="480" w:firstLineChars="200"/>
              <w:jc w:val="both"/>
              <w:rPr>
                <w:rFonts w:hint="eastAsia"/>
                <w:sz w:val="24"/>
              </w:rPr>
            </w:pPr>
            <w:r>
              <w:rPr>
                <w:rFonts w:hint="eastAsia"/>
                <w:sz w:val="24"/>
              </w:rPr>
              <w:t>目前海外有两家中国台湾地区头部设计公司已经进入公司前五大客户，并积极拓展包含欧美地区在内的其他海外头部设计企业。整体而言，随着公司营收规模不断扩大和服务能力的持续提升，公司与现有海外客户的合作将进一步深化，并将持续在新的海外客户取得突破，公司预期未来海外客户营收占比会进一步提升。</w:t>
            </w:r>
          </w:p>
          <w:p w14:paraId="75C4424A">
            <w:pPr>
              <w:widowControl/>
              <w:numPr>
                <w:ilvl w:val="0"/>
                <w:numId w:val="1"/>
              </w:numPr>
              <w:spacing w:line="360" w:lineRule="auto"/>
              <w:ind w:left="0" w:leftChars="0" w:firstLine="400" w:firstLineChars="0"/>
              <w:jc w:val="both"/>
              <w:rPr>
                <w:rFonts w:hint="eastAsia"/>
                <w:b/>
                <w:bCs/>
                <w:sz w:val="24"/>
                <w:lang w:val="en-US" w:eastAsia="zh-CN"/>
              </w:rPr>
            </w:pPr>
            <w:r>
              <w:rPr>
                <w:rFonts w:hint="eastAsia"/>
                <w:b/>
                <w:bCs/>
                <w:sz w:val="24"/>
                <w:lang w:val="en-US" w:eastAsia="zh-CN"/>
              </w:rPr>
              <w:t>海外工厂进展情况？</w:t>
            </w:r>
          </w:p>
          <w:p w14:paraId="6C87CA8A">
            <w:pPr>
              <w:widowControl/>
              <w:numPr>
                <w:ilvl w:val="0"/>
                <w:numId w:val="0"/>
              </w:numPr>
              <w:spacing w:line="360" w:lineRule="auto"/>
              <w:ind w:firstLine="480" w:firstLineChars="200"/>
              <w:jc w:val="both"/>
              <w:rPr>
                <w:rFonts w:hint="default" w:eastAsia="宋体"/>
                <w:sz w:val="24"/>
                <w:lang w:val="en-US" w:eastAsia="zh-CN"/>
              </w:rPr>
            </w:pPr>
            <w:r>
              <w:rPr>
                <w:rFonts w:hint="eastAsia" w:cs="Times New Roman"/>
                <w:sz w:val="24"/>
                <w:lang w:val="en-US" w:eastAsia="zh-CN"/>
              </w:rPr>
              <w:t>新加坡子公司和马来西亚子公司已成立，目前海外工厂建设工作正在稳步推进中，主要</w:t>
            </w:r>
            <w:r>
              <w:rPr>
                <w:rFonts w:hint="eastAsia"/>
                <w:sz w:val="24"/>
              </w:rPr>
              <w:t>服务</w:t>
            </w:r>
            <w:r>
              <w:rPr>
                <w:rFonts w:hint="eastAsia"/>
                <w:sz w:val="24"/>
                <w:lang w:val="en-US" w:eastAsia="zh-CN"/>
              </w:rPr>
              <w:t>于</w:t>
            </w:r>
            <w:r>
              <w:rPr>
                <w:rFonts w:hint="eastAsia"/>
                <w:sz w:val="24"/>
              </w:rPr>
              <w:t>海外大客户。</w:t>
            </w:r>
          </w:p>
        </w:tc>
      </w:tr>
      <w:tr w14:paraId="14D5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14:paraId="38A25869">
            <w:pPr>
              <w:spacing w:line="360" w:lineRule="auto"/>
              <w:rPr>
                <w:bCs/>
                <w:iCs/>
                <w:color w:val="000000"/>
                <w:sz w:val="24"/>
              </w:rPr>
            </w:pPr>
            <w:r>
              <w:rPr>
                <w:bCs/>
                <w:iCs/>
                <w:color w:val="000000"/>
                <w:sz w:val="24"/>
              </w:rPr>
              <w:t>附件清单（如有）</w:t>
            </w:r>
          </w:p>
        </w:tc>
        <w:tc>
          <w:tcPr>
            <w:tcW w:w="6048" w:type="dxa"/>
            <w:tcBorders>
              <w:top w:val="single" w:color="auto" w:sz="4" w:space="0"/>
              <w:left w:val="single" w:color="auto" w:sz="4" w:space="0"/>
              <w:bottom w:val="single" w:color="auto" w:sz="4" w:space="0"/>
              <w:right w:val="single" w:color="auto" w:sz="4" w:space="0"/>
            </w:tcBorders>
          </w:tcPr>
          <w:p w14:paraId="43C4B2B3">
            <w:pPr>
              <w:spacing w:line="360" w:lineRule="auto"/>
              <w:rPr>
                <w:bCs/>
                <w:iCs/>
                <w:color w:val="000000"/>
                <w:sz w:val="24"/>
              </w:rPr>
            </w:pPr>
            <w:r>
              <w:rPr>
                <w:bCs/>
                <w:iCs/>
                <w:color w:val="000000"/>
                <w:sz w:val="24"/>
              </w:rPr>
              <w:t>无</w:t>
            </w:r>
          </w:p>
        </w:tc>
      </w:tr>
      <w:tr w14:paraId="4EBB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6" w:type="dxa"/>
            <w:tcBorders>
              <w:top w:val="single" w:color="auto" w:sz="4" w:space="0"/>
              <w:left w:val="single" w:color="auto" w:sz="4" w:space="0"/>
              <w:bottom w:val="single" w:color="auto" w:sz="4" w:space="0"/>
              <w:right w:val="single" w:color="auto" w:sz="4" w:space="0"/>
            </w:tcBorders>
            <w:vAlign w:val="center"/>
          </w:tcPr>
          <w:p w14:paraId="37BB9808">
            <w:pPr>
              <w:spacing w:line="360" w:lineRule="auto"/>
              <w:rPr>
                <w:bCs/>
                <w:iCs/>
                <w:color w:val="000000"/>
                <w:sz w:val="24"/>
              </w:rPr>
            </w:pPr>
            <w:r>
              <w:rPr>
                <w:bCs/>
                <w:iCs/>
                <w:color w:val="000000"/>
                <w:sz w:val="24"/>
              </w:rPr>
              <w:t>日期</w:t>
            </w:r>
          </w:p>
        </w:tc>
        <w:tc>
          <w:tcPr>
            <w:tcW w:w="6048" w:type="dxa"/>
            <w:tcBorders>
              <w:top w:val="single" w:color="auto" w:sz="4" w:space="0"/>
              <w:left w:val="single" w:color="auto" w:sz="4" w:space="0"/>
              <w:bottom w:val="single" w:color="auto" w:sz="4" w:space="0"/>
              <w:right w:val="single" w:color="auto" w:sz="4" w:space="0"/>
            </w:tcBorders>
          </w:tcPr>
          <w:p w14:paraId="0E827291">
            <w:pPr>
              <w:spacing w:line="360" w:lineRule="auto"/>
              <w:rPr>
                <w:bCs/>
                <w:iCs/>
                <w:color w:val="000000"/>
                <w:sz w:val="24"/>
              </w:rPr>
            </w:pPr>
            <w:r>
              <w:rPr>
                <w:bCs/>
                <w:iCs/>
                <w:color w:val="000000"/>
                <w:sz w:val="24"/>
              </w:rPr>
              <w:t>202</w:t>
            </w:r>
            <w:r>
              <w:rPr>
                <w:rFonts w:hint="eastAsia"/>
                <w:bCs/>
                <w:iCs/>
                <w:color w:val="000000"/>
                <w:sz w:val="24"/>
                <w:lang w:val="en-US" w:eastAsia="zh-CN"/>
              </w:rPr>
              <w:t>6</w:t>
            </w:r>
            <w:r>
              <w:rPr>
                <w:bCs/>
                <w:iCs/>
                <w:color w:val="000000"/>
                <w:sz w:val="24"/>
              </w:rPr>
              <w:t>年</w:t>
            </w:r>
            <w:r>
              <w:rPr>
                <w:rFonts w:hint="eastAsia"/>
                <w:bCs/>
                <w:iCs/>
                <w:color w:val="000000"/>
                <w:sz w:val="24"/>
                <w:lang w:val="en-US" w:eastAsia="zh-CN"/>
              </w:rPr>
              <w:t>1</w:t>
            </w:r>
            <w:r>
              <w:rPr>
                <w:bCs/>
                <w:iCs/>
                <w:color w:val="000000"/>
                <w:sz w:val="24"/>
              </w:rPr>
              <w:t>月</w:t>
            </w:r>
            <w:r>
              <w:rPr>
                <w:rFonts w:hint="eastAsia"/>
                <w:bCs/>
                <w:iCs/>
                <w:color w:val="000000"/>
                <w:sz w:val="24"/>
                <w:lang w:val="en-US" w:eastAsia="zh-CN"/>
              </w:rPr>
              <w:t>19</w:t>
            </w:r>
            <w:r>
              <w:rPr>
                <w:bCs/>
                <w:iCs/>
                <w:color w:val="000000"/>
                <w:sz w:val="24"/>
              </w:rPr>
              <w:t>日</w:t>
            </w:r>
          </w:p>
        </w:tc>
      </w:tr>
    </w:tbl>
    <w:p w14:paraId="01F69911">
      <w:pPr>
        <w:widowControl/>
        <w:spacing w:line="360" w:lineRule="auto"/>
        <w:ind w:firstLine="480" w:firstLineChars="200"/>
        <w:jc w:val="left"/>
        <w:rPr>
          <w:sz w:val="24"/>
        </w:rPr>
      </w:pPr>
      <w:r>
        <w:rPr>
          <w:sz w:val="24"/>
        </w:rPr>
        <w:t>注</w:t>
      </w:r>
      <w:r>
        <w:rPr>
          <w:rFonts w:hint="eastAsia"/>
          <w:sz w:val="24"/>
        </w:rPr>
        <w:t>：</w:t>
      </w:r>
      <w:r>
        <w:rPr>
          <w:sz w:val="24"/>
        </w:rPr>
        <w:t>公司严格遵守信息披露相关规则与投资者进行交流</w:t>
      </w:r>
      <w:r>
        <w:rPr>
          <w:rFonts w:hint="eastAsia"/>
          <w:sz w:val="24"/>
        </w:rPr>
        <w:t>，</w:t>
      </w:r>
      <w:r>
        <w:rPr>
          <w:sz w:val="24"/>
        </w:rPr>
        <w:t>如涉及公司战略规划等意向性目标</w:t>
      </w:r>
      <w:r>
        <w:rPr>
          <w:rFonts w:hint="eastAsia"/>
          <w:sz w:val="24"/>
        </w:rPr>
        <w:t>，</w:t>
      </w:r>
      <w:r>
        <w:rPr>
          <w:sz w:val="24"/>
        </w:rPr>
        <w:t>不能视为公司或管理层对公司业绩的保证或承诺</w:t>
      </w:r>
      <w:r>
        <w:rPr>
          <w:rFonts w:hint="eastAsia"/>
          <w:sz w:val="24"/>
        </w:rPr>
        <w:t>，</w:t>
      </w:r>
      <w:r>
        <w:rPr>
          <w:sz w:val="24"/>
        </w:rPr>
        <w:t>敬请广大投资者注意投资风险。</w:t>
      </w: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BD22E">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51F6">
    <w:pPr>
      <w:pStyle w:val="5"/>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DBAB8">
    <w:pPr>
      <w:pStyle w:val="6"/>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5327">
    <w:pPr>
      <w:pStyle w:val="6"/>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B53A3">
    <w:pPr>
      <w:pStyle w:val="6"/>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5782F"/>
    <w:multiLevelType w:val="singleLevel"/>
    <w:tmpl w:val="88D5782F"/>
    <w:lvl w:ilvl="0" w:tentative="0">
      <w:start w:val="1"/>
      <w:numFmt w:val="decimal"/>
      <w:suff w:val="nothing"/>
      <w:lvlText w:val="%1．"/>
      <w:lvlJc w:val="left"/>
      <w:pPr>
        <w:ind w:left="0" w:firstLine="400"/>
      </w:pPr>
      <w:rPr>
        <w:rFonts w:hint="default"/>
        <w:b/>
        <w:bC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MTIyMGY2MDRhNzYwY2ViNWVhMGY4NmU3Zjc0Y2EifQ=="/>
  </w:docVars>
  <w:rsids>
    <w:rsidRoot w:val="002D7F96"/>
    <w:rsid w:val="0016129D"/>
    <w:rsid w:val="002D7F96"/>
    <w:rsid w:val="006C0F13"/>
    <w:rsid w:val="00CD47C2"/>
    <w:rsid w:val="00D83643"/>
    <w:rsid w:val="00D9012D"/>
    <w:rsid w:val="00F2328E"/>
    <w:rsid w:val="00FE1348"/>
    <w:rsid w:val="023B4716"/>
    <w:rsid w:val="0885461E"/>
    <w:rsid w:val="0CB11F5E"/>
    <w:rsid w:val="101850E1"/>
    <w:rsid w:val="11572401"/>
    <w:rsid w:val="126B4221"/>
    <w:rsid w:val="14E904B0"/>
    <w:rsid w:val="156A53A0"/>
    <w:rsid w:val="16E41182"/>
    <w:rsid w:val="1D3B06F4"/>
    <w:rsid w:val="23F95D47"/>
    <w:rsid w:val="245C61AD"/>
    <w:rsid w:val="27514612"/>
    <w:rsid w:val="28414686"/>
    <w:rsid w:val="286E6AFD"/>
    <w:rsid w:val="2A9867EC"/>
    <w:rsid w:val="2E975000"/>
    <w:rsid w:val="2F824456"/>
    <w:rsid w:val="31305298"/>
    <w:rsid w:val="32902492"/>
    <w:rsid w:val="36F4212A"/>
    <w:rsid w:val="37875627"/>
    <w:rsid w:val="38877E93"/>
    <w:rsid w:val="399C796E"/>
    <w:rsid w:val="3EEE7FBE"/>
    <w:rsid w:val="431F6F1A"/>
    <w:rsid w:val="448406DC"/>
    <w:rsid w:val="499441BE"/>
    <w:rsid w:val="4BC14069"/>
    <w:rsid w:val="4D9A031C"/>
    <w:rsid w:val="4FFD419A"/>
    <w:rsid w:val="50E139C9"/>
    <w:rsid w:val="524E5126"/>
    <w:rsid w:val="553A61C5"/>
    <w:rsid w:val="56CC5D09"/>
    <w:rsid w:val="5727016D"/>
    <w:rsid w:val="578F06BB"/>
    <w:rsid w:val="59F606D4"/>
    <w:rsid w:val="5F677B8F"/>
    <w:rsid w:val="64037E30"/>
    <w:rsid w:val="65915272"/>
    <w:rsid w:val="66B81CDD"/>
    <w:rsid w:val="684D3A5E"/>
    <w:rsid w:val="6E7502E0"/>
    <w:rsid w:val="6F4D0247"/>
    <w:rsid w:val="6FA66085"/>
    <w:rsid w:val="717E3FCE"/>
    <w:rsid w:val="732E5CC1"/>
    <w:rsid w:val="758D20DC"/>
    <w:rsid w:val="762D4575"/>
    <w:rsid w:val="78AC0E9F"/>
    <w:rsid w:val="79102D89"/>
    <w:rsid w:val="7D19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5"/>
    <w:next w:val="1"/>
    <w:qFormat/>
    <w:uiPriority w:val="0"/>
    <w:pPr>
      <w:widowControl w:val="0"/>
      <w:ind w:left="1680"/>
      <w:jc w:val="both"/>
    </w:pPr>
    <w:rPr>
      <w:rFonts w:ascii="黑体" w:hAnsi="Calibri" w:eastAsia="黑体" w:cs="Arial"/>
      <w:kern w:val="2"/>
      <w:sz w:val="32"/>
      <w:szCs w:val="32"/>
      <w:lang w:val="en-US" w:eastAsia="zh-CN" w:bidi="ar-SA"/>
    </w:rPr>
  </w:style>
  <w:style w:type="paragraph" w:styleId="3">
    <w:name w:val="annotation text"/>
    <w:basedOn w:val="1"/>
    <w:link w:val="15"/>
    <w:qFormat/>
    <w:uiPriority w:val="99"/>
    <w:pPr>
      <w:jc w:val="left"/>
    </w:pPr>
  </w:style>
  <w:style w:type="paragraph" w:styleId="4">
    <w:name w:val="Balloon Text"/>
    <w:basedOn w:val="1"/>
    <w:link w:val="17"/>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rFonts w:ascii="等线" w:hAnsi="等线" w:eastAsia="等线" w:cs="宋体"/>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rFonts w:ascii="等线" w:hAnsi="等线" w:eastAsia="等线" w:cs="宋体"/>
      <w:sz w:val="18"/>
      <w:szCs w:val="18"/>
    </w:rPr>
  </w:style>
  <w:style w:type="paragraph" w:styleId="7">
    <w:name w:val="annotation subject"/>
    <w:basedOn w:val="3"/>
    <w:next w:val="3"/>
    <w:link w:val="16"/>
    <w:qFormat/>
    <w:uiPriority w:val="99"/>
    <w:rPr>
      <w:b/>
      <w:bCs/>
    </w:rPr>
  </w:style>
  <w:style w:type="character" w:styleId="10">
    <w:name w:val="Emphasis"/>
    <w:basedOn w:val="9"/>
    <w:qFormat/>
    <w:uiPriority w:val="20"/>
    <w:rPr>
      <w:i/>
    </w:rPr>
  </w:style>
  <w:style w:type="character" w:styleId="11">
    <w:name w:val="annotation reference"/>
    <w:basedOn w:val="9"/>
    <w:qFormat/>
    <w:uiPriority w:val="99"/>
    <w:rPr>
      <w:sz w:val="21"/>
      <w:szCs w:val="21"/>
    </w:rPr>
  </w:style>
  <w:style w:type="paragraph" w:customStyle="1" w:styleId="12">
    <w:name w:val="Normal Indent1"/>
    <w:next w:val="2"/>
    <w:qFormat/>
    <w:uiPriority w:val="0"/>
    <w:pPr>
      <w:widowControl w:val="0"/>
      <w:ind w:firstLine="420" w:firstLineChars="200"/>
      <w:jc w:val="both"/>
    </w:pPr>
    <w:rPr>
      <w:rFonts w:ascii="Times New Roman" w:hAnsi="Times New Roman" w:eastAsia="宋体" w:cs="Times New Roman"/>
      <w:kern w:val="2"/>
      <w:sz w:val="21"/>
      <w:szCs w:val="21"/>
      <w:lang w:val="en-US" w:eastAsia="zh-CN" w:bidi="ar-SA"/>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文字 字符"/>
    <w:basedOn w:val="9"/>
    <w:link w:val="3"/>
    <w:qFormat/>
    <w:uiPriority w:val="99"/>
    <w:rPr>
      <w:rFonts w:ascii="Times New Roman" w:hAnsi="Times New Roman" w:eastAsia="宋体" w:cs="Times New Roman"/>
      <w:szCs w:val="24"/>
    </w:rPr>
  </w:style>
  <w:style w:type="character" w:customStyle="1" w:styleId="16">
    <w:name w:val="批注主题 字符"/>
    <w:basedOn w:val="15"/>
    <w:link w:val="7"/>
    <w:qFormat/>
    <w:uiPriority w:val="99"/>
    <w:rPr>
      <w:rFonts w:ascii="Times New Roman" w:hAnsi="Times New Roman" w:eastAsia="宋体" w:cs="Times New Roman"/>
      <w:b/>
      <w:bCs/>
      <w:szCs w:val="24"/>
    </w:rPr>
  </w:style>
  <w:style w:type="character" w:customStyle="1" w:styleId="17">
    <w:name w:val="批注框文本 字符"/>
    <w:basedOn w:val="9"/>
    <w:link w:val="4"/>
    <w:qFormat/>
    <w:uiPriority w:val="99"/>
    <w:rPr>
      <w:rFonts w:ascii="Times New Roman" w:hAnsi="Times New Roman" w:eastAsia="宋体" w:cs="Times New Roman"/>
      <w:sz w:val="18"/>
      <w:szCs w:val="18"/>
    </w:rPr>
  </w:style>
  <w:style w:type="paragraph" w:customStyle="1" w:styleId="18">
    <w:name w:val="修订1"/>
    <w:qFormat/>
    <w:uiPriority w:val="99"/>
    <w:rPr>
      <w:rFonts w:ascii="Times New Roman" w:hAnsi="Times New Roman" w:eastAsia="宋体" w:cs="Times New Roman"/>
      <w:kern w:val="2"/>
      <w:sz w:val="21"/>
      <w:szCs w:val="24"/>
      <w:lang w:val="en-US" w:eastAsia="zh-CN" w:bidi="ar-SA"/>
    </w:rPr>
  </w:style>
  <w:style w:type="paragraph" w:styleId="19">
    <w:name w:val="List Paragraph"/>
    <w:basedOn w:val="1"/>
    <w:qFormat/>
    <w:uiPriority w:val="0"/>
    <w:pPr>
      <w:ind w:firstLine="420" w:firstLineChars="200"/>
    </w:pPr>
  </w:style>
  <w:style w:type="paragraph" w:customStyle="1" w:styleId="20">
    <w:name w:val="修订2"/>
    <w:qFormat/>
    <w:uiPriority w:val="99"/>
    <w:rPr>
      <w:rFonts w:ascii="Times New Roman" w:hAnsi="Times New Roman" w:eastAsia="宋体" w:cs="Times New Roman"/>
      <w:kern w:val="2"/>
      <w:sz w:val="21"/>
      <w:szCs w:val="24"/>
      <w:lang w:val="en-US" w:eastAsia="zh-CN" w:bidi="ar-SA"/>
    </w:rPr>
  </w:style>
  <w:style w:type="paragraph" w:customStyle="1" w:styleId="21">
    <w:name w:val="修订3"/>
    <w:qFormat/>
    <w:uiPriority w:val="99"/>
    <w:rPr>
      <w:rFonts w:ascii="Times New Roman" w:hAnsi="Times New Roman" w:eastAsia="宋体" w:cs="Times New Roman"/>
      <w:kern w:val="2"/>
      <w:sz w:val="21"/>
      <w:szCs w:val="24"/>
      <w:lang w:val="en-US" w:eastAsia="zh-CN" w:bidi="ar-SA"/>
    </w:rPr>
  </w:style>
  <w:style w:type="paragraph" w:customStyle="1" w:styleId="22">
    <w:name w:val="修订4"/>
    <w:qFormat/>
    <w:uiPriority w:val="99"/>
    <w:rPr>
      <w:rFonts w:ascii="Times New Roman" w:hAnsi="Times New Roman" w:eastAsia="宋体" w:cs="Times New Roman"/>
      <w:kern w:val="2"/>
      <w:sz w:val="21"/>
      <w:szCs w:val="24"/>
      <w:lang w:val="en-US" w:eastAsia="zh-CN" w:bidi="ar-SA"/>
    </w:rPr>
  </w:style>
  <w:style w:type="paragraph" w:customStyle="1" w:styleId="23">
    <w:name w:val="修订5"/>
    <w:qFormat/>
    <w:uiPriority w:val="99"/>
    <w:rPr>
      <w:rFonts w:ascii="Times New Roman" w:hAnsi="Times New Roman" w:eastAsia="宋体" w:cs="Times New Roman"/>
      <w:kern w:val="2"/>
      <w:sz w:val="21"/>
      <w:szCs w:val="24"/>
      <w:lang w:val="en-US" w:eastAsia="zh-CN" w:bidi="ar-SA"/>
    </w:rPr>
  </w:style>
  <w:style w:type="paragraph" w:customStyle="1" w:styleId="2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2114</Words>
  <Characters>2325</Characters>
  <Lines>21</Lines>
  <Paragraphs>6</Paragraphs>
  <TotalTime>58</TotalTime>
  <ScaleCrop>false</ScaleCrop>
  <LinksUpToDate>false</LinksUpToDate>
  <CharactersWithSpaces>2396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2025-12-24T01:53:00Z</dcterms:created>
  <dc:creator>周钡钡</dc:creator>
  <cp:lastModifiedBy>zhengquanbu</cp:lastModifiedBy>
  <dcterms:modified xsi:type="dcterms:W3CDTF">2026-01-21T05:27:42Z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8AF88E5AD95A418C9DE23BC7A49A408C_13</vt:lpwstr>
  </property>
  <property fmtid="{D5CDD505-2E9C-101B-9397-08002B2CF9AE}" pid="4" name="KSOTemplateDocerSaveRecord">
    <vt:lpwstr>eyJoZGlkIjoiMDZmN2VlOWFiNmJkMWVlMjkzNDU0NzNlMDRlYWVjNjIiLCJ1c2VySWQiOiIxMzg4MzUyNjAyIn0=</vt:lpwstr>
  </property>
</Properties>
</file>