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E89E6">
      <w:pPr>
        <w:spacing w:before="156" w:beforeLines="50" w:after="156" w:afterLines="50" w:line="400" w:lineRule="exact"/>
        <w:rPr>
          <w:rFonts w:hint="eastAsia" w:asciiTheme="minorEastAsia" w:hAnsiTheme="minorEastAsia" w:eastAsiaTheme="minorEastAsia" w:cstheme="minorEastAsia"/>
          <w:bCs/>
          <w:iCs/>
          <w:color w:val="000000"/>
          <w:sz w:val="24"/>
        </w:rPr>
      </w:pPr>
      <w:r>
        <w:rPr>
          <w:rFonts w:hAnsi="宋体"/>
          <w:bCs/>
          <w:iCs/>
          <w:color w:val="000000"/>
          <w:sz w:val="24"/>
        </w:rPr>
        <w:t>证券代码：</w:t>
      </w:r>
      <w:r>
        <w:rPr>
          <w:rFonts w:hint="eastAsia" w:asciiTheme="minorEastAsia" w:hAnsiTheme="minorEastAsia" w:eastAsiaTheme="minorEastAsia" w:cstheme="minorEastAsia"/>
          <w:color w:val="000000"/>
          <w:sz w:val="24"/>
        </w:rPr>
        <w:t xml:space="preserve">600141                             </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Cs/>
          <w:iCs/>
          <w:color w:val="000000"/>
          <w:sz w:val="24"/>
        </w:rPr>
        <w:t>证券简称：</w:t>
      </w:r>
      <w:r>
        <w:rPr>
          <w:rFonts w:hint="eastAsia" w:asciiTheme="minorEastAsia" w:hAnsiTheme="minorEastAsia" w:eastAsiaTheme="minorEastAsia" w:cstheme="minorEastAsia"/>
          <w:color w:val="000000"/>
          <w:sz w:val="24"/>
        </w:rPr>
        <w:t>兴发集团</w:t>
      </w:r>
    </w:p>
    <w:p w14:paraId="3D9BE1D4">
      <w:pPr>
        <w:spacing w:before="156" w:beforeLines="50" w:after="156" w:afterLines="50" w:line="40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lang w:val="en-US" w:eastAsia="zh-CN"/>
        </w:rPr>
        <w:t>转债</w:t>
      </w:r>
      <w:r>
        <w:rPr>
          <w:rFonts w:hint="eastAsia" w:asciiTheme="minorEastAsia" w:hAnsiTheme="minorEastAsia" w:eastAsiaTheme="minorEastAsia" w:cstheme="minorEastAsia"/>
          <w:bCs/>
          <w:iCs/>
          <w:color w:val="000000"/>
          <w:sz w:val="24"/>
        </w:rPr>
        <w:t>代码：</w:t>
      </w:r>
      <w:r>
        <w:rPr>
          <w:rFonts w:hint="eastAsia" w:asciiTheme="minorEastAsia" w:hAnsiTheme="minorEastAsia" w:eastAsiaTheme="minorEastAsia" w:cstheme="minorEastAsia"/>
          <w:bCs/>
          <w:iCs/>
          <w:color w:val="000000"/>
          <w:sz w:val="24"/>
          <w:lang w:val="en-US" w:eastAsia="zh-CN"/>
        </w:rPr>
        <w:t>110089</w:t>
      </w:r>
      <w:r>
        <w:rPr>
          <w:color w:val="000000"/>
          <w:sz w:val="24"/>
        </w:rPr>
        <w:t xml:space="preserve">                             </w:t>
      </w:r>
      <w:r>
        <w:rPr>
          <w:rFonts w:hint="eastAsia"/>
          <w:color w:val="000000"/>
          <w:sz w:val="24"/>
          <w:lang w:val="en-US" w:eastAsia="zh-CN"/>
        </w:rPr>
        <w:t xml:space="preserve">               转债</w:t>
      </w:r>
      <w:r>
        <w:rPr>
          <w:rFonts w:hAnsi="宋体"/>
          <w:bCs/>
          <w:iCs/>
          <w:color w:val="000000"/>
          <w:sz w:val="24"/>
        </w:rPr>
        <w:t>简称：</w:t>
      </w:r>
      <w:r>
        <w:rPr>
          <w:rFonts w:hint="eastAsia" w:hAnsi="宋体"/>
          <w:bCs/>
          <w:iCs/>
          <w:color w:val="000000"/>
          <w:sz w:val="24"/>
          <w:lang w:val="en-US" w:eastAsia="zh-CN"/>
        </w:rPr>
        <w:t>兴发转债</w:t>
      </w:r>
    </w:p>
    <w:p w14:paraId="68019A1A">
      <w:pPr>
        <w:spacing w:before="156" w:beforeLines="50" w:after="156" w:afterLines="50" w:line="400" w:lineRule="exact"/>
        <w:jc w:val="center"/>
        <w:rPr>
          <w:rFonts w:hint="default" w:ascii="宋体" w:hAnsi="宋体"/>
          <w:b/>
          <w:bCs/>
          <w:iCs/>
          <w:color w:val="000000"/>
          <w:sz w:val="32"/>
          <w:szCs w:val="32"/>
        </w:rPr>
      </w:pPr>
    </w:p>
    <w:p w14:paraId="78E0B449">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湖北兴发化工集团股份有限公司</w:t>
      </w:r>
      <w:r>
        <w:rPr>
          <w:rFonts w:hint="eastAsia" w:ascii="宋体" w:hAnsi="宋体"/>
          <w:b/>
          <w:bCs/>
          <w:iCs/>
          <w:color w:val="000000"/>
          <w:sz w:val="32"/>
          <w:szCs w:val="32"/>
        </w:rPr>
        <w:t>投资者关系活动记录表</w:t>
      </w:r>
    </w:p>
    <w:p w14:paraId="331A7E3B">
      <w:pPr>
        <w:spacing w:line="400" w:lineRule="exact"/>
        <w:jc w:val="both"/>
        <w:rPr>
          <w:rFonts w:hint="default" w:eastAsia="宋体"/>
          <w:bCs/>
          <w:iCs/>
          <w:color w:val="000000"/>
          <w:sz w:val="24"/>
          <w:lang w:val="en-US" w:eastAsia="zh-CN"/>
        </w:rPr>
      </w:pPr>
      <w:r>
        <w:rPr>
          <w:rFonts w:hint="eastAsia" w:ascii="宋体" w:hAnsi="宋体"/>
          <w:bCs/>
          <w:iCs/>
          <w:color w:val="000000"/>
          <w:sz w:val="24"/>
          <w:lang w:val="en-US" w:eastAsia="zh-CN"/>
        </w:rPr>
        <w:t>编号：2026-002</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935"/>
      </w:tblGrid>
      <w:tr w14:paraId="7277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6D3F46">
            <w:pPr>
              <w:spacing w:line="420" w:lineRule="exact"/>
              <w:rPr>
                <w:bCs/>
                <w:iCs/>
                <w:color w:val="000000"/>
                <w:sz w:val="24"/>
              </w:rPr>
            </w:pPr>
            <w:r>
              <w:rPr>
                <w:rFonts w:hAnsi="宋体"/>
                <w:bCs/>
                <w:iCs/>
                <w:color w:val="000000"/>
                <w:kern w:val="0"/>
                <w:sz w:val="24"/>
              </w:rPr>
              <w:t>投资者关系活动类别</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0D4E17E1">
            <w:pPr>
              <w:spacing w:line="420" w:lineRule="exact"/>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分析师会议</w:t>
            </w:r>
          </w:p>
          <w:p w14:paraId="409F943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 xml:space="preserve"> </w:t>
            </w:r>
            <w:r>
              <w:rPr>
                <w:rFonts w:hint="eastAsia"/>
                <w:bCs/>
                <w:iCs/>
                <w:color w:val="000000"/>
                <w:kern w:val="0"/>
                <w:sz w:val="24"/>
                <w:lang w:eastAsia="zh-CN"/>
              </w:rPr>
              <w:t>□</w:t>
            </w:r>
            <w:r>
              <w:rPr>
                <w:rFonts w:hAnsi="宋体"/>
                <w:kern w:val="0"/>
                <w:sz w:val="24"/>
              </w:rPr>
              <w:t>业绩说明会</w:t>
            </w:r>
          </w:p>
          <w:p w14:paraId="314A6BB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路演活动</w:t>
            </w:r>
          </w:p>
          <w:p w14:paraId="24F6DB7E">
            <w:pPr>
              <w:tabs>
                <w:tab w:val="left" w:pos="3045"/>
                <w:tab w:val="center" w:pos="3199"/>
              </w:tabs>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9D529BD">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737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730DE6">
            <w:pPr>
              <w:spacing w:line="420" w:lineRule="exact"/>
              <w:jc w:val="both"/>
              <w:rPr>
                <w:bCs/>
                <w:iCs/>
                <w:color w:val="000000"/>
                <w:kern w:val="0"/>
                <w:sz w:val="24"/>
              </w:rPr>
            </w:pPr>
            <w:r>
              <w:rPr>
                <w:rFonts w:hAnsi="宋体"/>
                <w:bCs/>
                <w:iCs/>
                <w:color w:val="000000"/>
                <w:kern w:val="0"/>
                <w:sz w:val="24"/>
              </w:rPr>
              <w:t>参与单位名称及人员姓名</w:t>
            </w:r>
          </w:p>
        </w:tc>
        <w:tc>
          <w:tcPr>
            <w:tcW w:w="7935"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0542391C">
            <w:pPr>
              <w:spacing w:line="420" w:lineRule="exact"/>
              <w:jc w:val="both"/>
              <w:rPr>
                <w:rFonts w:hint="default" w:ascii="宋体" w:hAnsi="宋体"/>
                <w:sz w:val="24"/>
                <w:lang w:val="en-US" w:eastAsia="zh-CN"/>
              </w:rPr>
            </w:pPr>
            <w:r>
              <w:rPr>
                <w:rFonts w:hint="default" w:ascii="宋体" w:hAnsi="宋体"/>
                <w:sz w:val="24"/>
                <w:lang w:eastAsia="zh-CN"/>
              </w:rPr>
              <w:t>中银基金、天弘基金、富安达基金、同泰基金、浙商资管、博远基金、银华基金、华安基金、汇丰晋信、博道基金、鑫元基金、华泰保兴、国金基金、中泰证券资管公募部、大成基金、平安养老、凯丰投资、正圆投资、常春藤投资、果实资本、磐厚动量、悦溪基金、光大理财、招商资管、国都证券、华创证券、天风资管、中邮证券、上海德汇投资、Antects、Dymon Asia、长江证券、建信保险资管、中邮资管、生命资管、嘉实基金、兴业基金、国金证券、华宝基金、国海证券、西部利得基金、摩根基金、中信基金、东华能源、太平基金、中量星锐基金、宏利基金、华泰自营投资、野村东方国际证券、招银基金、安联基金、和讯证券、长安基金、国联安基金、信达澳亚基金、聚鸣资管、恒越基金、上海小海豚私募、西南证券、中新投资、中欧基金、工银证券、博时证券、平安资管、华商证券、长城基金、申万宏源、中国人寿、华泰资管</w:t>
            </w:r>
            <w:r>
              <w:rPr>
                <w:rFonts w:hint="eastAsia" w:ascii="宋体" w:hAnsi="宋体"/>
                <w:sz w:val="24"/>
                <w:lang w:val="en-US" w:eastAsia="zh-CN"/>
              </w:rPr>
              <w:t>等</w:t>
            </w:r>
          </w:p>
        </w:tc>
      </w:tr>
      <w:tr w14:paraId="3A2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67F17167">
            <w:pPr>
              <w:spacing w:line="420" w:lineRule="exact"/>
              <w:rPr>
                <w:bCs/>
                <w:iCs/>
                <w:color w:val="000000"/>
                <w:kern w:val="0"/>
                <w:sz w:val="24"/>
              </w:rPr>
            </w:pPr>
            <w:r>
              <w:rPr>
                <w:rFonts w:hAnsi="宋体"/>
                <w:bCs/>
                <w:iCs/>
                <w:color w:val="000000"/>
                <w:kern w:val="0"/>
                <w:sz w:val="24"/>
              </w:rPr>
              <w:t>时间</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48062A1A">
            <w:pPr>
              <w:spacing w:line="420" w:lineRule="exact"/>
              <w:rPr>
                <w:rFonts w:hint="default" w:eastAsia="宋体"/>
                <w:bCs/>
                <w:iCs/>
                <w:color w:val="000000"/>
                <w:sz w:val="24"/>
                <w:lang w:val="en-US" w:eastAsia="zh-CN"/>
              </w:rPr>
            </w:pPr>
            <w:r>
              <w:rPr>
                <w:rFonts w:hint="eastAsia"/>
                <w:bCs/>
                <w:iCs/>
                <w:color w:val="000000"/>
                <w:sz w:val="24"/>
                <w:lang w:val="en-US" w:eastAsia="zh-CN"/>
              </w:rPr>
              <w:t>2026年1月9日、1月14日、1月19日、1月21日</w:t>
            </w:r>
          </w:p>
        </w:tc>
      </w:tr>
      <w:tr w14:paraId="1D7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784FDF19">
            <w:pPr>
              <w:spacing w:line="420" w:lineRule="exact"/>
              <w:rPr>
                <w:bCs/>
                <w:iCs/>
                <w:color w:val="000000"/>
                <w:kern w:val="0"/>
                <w:sz w:val="24"/>
              </w:rPr>
            </w:pPr>
            <w:r>
              <w:rPr>
                <w:rFonts w:hAnsi="宋体"/>
                <w:bCs/>
                <w:iCs/>
                <w:color w:val="000000"/>
                <w:kern w:val="0"/>
                <w:sz w:val="24"/>
              </w:rPr>
              <w:t>地点</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14732363">
            <w:pPr>
              <w:spacing w:line="420" w:lineRule="exact"/>
              <w:rPr>
                <w:rFonts w:hint="default" w:eastAsia="宋体"/>
                <w:bCs/>
                <w:iCs/>
                <w:color w:val="000000"/>
                <w:sz w:val="24"/>
                <w:lang w:val="en-US" w:eastAsia="zh-CN"/>
              </w:rPr>
            </w:pPr>
            <w:r>
              <w:rPr>
                <w:rFonts w:hint="eastAsia"/>
                <w:bCs/>
                <w:iCs/>
                <w:color w:val="000000"/>
                <w:sz w:val="24"/>
                <w:lang w:val="en-US" w:eastAsia="zh-CN"/>
              </w:rPr>
              <w:t>线上及线下</w:t>
            </w:r>
          </w:p>
        </w:tc>
      </w:tr>
      <w:tr w14:paraId="5112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5FCDB002">
            <w:pPr>
              <w:spacing w:line="420" w:lineRule="exact"/>
              <w:rPr>
                <w:bCs/>
                <w:iCs/>
                <w:color w:val="000000"/>
                <w:kern w:val="0"/>
                <w:sz w:val="24"/>
              </w:rPr>
            </w:pPr>
            <w:r>
              <w:rPr>
                <w:rFonts w:hAnsi="宋体"/>
                <w:bCs/>
                <w:iCs/>
                <w:color w:val="000000"/>
                <w:kern w:val="0"/>
                <w:sz w:val="24"/>
              </w:rPr>
              <w:t>上市公司接待人员姓名</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4CD7617D">
            <w:pPr>
              <w:spacing w:line="420" w:lineRule="exact"/>
              <w:rPr>
                <w:rFonts w:hint="default" w:ascii="宋体" w:hAnsi="宋体"/>
                <w:bCs/>
                <w:sz w:val="24"/>
              </w:rPr>
            </w:pPr>
            <w:r>
              <w:rPr>
                <w:rFonts w:hint="default" w:ascii="宋体" w:hAnsi="宋体"/>
                <w:bCs/>
                <w:sz w:val="24"/>
              </w:rPr>
              <w:t>董事会秘书鲍伯颖</w:t>
            </w:r>
          </w:p>
        </w:tc>
      </w:tr>
      <w:tr w14:paraId="110E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2F94934">
            <w:pPr>
              <w:spacing w:line="420" w:lineRule="exact"/>
              <w:rPr>
                <w:bCs/>
                <w:iCs/>
                <w:color w:val="000000"/>
                <w:kern w:val="0"/>
                <w:sz w:val="24"/>
              </w:rPr>
            </w:pPr>
            <w:r>
              <w:rPr>
                <w:rFonts w:hAnsi="宋体"/>
                <w:bCs/>
                <w:iCs/>
                <w:color w:val="000000"/>
                <w:kern w:val="0"/>
                <w:sz w:val="24"/>
              </w:rPr>
              <w:t>投资者关系活动主要内容介绍</w:t>
            </w:r>
          </w:p>
          <w:p w14:paraId="4910B35D">
            <w:pPr>
              <w:spacing w:line="420" w:lineRule="exact"/>
              <w:rPr>
                <w:bCs/>
                <w:iCs/>
                <w:color w:val="000000"/>
                <w:sz w:val="24"/>
              </w:rPr>
            </w:pPr>
          </w:p>
        </w:tc>
        <w:tc>
          <w:tcPr>
            <w:tcW w:w="7935" w:type="dxa"/>
            <w:tcBorders>
              <w:top w:val="single" w:color="auto" w:sz="4" w:space="0"/>
              <w:left w:val="single" w:color="auto" w:sz="4" w:space="0"/>
              <w:bottom w:val="single" w:color="auto" w:sz="4" w:space="0"/>
              <w:right w:val="single" w:color="auto" w:sz="4" w:space="0"/>
            </w:tcBorders>
            <w:noWrap w:val="0"/>
            <w:vAlign w:val="top"/>
          </w:tcPr>
          <w:p w14:paraId="70F2B064">
            <w:pPr>
              <w:numPr>
                <w:ilvl w:val="-1"/>
                <w:numId w:val="0"/>
              </w:numPr>
              <w:spacing w:line="520" w:lineRule="exact"/>
              <w:ind w:left="0" w:leftChars="0" w:firstLine="446"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w:t>
            </w:r>
            <w:r>
              <w:rPr>
                <w:rFonts w:hint="eastAsia" w:asciiTheme="minorEastAsia" w:hAnsiTheme="minorEastAsia" w:eastAsiaTheme="minorEastAsia" w:cstheme="minorEastAsia"/>
                <w:b/>
                <w:bCs/>
                <w:sz w:val="24"/>
              </w:rPr>
              <w:t>我们在AI模型上搜索到一些黑磷在商业航天领域的运用原理，上面写到原理与霍尔推进器部分相似，请问这个技术就是黑磷在商业航天领域的运用原理吗？</w:t>
            </w:r>
          </w:p>
          <w:p w14:paraId="33BF027C">
            <w:pPr>
              <w:spacing w:line="520" w:lineRule="exact"/>
              <w:ind w:firstLine="446" w:firstLineChars="200"/>
              <w:rPr>
                <w:rFonts w:hint="eastAsia" w:asciiTheme="minorEastAsia" w:hAnsiTheme="minorEastAsia" w:eastAsiaTheme="minorEastAsia" w:cstheme="minorEastAsia"/>
                <w:b w:val="0"/>
                <w:bCs w:val="0"/>
                <w:kern w:val="2"/>
                <w:sz w:val="24"/>
                <w:szCs w:val="24"/>
                <w:lang w:val="en-US" w:eastAsia="zh-CN" w:bidi="ar-SA"/>
                <w:woUserID w:val="1"/>
              </w:rPr>
            </w:pPr>
            <w:r>
              <w:rPr>
                <w:rFonts w:hint="eastAsia" w:asciiTheme="minorEastAsia" w:hAnsiTheme="minorEastAsia" w:eastAsiaTheme="minorEastAsia" w:cstheme="minorEastAsia"/>
                <w:sz w:val="24"/>
                <w:lang w:val="en-US" w:eastAsia="zh-CN"/>
              </w:rPr>
              <w:t>答：</w:t>
            </w:r>
            <w:r>
              <w:rPr>
                <w:rFonts w:hint="eastAsia" w:asciiTheme="minorEastAsia" w:hAnsiTheme="minorEastAsia" w:eastAsiaTheme="minorEastAsia" w:cstheme="minorEastAsia"/>
                <w:sz w:val="24"/>
              </w:rPr>
              <w:t>谢谢您对公司的关注！公司与合作伙伴结合黑磷新特性的最新研发成果共同开发了黑磷基复合材料，该材料在超高真空环境下实现了广谱光能高效转化，可实现从紫外到近红外的广谱光吸收</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其高效的光热转化、光电转化和光致动能转换能力远超传统材料，此项技术有望为航天器能源及推进系统提供全新解决方案。任何新材料、新技术的产业化都具有不确定性</w:t>
            </w:r>
            <w:r>
              <w:rPr>
                <w:rFonts w:hint="eastAsia" w:asciiTheme="minorEastAsia" w:hAnsiTheme="minorEastAsia" w:eastAsiaTheme="minorEastAsia" w:cstheme="minorEastAsia"/>
                <w:sz w:val="24"/>
                <w:lang w:eastAsia="zh-CN"/>
                <w:woUserID w:val="1"/>
              </w:rPr>
              <w:t>，敬请广大投资者注意投资风险。</w:t>
            </w:r>
          </w:p>
          <w:p w14:paraId="31AAC80C">
            <w:pPr>
              <w:spacing w:line="520" w:lineRule="exact"/>
              <w:ind w:firstLine="446"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2、2026年1月1日实施的“一证一品同标”政策对公司的草甘膦业务有什么影响吗？公司怎么看待未来的价格趋势？</w:t>
            </w:r>
          </w:p>
          <w:p w14:paraId="3DBA0884">
            <w:pPr>
              <w:numPr>
                <w:ilvl w:val="-1"/>
                <w:numId w:val="0"/>
              </w:numPr>
              <w:spacing w:line="520" w:lineRule="exact"/>
              <w:ind w:left="0" w:leftChars="0" w:firstLine="446"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答：谢谢您对公司的关注！根据农业农村部公告，自2026年1月1日起实施的农药“一证一品同标”政策，预计将对草甘膦市场产生“先抑后扬”的影响。在政策全面落地前的阶段，部分下游厂家为应对未来合规产品的调整，可能存在提前备货行为，这可能导致渠道库存增加，并对短期价格构成压力。中长期来看，该政策将大幅提高行业合规门槛，加速出清低端产能，优化市场供给结构。随着政策效应充分显现，行业竞争秩序趋于规范，农药供需格局有望改善，从而对产品价格形成支撑，并推动其向更为理性的水平回归。</w:t>
            </w:r>
          </w:p>
          <w:p w14:paraId="763E9041">
            <w:pPr>
              <w:numPr>
                <w:ilvl w:val="-1"/>
                <w:numId w:val="0"/>
              </w:numPr>
              <w:spacing w:line="520" w:lineRule="exact"/>
              <w:ind w:left="0" w:firstLine="446"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kern w:val="2"/>
                <w:sz w:val="24"/>
                <w:szCs w:val="24"/>
                <w:lang w:val="en-US" w:eastAsia="zh-CN" w:bidi="ar-SA"/>
              </w:rPr>
              <w:t>3、</w:t>
            </w:r>
            <w:r>
              <w:rPr>
                <w:rFonts w:hint="eastAsia" w:asciiTheme="minorEastAsia" w:hAnsiTheme="minorEastAsia" w:eastAsiaTheme="minorEastAsia" w:cstheme="minorEastAsia"/>
                <w:b/>
                <w:bCs/>
                <w:sz w:val="24"/>
                <w:szCs w:val="24"/>
                <w:lang w:val="en-US" w:eastAsia="zh-CN"/>
              </w:rPr>
              <w:t>最新的股东人数是多少？</w:t>
            </w:r>
          </w:p>
          <w:p w14:paraId="12635AF7">
            <w:pPr>
              <w:numPr>
                <w:ilvl w:val="-1"/>
                <w:numId w:val="0"/>
              </w:numPr>
              <w:spacing w:line="520" w:lineRule="exact"/>
              <w:ind w:left="0" w:leftChars="0" w:firstLine="446" w:firstLineChars="200"/>
              <w:rPr>
                <w:rFonts w:hint="eastAsia" w:ascii="宋体" w:hAnsi="宋体" w:eastAsia="宋体"/>
                <w:sz w:val="24"/>
                <w:szCs w:val="24"/>
                <w:lang w:val="en-US" w:eastAsia="zh-CN"/>
              </w:rPr>
            </w:pPr>
            <w:r>
              <w:rPr>
                <w:rFonts w:hint="eastAsia" w:asciiTheme="minorEastAsia" w:hAnsiTheme="minorEastAsia" w:eastAsiaTheme="minorEastAsia" w:cstheme="minorEastAsia"/>
                <w:sz w:val="24"/>
                <w:szCs w:val="24"/>
                <w:lang w:val="en-US" w:eastAsia="zh-CN"/>
              </w:rPr>
              <w:t>答：谢谢您对公司的关注！截至2026年01月20日，公司股东总户数45,464户。</w:t>
            </w:r>
          </w:p>
        </w:tc>
      </w:tr>
      <w:tr w14:paraId="18C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30926E74">
            <w:pPr>
              <w:spacing w:line="420" w:lineRule="exact"/>
              <w:rPr>
                <w:bCs/>
                <w:iCs/>
                <w:color w:val="000000"/>
                <w:kern w:val="0"/>
                <w:sz w:val="24"/>
              </w:rPr>
            </w:pPr>
            <w:r>
              <w:rPr>
                <w:rFonts w:hAnsi="宋体"/>
                <w:bCs/>
                <w:iCs/>
                <w:color w:val="000000"/>
                <w:kern w:val="0"/>
                <w:sz w:val="24"/>
              </w:rPr>
              <w:t>附件清单（如有）</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3C20FF0E">
            <w:pPr>
              <w:spacing w:line="420" w:lineRule="exact"/>
              <w:jc w:val="both"/>
              <w:rPr>
                <w:rFonts w:hint="default" w:eastAsia="宋体"/>
                <w:bCs/>
                <w:iCs/>
                <w:color w:val="000000"/>
                <w:sz w:val="24"/>
                <w:lang w:val="en-US" w:eastAsia="zh-CN"/>
              </w:rPr>
            </w:pPr>
            <w:r>
              <w:rPr>
                <w:rFonts w:hint="eastAsia"/>
                <w:bCs/>
                <w:iCs/>
                <w:color w:val="000000"/>
                <w:sz w:val="24"/>
                <w:lang w:val="en-US" w:eastAsia="zh-CN"/>
              </w:rPr>
              <w:t>无</w:t>
            </w:r>
          </w:p>
        </w:tc>
      </w:tr>
      <w:tr w14:paraId="5AB4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855ACED">
            <w:pPr>
              <w:spacing w:line="420" w:lineRule="exact"/>
              <w:rPr>
                <w:bCs/>
                <w:iCs/>
                <w:color w:val="000000"/>
                <w:kern w:val="0"/>
                <w:sz w:val="24"/>
              </w:rPr>
            </w:pPr>
            <w:r>
              <w:rPr>
                <w:rFonts w:hAnsi="宋体"/>
                <w:bCs/>
                <w:iCs/>
                <w:color w:val="000000"/>
                <w:kern w:val="0"/>
                <w:sz w:val="24"/>
              </w:rPr>
              <w:t>日期</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782F3D13">
            <w:pPr>
              <w:spacing w:line="42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rPr>
              <w:t>202</w:t>
            </w:r>
            <w:r>
              <w:rPr>
                <w:rFonts w:hint="eastAsia" w:asciiTheme="minorEastAsia" w:hAnsiTheme="minorEastAsia" w:eastAsiaTheme="minorEastAsia" w:cstheme="minorEastAsia"/>
                <w:bCs/>
                <w:iCs/>
                <w:color w:val="000000"/>
                <w:sz w:val="24"/>
                <w:lang w:val="en-US" w:eastAsia="zh-CN"/>
              </w:rPr>
              <w:t>6年1月22日</w:t>
            </w:r>
          </w:p>
        </w:tc>
      </w:tr>
    </w:tbl>
    <w:p w14:paraId="461E75DE">
      <w:bookmarkStart w:id="0" w:name="_GoBack"/>
      <w:bookmarkEnd w:id="0"/>
    </w:p>
    <w:sectPr>
      <w:headerReference r:id="rId3" w:type="default"/>
      <w:footerReference r:id="rId4" w:type="default"/>
      <w:pgSz w:w="11906" w:h="16838"/>
      <w:pgMar w:top="2098" w:right="1474" w:bottom="1984" w:left="1587" w:header="851" w:footer="1417" w:gutter="0"/>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3BDE">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C579">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3C21D37"/>
    <w:rsid w:val="03D80B70"/>
    <w:rsid w:val="048C4D13"/>
    <w:rsid w:val="05C22B02"/>
    <w:rsid w:val="06392A5C"/>
    <w:rsid w:val="08736595"/>
    <w:rsid w:val="0A821835"/>
    <w:rsid w:val="113061F0"/>
    <w:rsid w:val="1170063A"/>
    <w:rsid w:val="15EC04AB"/>
    <w:rsid w:val="16D16A29"/>
    <w:rsid w:val="171425CE"/>
    <w:rsid w:val="17BEA0DD"/>
    <w:rsid w:val="1B2418A5"/>
    <w:rsid w:val="1BC2741A"/>
    <w:rsid w:val="1BD0352B"/>
    <w:rsid w:val="1CFC5477"/>
    <w:rsid w:val="1E62755C"/>
    <w:rsid w:val="1F792DAF"/>
    <w:rsid w:val="1FBFC074"/>
    <w:rsid w:val="20052895"/>
    <w:rsid w:val="2124626D"/>
    <w:rsid w:val="216F3773"/>
    <w:rsid w:val="21C978F2"/>
    <w:rsid w:val="222039B6"/>
    <w:rsid w:val="238002CA"/>
    <w:rsid w:val="23CF84A7"/>
    <w:rsid w:val="243C5FC4"/>
    <w:rsid w:val="24A51334"/>
    <w:rsid w:val="276C31F9"/>
    <w:rsid w:val="286A2CF1"/>
    <w:rsid w:val="2B4F2FD9"/>
    <w:rsid w:val="2BD72CB0"/>
    <w:rsid w:val="2E2A7E01"/>
    <w:rsid w:val="325F51E4"/>
    <w:rsid w:val="33134E71"/>
    <w:rsid w:val="35D408E8"/>
    <w:rsid w:val="36357A85"/>
    <w:rsid w:val="36FB9E1F"/>
    <w:rsid w:val="373828C3"/>
    <w:rsid w:val="38C906C9"/>
    <w:rsid w:val="390239BE"/>
    <w:rsid w:val="39C603EA"/>
    <w:rsid w:val="3B44206B"/>
    <w:rsid w:val="3BFA3B96"/>
    <w:rsid w:val="3CEF3472"/>
    <w:rsid w:val="3D6A7D83"/>
    <w:rsid w:val="3D9C6FA1"/>
    <w:rsid w:val="3EE46F4D"/>
    <w:rsid w:val="3EFF16E9"/>
    <w:rsid w:val="3F012022"/>
    <w:rsid w:val="3F5D4F73"/>
    <w:rsid w:val="3F940342"/>
    <w:rsid w:val="40B34653"/>
    <w:rsid w:val="40DE6ABE"/>
    <w:rsid w:val="44C966C9"/>
    <w:rsid w:val="44FF1445"/>
    <w:rsid w:val="4509768C"/>
    <w:rsid w:val="49837298"/>
    <w:rsid w:val="49F34163"/>
    <w:rsid w:val="4A914BA1"/>
    <w:rsid w:val="4AB16FF2"/>
    <w:rsid w:val="4BC1730B"/>
    <w:rsid w:val="4CF95C35"/>
    <w:rsid w:val="51C23892"/>
    <w:rsid w:val="51EE4E78"/>
    <w:rsid w:val="526E0845"/>
    <w:rsid w:val="535D7D17"/>
    <w:rsid w:val="53ED85E1"/>
    <w:rsid w:val="557F5067"/>
    <w:rsid w:val="55F52488"/>
    <w:rsid w:val="579953C3"/>
    <w:rsid w:val="59633FBC"/>
    <w:rsid w:val="5991071A"/>
    <w:rsid w:val="5AFDE010"/>
    <w:rsid w:val="5BFF6198"/>
    <w:rsid w:val="5D761BF8"/>
    <w:rsid w:val="5D97229B"/>
    <w:rsid w:val="5DC2067E"/>
    <w:rsid w:val="60A8066B"/>
    <w:rsid w:val="60F17CF0"/>
    <w:rsid w:val="6109328C"/>
    <w:rsid w:val="61E63D36"/>
    <w:rsid w:val="61FC5507"/>
    <w:rsid w:val="631101D6"/>
    <w:rsid w:val="65C91FF0"/>
    <w:rsid w:val="65DE652D"/>
    <w:rsid w:val="661F7539"/>
    <w:rsid w:val="66AD93E8"/>
    <w:rsid w:val="671F01BE"/>
    <w:rsid w:val="6A5916A5"/>
    <w:rsid w:val="6AFC79BD"/>
    <w:rsid w:val="6D4E79E3"/>
    <w:rsid w:val="6D6F6C53"/>
    <w:rsid w:val="6DE91F83"/>
    <w:rsid w:val="6E3E574B"/>
    <w:rsid w:val="6E6A227C"/>
    <w:rsid w:val="6E7F8D91"/>
    <w:rsid w:val="6FDDA084"/>
    <w:rsid w:val="6FEF389B"/>
    <w:rsid w:val="704C034C"/>
    <w:rsid w:val="708537E2"/>
    <w:rsid w:val="709D12FB"/>
    <w:rsid w:val="70F65EFA"/>
    <w:rsid w:val="71296ECD"/>
    <w:rsid w:val="7204624A"/>
    <w:rsid w:val="729B6BA2"/>
    <w:rsid w:val="73734C00"/>
    <w:rsid w:val="73F67ACD"/>
    <w:rsid w:val="74547E66"/>
    <w:rsid w:val="74687728"/>
    <w:rsid w:val="76896ED7"/>
    <w:rsid w:val="76CF41D8"/>
    <w:rsid w:val="77AF04BD"/>
    <w:rsid w:val="77CF73AC"/>
    <w:rsid w:val="77E741A7"/>
    <w:rsid w:val="78FF0116"/>
    <w:rsid w:val="793A02E7"/>
    <w:rsid w:val="79715686"/>
    <w:rsid w:val="7AC67532"/>
    <w:rsid w:val="7AE73808"/>
    <w:rsid w:val="7E0048C7"/>
    <w:rsid w:val="7FBD464C"/>
    <w:rsid w:val="B7BC8671"/>
    <w:rsid w:val="B7DDD54D"/>
    <w:rsid w:val="C565FD82"/>
    <w:rsid w:val="DBBE3E11"/>
    <w:rsid w:val="DD7F7BB0"/>
    <w:rsid w:val="E36EB4A8"/>
    <w:rsid w:val="E3FFE6ED"/>
    <w:rsid w:val="EEF5929A"/>
    <w:rsid w:val="F5DB8A63"/>
    <w:rsid w:val="F797912E"/>
    <w:rsid w:val="F7F7966D"/>
    <w:rsid w:val="F7FFEDD3"/>
    <w:rsid w:val="FBFF9A05"/>
    <w:rsid w:val="FDBFC161"/>
    <w:rsid w:val="FE7B4896"/>
    <w:rsid w:val="FFB74F5B"/>
    <w:rsid w:val="FFF763D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paragraph" w:customStyle="1" w:styleId="9">
    <w:name w:val="_Style 6"/>
    <w:basedOn w:val="1"/>
    <w:qFormat/>
    <w:uiPriority w:val="34"/>
    <w:pPr>
      <w:ind w:firstLine="420" w:firstLineChars="200"/>
    </w:pPr>
    <w:rPr>
      <w:rFonts w:ascii="Calibri" w:hAnsi="Calibri" w:eastAsia="宋体" w:cs="Times New Roman"/>
      <w:szCs w:val="22"/>
    </w:rPr>
  </w:style>
  <w:style w:type="paragraph" w:customStyle="1" w:styleId="10">
    <w:name w:val="Char Char Char"/>
    <w:basedOn w:val="1"/>
    <w:qFormat/>
    <w:uiPriority w:val="0"/>
    <w:rPr>
      <w:szCs w:val="21"/>
    </w:rPr>
  </w:style>
  <w:style w:type="paragraph" w:customStyle="1" w:styleId="11">
    <w:name w:val="Char Char Char Char Char Char Char Char Char Char Char Char Char Char Char Char"/>
    <w:basedOn w:val="1"/>
    <w:qFormat/>
    <w:uiPriority w:val="0"/>
  </w:style>
  <w:style w:type="paragraph" w:customStyle="1" w:styleId="12">
    <w:name w:val=" Char Char Char"/>
    <w:basedOn w:val="1"/>
    <w:qFormat/>
    <w:uiPriority w:val="0"/>
  </w:style>
  <w:style w:type="character" w:customStyle="1" w:styleId="13">
    <w:name w:val="页脚 Char"/>
    <w:basedOn w:val="7"/>
    <w:link w:val="3"/>
    <w:qFormat/>
    <w:uiPriority w:val="0"/>
    <w:rPr>
      <w:kern w:val="2"/>
      <w:sz w:val="18"/>
      <w:szCs w:val="18"/>
    </w:rPr>
  </w:style>
  <w:style w:type="character" w:customStyle="1" w:styleId="14">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2</Pages>
  <Words>1191</Words>
  <Characters>1248</Characters>
  <Lines>60</Lines>
  <Paragraphs>17</Paragraphs>
  <TotalTime>33</TotalTime>
  <ScaleCrop>false</ScaleCrop>
  <LinksUpToDate>false</LinksUpToDate>
  <CharactersWithSpaces>1378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2012-09-11T00:59:00Z</dcterms:created>
  <dc:creator>微软用户</dc:creator>
  <cp:lastModifiedBy>胡秋林</cp:lastModifiedBy>
  <cp:lastPrinted>2014-02-22T21:34:00Z</cp:lastPrinted>
  <dcterms:modified xsi:type="dcterms:W3CDTF">2026-01-22T07:50:14Z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48896C3FF6284B9EB6927635A8BD4A42_13</vt:lpwstr>
  </property>
  <property fmtid="{D5CDD505-2E9C-101B-9397-08002B2CF9AE}" pid="4" name="KSOTemplateDocerSaveRecord">
    <vt:lpwstr>eyJoZGlkIjoiYzdhMDFlNjNmZGZlMGE2MTc3MmNkYjVlYmJkMDE4ZTIiLCJ1c2VySWQiOiIxNTY4NDczNDA5In0=</vt:lpwstr>
  </property>
</Properties>
</file>