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906D" w14:textId="4B352DEC" w:rsidR="00361588" w:rsidRPr="00FB1A1D" w:rsidRDefault="00000000">
      <w:pPr>
        <w:rPr>
          <w:rFonts w:asciiTheme="minorEastAsia" w:hAnsiTheme="minorEastAsia" w:hint="eastAsia"/>
          <w:b/>
          <w:iCs/>
          <w:color w:val="000000"/>
          <w:sz w:val="24"/>
        </w:rPr>
      </w:pPr>
      <w:r w:rsidRPr="00FB1A1D">
        <w:rPr>
          <w:rFonts w:asciiTheme="minorEastAsia" w:hAnsiTheme="minorEastAsia"/>
          <w:b/>
          <w:iCs/>
          <w:color w:val="000000"/>
          <w:sz w:val="24"/>
        </w:rPr>
        <w:t>证券代码：</w:t>
      </w:r>
      <w:r w:rsidR="00182631">
        <w:rPr>
          <w:rFonts w:asciiTheme="minorEastAsia" w:hAnsiTheme="minorEastAsia" w:hint="eastAsia"/>
          <w:b/>
          <w:iCs/>
          <w:color w:val="000000"/>
          <w:sz w:val="24"/>
        </w:rPr>
        <w:t>603402</w:t>
      </w:r>
      <w:r w:rsidRPr="00FB1A1D">
        <w:rPr>
          <w:rFonts w:asciiTheme="minorEastAsia" w:hAnsiTheme="minorEastAsia"/>
          <w:b/>
          <w:iCs/>
          <w:color w:val="000000"/>
          <w:sz w:val="24"/>
        </w:rPr>
        <w:t xml:space="preserve">        证券简称：</w:t>
      </w:r>
      <w:r w:rsidR="00FB1A1D" w:rsidRPr="00FB1A1D">
        <w:rPr>
          <w:rFonts w:asciiTheme="minorEastAsia" w:hAnsiTheme="minorEastAsia" w:hint="eastAsia"/>
          <w:b/>
          <w:iCs/>
          <w:color w:val="000000"/>
          <w:sz w:val="24"/>
        </w:rPr>
        <w:t>陕西旅游        编号：2026-IR-001</w:t>
      </w:r>
    </w:p>
    <w:p w14:paraId="2B1341E3" w14:textId="77777777" w:rsidR="00FB1A1D" w:rsidRDefault="00FB1A1D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77C3D5CA" w14:textId="77777777" w:rsidR="00FB1A1D" w:rsidRPr="00182631" w:rsidRDefault="00FB1A1D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0AAF6A28" w14:textId="77777777" w:rsidR="00F83311" w:rsidRDefault="00FB1A1D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 w:rsidRPr="00F83311">
        <w:rPr>
          <w:rFonts w:ascii="宋体" w:hAnsi="宋体" w:hint="eastAsia"/>
          <w:b/>
          <w:bCs/>
          <w:iCs/>
          <w:color w:val="000000"/>
          <w:sz w:val="30"/>
          <w:szCs w:val="30"/>
        </w:rPr>
        <w:t>陕西旅游文化产业股份有限公司</w:t>
      </w:r>
    </w:p>
    <w:p w14:paraId="51518ED2" w14:textId="0688380F" w:rsidR="00361588" w:rsidRDefault="00000000" w:rsidP="00F83311">
      <w:pPr>
        <w:ind w:firstLine="482"/>
        <w:jc w:val="center"/>
        <w:rPr>
          <w:rFonts w:ascii="宋体" w:hAnsi="宋体" w:hint="eastAsia"/>
          <w:bCs/>
          <w:iCs/>
          <w:color w:val="000000"/>
          <w:sz w:val="24"/>
        </w:rPr>
      </w:pPr>
      <w:r w:rsidRPr="00F83311"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361588" w14:paraId="70C78C0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796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4C183D0C" w14:textId="77777777" w:rsidR="00361588" w:rsidRDefault="00361588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B66" w14:textId="35104DB2" w:rsidR="00361588" w:rsidRDefault="00FB1A1D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4E92DD74" w14:textId="77777777" w:rsidR="00361588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7B764211" w14:textId="77777777" w:rsidR="00361588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0AA9A812" w14:textId="563AF9A3" w:rsidR="00361588" w:rsidRDefault="00FB1A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03BCBB5E" w14:textId="0D968676" w:rsidR="00361588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361588" w14:paraId="07EB672A" w14:textId="77777777" w:rsidTr="00FB1A1D">
        <w:trPr>
          <w:trHeight w:val="152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073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A9E" w14:textId="0BFE3F2B" w:rsidR="00BB23AB" w:rsidRDefault="00BB23AB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中金公司  林思婕、</w:t>
            </w:r>
            <w:r w:rsidRPr="00BB23AB">
              <w:rPr>
                <w:rFonts w:ascii="宋体" w:hAnsi="宋体"/>
                <w:bCs/>
                <w:iCs/>
                <w:color w:val="000000"/>
                <w:sz w:val="24"/>
              </w:rPr>
              <w:t>赖晟炜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、吕思怡</w:t>
            </w:r>
          </w:p>
          <w:p w14:paraId="052EED31" w14:textId="2AEB89EE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博时基金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姚爽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付伟</w:t>
            </w:r>
          </w:p>
          <w:p w14:paraId="20C29A1E" w14:textId="77777777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鹏华基金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陈金伟</w:t>
            </w:r>
          </w:p>
          <w:p w14:paraId="7144C1D1" w14:textId="73F5336C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交银施罗德基金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陈均峰</w:t>
            </w:r>
          </w:p>
          <w:p w14:paraId="466A4908" w14:textId="77777777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proofErr w:type="gramStart"/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汇添富基金</w:t>
            </w:r>
            <w:proofErr w:type="gramEnd"/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方心</w:t>
            </w:r>
            <w:proofErr w:type="gramStart"/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诣</w:t>
            </w:r>
            <w:proofErr w:type="gramEnd"/>
          </w:p>
          <w:p w14:paraId="3F5B276D" w14:textId="6642A94D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银华基金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薛泽岚</w:t>
            </w:r>
          </w:p>
          <w:p w14:paraId="0D7133BD" w14:textId="3C6AC3F2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胡运昶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骆梓</w:t>
            </w:r>
            <w:proofErr w:type="gramStart"/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纤</w:t>
            </w:r>
            <w:proofErr w:type="gramEnd"/>
          </w:p>
          <w:p w14:paraId="6228BC85" w14:textId="45C7EBAC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中信</w:t>
            </w:r>
            <w:proofErr w:type="gramStart"/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建投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陈泽文</w:t>
            </w:r>
          </w:p>
          <w:p w14:paraId="1C702888" w14:textId="77777777" w:rsidR="00BB23AB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中</w:t>
            </w:r>
            <w:proofErr w:type="gramStart"/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邮创业</w:t>
            </w:r>
            <w:proofErr w:type="gramEnd"/>
            <w:r w:rsidRPr="00DA49DC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BB23AB" w:rsidRPr="00BB23AB">
              <w:rPr>
                <w:rFonts w:ascii="宋体" w:hAnsi="宋体"/>
                <w:bCs/>
                <w:iCs/>
                <w:color w:val="000000"/>
                <w:sz w:val="24"/>
              </w:rPr>
              <w:t>王梦雪</w:t>
            </w:r>
          </w:p>
          <w:p w14:paraId="5E01E204" w14:textId="113ED7BD" w:rsidR="00FB1A1D" w:rsidRDefault="00DA49DC" w:rsidP="00BB23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广发证券分析师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包晗</w:t>
            </w:r>
          </w:p>
        </w:tc>
      </w:tr>
      <w:tr w:rsidR="00361588" w14:paraId="061C1B14" w14:textId="77777777" w:rsidTr="00F83311">
        <w:trPr>
          <w:trHeight w:val="43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548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C42" w14:textId="1F3918B2" w:rsidR="00361588" w:rsidRDefault="00FB1A1D" w:rsidP="00AD2AC8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2026年1月20日</w:t>
            </w:r>
          </w:p>
        </w:tc>
      </w:tr>
      <w:tr w:rsidR="00361588" w14:paraId="00A2A328" w14:textId="77777777" w:rsidTr="00F83311">
        <w:trPr>
          <w:trHeight w:val="55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35B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422" w14:textId="0822CBB8" w:rsidR="00361588" w:rsidRDefault="00FB1A1D" w:rsidP="00AD2AC8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61588" w14:paraId="0D22F0B0" w14:textId="77777777" w:rsidTr="002121B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60D9" w14:textId="77777777" w:rsidR="00361588" w:rsidRDefault="00000000" w:rsidP="002121B6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3BA" w14:textId="77777777" w:rsidR="00BB23AB" w:rsidRDefault="00DA49DC" w:rsidP="00A56236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马婷</w:t>
            </w:r>
          </w:p>
          <w:p w14:paraId="5CEA7AC1" w14:textId="77777777" w:rsidR="00BB23AB" w:rsidRDefault="00DA49DC" w:rsidP="00A56236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财务负责人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吴涛</w:t>
            </w:r>
          </w:p>
          <w:p w14:paraId="267C4AF3" w14:textId="77777777" w:rsidR="00BB23AB" w:rsidRDefault="00DA49DC" w:rsidP="00A56236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罗娜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</w:p>
          <w:p w14:paraId="5565F61E" w14:textId="6EAAB8B1" w:rsidR="00FB1A1D" w:rsidRDefault="00DA49DC" w:rsidP="00A56236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证券事务部工作人员</w:t>
            </w:r>
          </w:p>
        </w:tc>
      </w:tr>
      <w:tr w:rsidR="00361588" w14:paraId="12B050DC" w14:textId="77777777">
        <w:trPr>
          <w:trHeight w:val="254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750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投资者关系活动主要内容介绍</w:t>
            </w:r>
          </w:p>
          <w:p w14:paraId="5FE573C5" w14:textId="77777777" w:rsidR="00361588" w:rsidRDefault="00361588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A46" w14:textId="75F5FFA9" w:rsidR="00361588" w:rsidRPr="002B28DC" w:rsidRDefault="00A56236" w:rsidP="00A56236">
            <w:pPr>
              <w:spacing w:line="276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1、《</w:t>
            </w:r>
            <w:r w:rsidRPr="002B28DC">
              <w:rPr>
                <w:rFonts w:ascii="宋体" w:hAnsi="宋体"/>
                <w:b/>
                <w:iCs/>
                <w:color w:val="000000"/>
                <w:sz w:val="24"/>
              </w:rPr>
              <w:t>长恨歌</w:t>
            </w:r>
            <w:r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》</w:t>
            </w:r>
            <w:r w:rsidRPr="002B28DC">
              <w:rPr>
                <w:rFonts w:ascii="宋体" w:hAnsi="宋体"/>
                <w:b/>
                <w:iCs/>
                <w:color w:val="000000"/>
                <w:sz w:val="24"/>
              </w:rPr>
              <w:t>后续增量空间</w:t>
            </w:r>
            <w:r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如何？</w:t>
            </w:r>
          </w:p>
          <w:p w14:paraId="7927054A" w14:textId="0224A7AE" w:rsidR="00FB1A1D" w:rsidRDefault="00A56236" w:rsidP="00A56236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A56236">
              <w:rPr>
                <w:rFonts w:ascii="宋体" w:hAnsi="宋体"/>
                <w:bCs/>
                <w:iCs/>
                <w:color w:val="000000"/>
                <w:sz w:val="24"/>
              </w:rPr>
              <w:t>《长恨歌》自</w:t>
            </w:r>
            <w:r w:rsidR="009A3FFA">
              <w:rPr>
                <w:rFonts w:ascii="宋体" w:hAnsi="宋体" w:hint="eastAsia"/>
                <w:bCs/>
                <w:iCs/>
                <w:color w:val="000000"/>
                <w:sz w:val="24"/>
              </w:rPr>
              <w:t>2007年</w:t>
            </w:r>
            <w:r w:rsidRPr="00A56236">
              <w:rPr>
                <w:rFonts w:ascii="宋体" w:hAnsi="宋体"/>
                <w:bCs/>
                <w:iCs/>
                <w:color w:val="000000"/>
                <w:sz w:val="24"/>
              </w:rPr>
              <w:t>推出市场以来，已稳健运营超 18 年，逐步形成了突出的品牌知名度和市场影响力，进入了稳定发展的良性循环阶段，持续贡献稳定的经营业绩，展现出良好的业绩韧性与增长潜力。</w:t>
            </w:r>
          </w:p>
          <w:p w14:paraId="77C99D52" w14:textId="3F485793" w:rsidR="00A56236" w:rsidRDefault="00320889" w:rsidP="00A56236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未来公司将继续</w:t>
            </w:r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做</w:t>
            </w:r>
            <w:proofErr w:type="gramStart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强核心</w:t>
            </w:r>
            <w:proofErr w:type="gramEnd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产品，进一步释放品牌势能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持续优化《长恨歌》与冰火《长恨歌》的演出质量和观演体验，</w:t>
            </w:r>
            <w:proofErr w:type="gramStart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对服化道</w:t>
            </w:r>
            <w:proofErr w:type="gramEnd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、舞美、灯光音响等实施常态化升级迭代，保持演出“常演常新”，确保艺术水准始终处于行业前列；同时，推进数字化舞美和沉浸式特效的应用，强化视觉体验和艺术感染力。演出机制方面，在暑期、</w:t>
            </w:r>
            <w:proofErr w:type="gramStart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黄金周</w:t>
            </w:r>
            <w:proofErr w:type="gramEnd"/>
            <w:r w:rsidR="00A56236" w:rsidRPr="00A56236">
              <w:rPr>
                <w:rFonts w:ascii="宋体" w:hAnsi="宋体" w:hint="eastAsia"/>
                <w:bCs/>
                <w:iCs/>
                <w:color w:val="000000"/>
                <w:sz w:val="24"/>
              </w:rPr>
              <w:t>等高峰时段实施灵活弹性演出排期，确保接待能力与市场需求相匹配，进一步提高上座率和人均消费水平，强化品牌效应、扩大市场份额。</w:t>
            </w:r>
          </w:p>
          <w:p w14:paraId="0DD4088A" w14:textId="77777777" w:rsidR="00FB1A1D" w:rsidRDefault="00FB1A1D" w:rsidP="00A56236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5EE594A" w14:textId="22B9A485" w:rsidR="006D6044" w:rsidRPr="002B28DC" w:rsidRDefault="00BB23AB" w:rsidP="00AB4A70">
            <w:pPr>
              <w:spacing w:line="276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2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、公司</w:t>
            </w:r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本次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 xml:space="preserve">IPO </w:t>
            </w:r>
            <w:proofErr w:type="gramStart"/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募投项目</w:t>
            </w:r>
            <w:proofErr w:type="gramEnd"/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相比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上次</w:t>
            </w:r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增加了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太华索道股权收购</w:t>
            </w:r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瑶光阁股权收购</w:t>
            </w:r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和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奥吉沟索道收购，</w:t>
            </w:r>
            <w:r w:rsidR="00320889">
              <w:rPr>
                <w:rFonts w:ascii="宋体" w:hAnsi="宋体" w:hint="eastAsia"/>
                <w:b/>
                <w:iCs/>
                <w:color w:val="000000"/>
                <w:sz w:val="24"/>
              </w:rPr>
              <w:t>是出于什么原因</w:t>
            </w:r>
            <w:r w:rsidR="006D6044" w:rsidRPr="002B28DC">
              <w:rPr>
                <w:rFonts w:ascii="宋体" w:hAnsi="宋体" w:hint="eastAsia"/>
                <w:b/>
                <w:iCs/>
                <w:color w:val="000000"/>
                <w:sz w:val="24"/>
              </w:rPr>
              <w:t>?</w:t>
            </w:r>
          </w:p>
          <w:p w14:paraId="168794DC" w14:textId="1D1DDF11" w:rsidR="006D6044" w:rsidRPr="00365E91" w:rsidRDefault="00AB4A70" w:rsidP="00AB4A70">
            <w:pPr>
              <w:spacing w:after="160" w:line="278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65E91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本次IPO筹备过程中，公司与</w:t>
            </w:r>
            <w:r w:rsidRPr="00365E91">
              <w:rPr>
                <w:rFonts w:ascii="宋体" w:hAnsi="宋体" w:hint="eastAsia"/>
                <w:bCs/>
                <w:iCs/>
                <w:color w:val="000000"/>
                <w:sz w:val="24"/>
              </w:rPr>
              <w:t>太华索道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及瑶光</w:t>
            </w:r>
            <w:proofErr w:type="gramStart"/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阁公司</w:t>
            </w:r>
            <w:proofErr w:type="gramEnd"/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的少数股东就其股权转让进行了多轮沟通，</w:t>
            </w:r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最终</w:t>
            </w:r>
            <w:r w:rsidR="00BB23AB">
              <w:rPr>
                <w:rFonts w:ascii="宋体" w:hAnsi="宋体" w:hint="eastAsia"/>
                <w:bCs/>
                <w:iCs/>
                <w:color w:val="000000"/>
                <w:sz w:val="24"/>
              </w:rPr>
              <w:t>达成了收购意向，</w:t>
            </w:r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具备了收购可行性。</w:t>
            </w:r>
            <w:r w:rsidR="009A3FFA">
              <w:rPr>
                <w:rFonts w:ascii="宋体" w:hAnsi="宋体" w:hint="eastAsia"/>
                <w:bCs/>
                <w:iCs/>
                <w:color w:val="000000"/>
                <w:sz w:val="24"/>
              </w:rPr>
              <w:t>此外，</w:t>
            </w:r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公司投入建设了少华山南线索道，</w:t>
            </w:r>
            <w:proofErr w:type="gramStart"/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收购少</w:t>
            </w:r>
            <w:proofErr w:type="gramEnd"/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华山奥吉沟</w:t>
            </w:r>
            <w:r w:rsidR="009B1550" w:rsidRPr="009B1550">
              <w:rPr>
                <w:rFonts w:ascii="宋体" w:hAnsi="宋体"/>
                <w:bCs/>
                <w:iCs/>
                <w:color w:val="000000"/>
                <w:sz w:val="24"/>
              </w:rPr>
              <w:t>索道资产组后，可以更好地掌</w:t>
            </w:r>
            <w:proofErr w:type="gramStart"/>
            <w:r w:rsidR="009B1550" w:rsidRPr="009B1550">
              <w:rPr>
                <w:rFonts w:ascii="宋体" w:hAnsi="宋体"/>
                <w:bCs/>
                <w:iCs/>
                <w:color w:val="000000"/>
                <w:sz w:val="24"/>
              </w:rPr>
              <w:t>控游客</w:t>
            </w:r>
            <w:proofErr w:type="gramEnd"/>
            <w:r w:rsidR="009B1550" w:rsidRPr="009B1550">
              <w:rPr>
                <w:rFonts w:ascii="宋体" w:hAnsi="宋体"/>
                <w:bCs/>
                <w:iCs/>
                <w:color w:val="000000"/>
                <w:sz w:val="24"/>
              </w:rPr>
              <w:t>的流动情况，根据游客的需求和分布情况进行合理的资源配置和调度。同时，还能将其纳入自身的运营体系，通过索道连接景区内的各个景点，与其他旅游资源和业务进行深度整合</w:t>
            </w:r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，为游客提供</w:t>
            </w:r>
            <w:r w:rsidR="009B1550" w:rsidRPr="009B1550">
              <w:rPr>
                <w:rFonts w:ascii="宋体" w:hAnsi="宋体"/>
                <w:bCs/>
                <w:iCs/>
                <w:color w:val="000000"/>
                <w:sz w:val="24"/>
              </w:rPr>
              <w:t>一站式的旅游服务，形成更加完整的旅游产业链。</w:t>
            </w:r>
          </w:p>
          <w:p w14:paraId="587A6E16" w14:textId="37045F40" w:rsidR="0092696D" w:rsidRPr="00241EE2" w:rsidRDefault="009A3FFA" w:rsidP="0092696D">
            <w:pPr>
              <w:spacing w:after="160" w:line="278" w:lineRule="auto"/>
            </w:pPr>
            <w:r>
              <w:rPr>
                <w:rFonts w:asciiTheme="minorEastAsia" w:hAnsiTheme="minorEastAsia" w:hint="eastAsia"/>
                <w:b/>
                <w:bCs/>
                <w:iCs/>
                <w:color w:val="000000"/>
              </w:rPr>
              <w:t>3</w:t>
            </w:r>
            <w:r w:rsidR="00365E91" w:rsidRPr="00312C18">
              <w:rPr>
                <w:rFonts w:asciiTheme="minorEastAsia" w:hAnsiTheme="minorEastAsia" w:hint="eastAsia"/>
                <w:b/>
                <w:bCs/>
                <w:iCs/>
                <w:color w:val="000000"/>
                <w:sz w:val="24"/>
              </w:rPr>
              <w:t>、</w:t>
            </w:r>
            <w:r w:rsidR="009B1550">
              <w:rPr>
                <w:rFonts w:asciiTheme="minorEastAsia" w:hAnsiTheme="minorEastAsia" w:hint="eastAsia"/>
                <w:b/>
                <w:bCs/>
                <w:iCs/>
                <w:color w:val="000000"/>
                <w:sz w:val="24"/>
              </w:rPr>
              <w:t>在</w:t>
            </w:r>
            <w:r w:rsidR="002B28DC" w:rsidRPr="002B28DC">
              <w:rPr>
                <w:rFonts w:hint="eastAsia"/>
                <w:b/>
                <w:bCs/>
                <w:sz w:val="24"/>
                <w:szCs w:val="32"/>
              </w:rPr>
              <w:t>泰</w:t>
            </w:r>
            <w:r>
              <w:rPr>
                <w:rFonts w:hint="eastAsia"/>
                <w:b/>
                <w:bCs/>
                <w:sz w:val="24"/>
                <w:szCs w:val="32"/>
              </w:rPr>
              <w:t>山秀城</w:t>
            </w:r>
            <w:r w:rsidR="002B28DC" w:rsidRPr="002B28DC">
              <w:rPr>
                <w:rFonts w:hint="eastAsia"/>
                <w:b/>
                <w:bCs/>
                <w:sz w:val="24"/>
                <w:szCs w:val="32"/>
              </w:rPr>
              <w:t>一期</w:t>
            </w:r>
            <w:r w:rsidR="009B1550">
              <w:rPr>
                <w:rFonts w:hint="eastAsia"/>
                <w:b/>
                <w:bCs/>
                <w:sz w:val="24"/>
                <w:szCs w:val="32"/>
              </w:rPr>
              <w:t>的基础上</w:t>
            </w:r>
            <w:r w:rsidR="002B28DC" w:rsidRPr="002B28DC">
              <w:rPr>
                <w:rFonts w:hint="eastAsia"/>
                <w:b/>
                <w:bCs/>
                <w:sz w:val="24"/>
                <w:szCs w:val="32"/>
              </w:rPr>
              <w:t>，公司打算</w:t>
            </w:r>
            <w:r>
              <w:rPr>
                <w:rFonts w:hint="eastAsia"/>
                <w:b/>
                <w:bCs/>
                <w:sz w:val="24"/>
                <w:szCs w:val="32"/>
              </w:rPr>
              <w:t>如何</w:t>
            </w:r>
            <w:r w:rsidR="00365E91" w:rsidRPr="002B28DC">
              <w:rPr>
                <w:rFonts w:asciiTheme="minorEastAsia" w:hAnsiTheme="minorEastAsia" w:hint="eastAsia"/>
                <w:b/>
                <w:bCs/>
                <w:iCs/>
                <w:color w:val="000000"/>
                <w:sz w:val="24"/>
              </w:rPr>
              <w:t>运营泰山秀城二期？</w:t>
            </w:r>
            <w:r w:rsidR="0092696D">
              <w:rPr>
                <w:rFonts w:ascii="宋体" w:hAnsi="宋体" w:hint="eastAsia"/>
                <w:b/>
                <w:iCs/>
                <w:color w:val="000000"/>
                <w:sz w:val="24"/>
              </w:rPr>
              <w:t>对泰山秀城的这种重资产大规模投资未来展望是怎样的？</w:t>
            </w:r>
            <w:r w:rsidR="0092696D" w:rsidRPr="00241EE2">
              <w:t xml:space="preserve"> </w:t>
            </w:r>
          </w:p>
          <w:p w14:paraId="5637299C" w14:textId="5CAF8162" w:rsidR="00FB1A1D" w:rsidRDefault="00312C18" w:rsidP="009A3FFA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BB2EAC">
              <w:rPr>
                <w:rFonts w:ascii="宋体" w:hAnsi="宋体" w:hint="eastAsia"/>
                <w:bCs/>
                <w:iCs/>
                <w:color w:val="000000"/>
                <w:sz w:val="24"/>
              </w:rPr>
              <w:t>未来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BB2EAC">
              <w:rPr>
                <w:rFonts w:ascii="宋体" w:hAnsi="宋体" w:hint="eastAsia"/>
                <w:bCs/>
                <w:iCs/>
                <w:color w:val="000000"/>
                <w:sz w:val="24"/>
              </w:rPr>
              <w:t>将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在泰山</w:t>
            </w:r>
            <w:r w:rsidR="0092696D" w:rsidRPr="00AB3E08">
              <w:rPr>
                <w:rFonts w:ascii="宋体" w:hAnsi="宋体" w:hint="eastAsia"/>
                <w:bCs/>
                <w:iCs/>
                <w:color w:val="000000"/>
                <w:sz w:val="24"/>
              </w:rPr>
              <w:t>秀城二期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计划</w:t>
            </w:r>
            <w:r w:rsidR="0092696D" w:rsidRPr="00AB3E08">
              <w:rPr>
                <w:rFonts w:ascii="宋体" w:hAnsi="宋体" w:hint="eastAsia"/>
                <w:bCs/>
                <w:iCs/>
                <w:color w:val="000000"/>
                <w:sz w:val="24"/>
              </w:rPr>
              <w:t>投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资</w:t>
            </w:r>
            <w:r w:rsidR="0092696D" w:rsidRPr="00AB3E08">
              <w:rPr>
                <w:rFonts w:ascii="宋体" w:hAnsi="宋体" w:hint="eastAsia"/>
                <w:bCs/>
                <w:iCs/>
                <w:color w:val="000000"/>
                <w:sz w:val="24"/>
              </w:rPr>
              <w:t>四台演出，</w:t>
            </w:r>
            <w:r w:rsidR="0092696D" w:rsidRP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作为</w:t>
            </w:r>
            <w:proofErr w:type="gramStart"/>
            <w:r w:rsidR="00BB2EAC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募投项目</w:t>
            </w:r>
            <w:proofErr w:type="gramEnd"/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</w:t>
            </w:r>
            <w:r w:rsidR="00BB2EAC">
              <w:rPr>
                <w:rFonts w:ascii="宋体" w:hAnsi="宋体" w:hint="eastAsia"/>
                <w:bCs/>
                <w:iCs/>
                <w:color w:val="000000"/>
                <w:sz w:val="24"/>
              </w:rPr>
              <w:t>在决策时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充分考虑了项目</w:t>
            </w:r>
            <w:r w:rsidR="0092696D" w:rsidRPr="00AB3E08">
              <w:rPr>
                <w:rFonts w:ascii="宋体" w:hAnsi="宋体" w:hint="eastAsia"/>
                <w:bCs/>
                <w:iCs/>
                <w:color w:val="000000"/>
                <w:sz w:val="24"/>
              </w:rPr>
              <w:t>的收益率和净资产回报率</w:t>
            </w:r>
            <w:r w:rsidR="0092696D">
              <w:rPr>
                <w:rFonts w:ascii="宋体" w:hAnsi="宋体" w:hint="eastAsia"/>
                <w:bCs/>
                <w:iCs/>
                <w:color w:val="000000"/>
                <w:sz w:val="24"/>
              </w:rPr>
              <w:t>。公司计划</w:t>
            </w:r>
            <w:r w:rsidRPr="00312C18">
              <w:rPr>
                <w:rFonts w:ascii="宋体" w:hAnsi="宋体" w:hint="eastAsia"/>
                <w:bCs/>
                <w:iCs/>
                <w:color w:val="000000"/>
                <w:sz w:val="24"/>
              </w:rPr>
              <w:t>通过底蕴深厚、特色鲜明、涵</w:t>
            </w:r>
            <w:proofErr w:type="gramStart"/>
            <w:r w:rsidRPr="00312C18">
              <w:rPr>
                <w:rFonts w:ascii="宋体" w:hAnsi="宋体" w:hint="eastAsia"/>
                <w:bCs/>
                <w:iCs/>
                <w:color w:val="000000"/>
                <w:sz w:val="24"/>
              </w:rPr>
              <w:t>育人心</w:t>
            </w:r>
            <w:proofErr w:type="gramEnd"/>
            <w:r w:rsidRPr="00312C18">
              <w:rPr>
                <w:rFonts w:ascii="宋体" w:hAnsi="宋体" w:hint="eastAsia"/>
                <w:bCs/>
                <w:iCs/>
                <w:color w:val="000000"/>
                <w:sz w:val="24"/>
              </w:rPr>
              <w:t>的文化演艺作品，将泰安当地极具历史特色、教育意义深厚的故事以更加生动的形式进行呈现</w:t>
            </w:r>
            <w:r w:rsidR="00BB2EAC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Pr="00312C18">
              <w:rPr>
                <w:rFonts w:ascii="宋体" w:hAnsi="宋体" w:hint="eastAsia"/>
                <w:bCs/>
                <w:iCs/>
                <w:color w:val="000000"/>
                <w:sz w:val="24"/>
              </w:rPr>
              <w:t>泰山秀城（二期）项目建成后，</w:t>
            </w:r>
            <w:r w:rsidRPr="00EB4AA5">
              <w:rPr>
                <w:rFonts w:hint="eastAsia"/>
                <w:sz w:val="24"/>
                <w:szCs w:val="32"/>
              </w:rPr>
              <w:t>将与现有一期的《泰山烽火》项目共同构成“泰山秀城演艺集群”，通过提供更多样、更丰富的演艺节目供给，延长游客游览时间，提升景区整体运营效率和公司项目的综合竞争力，进一步增强公司盈利能力。</w:t>
            </w:r>
          </w:p>
          <w:p w14:paraId="5BEF55C5" w14:textId="77777777" w:rsidR="00FB1A1D" w:rsidRDefault="00FB1A1D" w:rsidP="00A56236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AC10297" w14:textId="6C23CAB4" w:rsidR="00FB1A1D" w:rsidRPr="0045449E" w:rsidRDefault="009A3FFA" w:rsidP="0045449E">
            <w:pPr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4</w:t>
            </w:r>
            <w:r w:rsidR="0045449E" w:rsidRPr="0045449E">
              <w:rPr>
                <w:rFonts w:ascii="宋体" w:hAnsi="宋体" w:hint="eastAsia"/>
                <w:b/>
                <w:iCs/>
                <w:color w:val="000000"/>
                <w:sz w:val="24"/>
              </w:rPr>
              <w:t>、公司上市</w:t>
            </w:r>
            <w:proofErr w:type="gramStart"/>
            <w:r w:rsidR="0045449E" w:rsidRPr="0045449E">
              <w:rPr>
                <w:rFonts w:ascii="宋体" w:hAnsi="宋体"/>
                <w:b/>
                <w:iCs/>
                <w:color w:val="000000"/>
                <w:sz w:val="24"/>
              </w:rPr>
              <w:t>募投项目</w:t>
            </w:r>
            <w:proofErr w:type="gramEnd"/>
            <w:r w:rsidR="0045449E" w:rsidRPr="0045449E">
              <w:rPr>
                <w:rFonts w:ascii="宋体" w:hAnsi="宋体"/>
                <w:b/>
                <w:iCs/>
                <w:color w:val="000000"/>
                <w:sz w:val="24"/>
              </w:rPr>
              <w:t>比较多，</w:t>
            </w:r>
            <w:r w:rsidR="0045449E" w:rsidRPr="0045449E">
              <w:rPr>
                <w:rFonts w:ascii="宋体" w:hAnsi="宋体" w:hint="eastAsia"/>
                <w:b/>
                <w:iCs/>
                <w:color w:val="000000"/>
                <w:sz w:val="24"/>
              </w:rPr>
              <w:t>未来2-3年来看，</w:t>
            </w:r>
            <w:proofErr w:type="gramStart"/>
            <w:r w:rsidR="0045449E" w:rsidRPr="0045449E">
              <w:rPr>
                <w:rFonts w:ascii="宋体" w:hAnsi="宋体" w:hint="eastAsia"/>
                <w:b/>
                <w:iCs/>
                <w:color w:val="000000"/>
                <w:sz w:val="24"/>
              </w:rPr>
              <w:t>除了募投项目</w:t>
            </w:r>
            <w:proofErr w:type="gramEnd"/>
            <w:r w:rsidR="0045449E" w:rsidRPr="0045449E">
              <w:rPr>
                <w:rFonts w:ascii="宋体" w:hAnsi="宋体" w:hint="eastAsia"/>
                <w:b/>
                <w:iCs/>
                <w:color w:val="000000"/>
                <w:sz w:val="24"/>
              </w:rPr>
              <w:t>，有没有其他资产整合的想法或者机会？</w:t>
            </w:r>
          </w:p>
          <w:p w14:paraId="68FC745A" w14:textId="1ED6CC0D" w:rsidR="00361588" w:rsidRDefault="0045449E" w:rsidP="0092696D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</w:t>
            </w:r>
            <w:r w:rsidR="001B514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公司目前</w:t>
            </w:r>
            <w:r w:rsidR="001B514F" w:rsidRPr="001B514F">
              <w:rPr>
                <w:rFonts w:ascii="宋体" w:hAnsi="宋体"/>
                <w:bCs/>
                <w:iCs/>
                <w:color w:val="000000"/>
                <w:sz w:val="24"/>
              </w:rPr>
              <w:t>主业</w:t>
            </w:r>
            <w:r w:rsidR="009B1550">
              <w:rPr>
                <w:rFonts w:ascii="宋体" w:hAnsi="宋体" w:hint="eastAsia"/>
                <w:bCs/>
                <w:iCs/>
                <w:color w:val="000000"/>
                <w:sz w:val="24"/>
              </w:rPr>
              <w:t>基本盘稳定</w:t>
            </w:r>
            <w:r w:rsidR="001B514F" w:rsidRPr="001B514F">
              <w:rPr>
                <w:rFonts w:ascii="宋体" w:hAnsi="宋体"/>
                <w:bCs/>
                <w:iCs/>
                <w:color w:val="000000"/>
                <w:sz w:val="24"/>
              </w:rPr>
              <w:t>，发展路径清晰，</w:t>
            </w:r>
            <w:r w:rsidR="001B514F">
              <w:rPr>
                <w:rFonts w:ascii="宋体" w:hAnsi="宋体" w:hint="eastAsia"/>
                <w:bCs/>
                <w:iCs/>
                <w:color w:val="000000"/>
                <w:sz w:val="24"/>
              </w:rPr>
              <w:t>后续</w:t>
            </w:r>
            <w:r w:rsidR="00AB3E08">
              <w:rPr>
                <w:rFonts w:ascii="宋体" w:hAnsi="宋体" w:hint="eastAsia"/>
                <w:bCs/>
                <w:iCs/>
                <w:color w:val="000000"/>
                <w:sz w:val="24"/>
              </w:rPr>
              <w:t>如有其他计划，</w:t>
            </w:r>
            <w:r w:rsidR="001B514F">
              <w:rPr>
                <w:rFonts w:ascii="宋体" w:hAnsi="宋体" w:hint="eastAsia"/>
                <w:bCs/>
                <w:iCs/>
                <w:color w:val="000000"/>
                <w:sz w:val="24"/>
              </w:rPr>
              <w:t>以公司披露的公告为准。</w:t>
            </w:r>
          </w:p>
        </w:tc>
      </w:tr>
      <w:tr w:rsidR="00361588" w14:paraId="4F7109B8" w14:textId="77777777" w:rsidTr="002121B6">
        <w:trPr>
          <w:trHeight w:val="113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7EF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32A" w14:textId="55B7F35B" w:rsidR="00361588" w:rsidRDefault="00FB1A1D" w:rsidP="00AD2AC8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B1A1D"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61588" w14:paraId="040A9155" w14:textId="77777777" w:rsidTr="002121B6">
        <w:trPr>
          <w:trHeight w:val="46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3D3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DCE7" w14:textId="3510370F" w:rsidR="00361588" w:rsidRDefault="00FB1A1D" w:rsidP="00AD2AC8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361588" w14:paraId="131BADD2" w14:textId="77777777" w:rsidTr="002121B6">
        <w:trPr>
          <w:trHeight w:val="51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1B1" w14:textId="77777777" w:rsidR="00361588" w:rsidRDefault="00000000" w:rsidP="00F83311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251" w14:textId="68CA5448" w:rsidR="00361588" w:rsidRDefault="00FB1A1D" w:rsidP="00AD2AC8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2026年1月20日</w:t>
            </w:r>
          </w:p>
        </w:tc>
      </w:tr>
    </w:tbl>
    <w:p w14:paraId="5692F7AE" w14:textId="77777777" w:rsidR="00361588" w:rsidRDefault="00361588">
      <w:pPr>
        <w:rPr>
          <w:sz w:val="24"/>
        </w:rPr>
      </w:pPr>
    </w:p>
    <w:p w14:paraId="485D9525" w14:textId="77777777" w:rsidR="00361588" w:rsidRDefault="00361588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14:paraId="768E36EE" w14:textId="77777777" w:rsidR="00361588" w:rsidRDefault="00361588">
      <w:pPr>
        <w:spacing w:line="360" w:lineRule="auto"/>
        <w:rPr>
          <w:rFonts w:ascii="宋体" w:eastAsia="宋体" w:hAnsi="宋体" w:cs="宋体" w:hint="eastAsia"/>
          <w:sz w:val="24"/>
        </w:rPr>
      </w:pPr>
    </w:p>
    <w:sectPr w:rsidR="0036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52F" w14:textId="77777777" w:rsidR="00D519BE" w:rsidRDefault="00D519BE" w:rsidP="00FB1A1D">
      <w:r>
        <w:separator/>
      </w:r>
    </w:p>
  </w:endnote>
  <w:endnote w:type="continuationSeparator" w:id="0">
    <w:p w14:paraId="3CCD1AAA" w14:textId="77777777" w:rsidR="00D519BE" w:rsidRDefault="00D519BE" w:rsidP="00FB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B302" w14:textId="77777777" w:rsidR="00D519BE" w:rsidRDefault="00D519BE" w:rsidP="00FB1A1D">
      <w:r>
        <w:separator/>
      </w:r>
    </w:p>
  </w:footnote>
  <w:footnote w:type="continuationSeparator" w:id="0">
    <w:p w14:paraId="293430FD" w14:textId="77777777" w:rsidR="00D519BE" w:rsidRDefault="00D519BE" w:rsidP="00FB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E57952"/>
    <w:rsid w:val="000D3957"/>
    <w:rsid w:val="00182631"/>
    <w:rsid w:val="001B514F"/>
    <w:rsid w:val="002121B6"/>
    <w:rsid w:val="002B28DC"/>
    <w:rsid w:val="00312C18"/>
    <w:rsid w:val="00320889"/>
    <w:rsid w:val="00361588"/>
    <w:rsid w:val="00365E91"/>
    <w:rsid w:val="00381658"/>
    <w:rsid w:val="0045449E"/>
    <w:rsid w:val="005D0C0B"/>
    <w:rsid w:val="00611EF4"/>
    <w:rsid w:val="00646520"/>
    <w:rsid w:val="006A61F4"/>
    <w:rsid w:val="006D6044"/>
    <w:rsid w:val="00860287"/>
    <w:rsid w:val="008C673F"/>
    <w:rsid w:val="0092696D"/>
    <w:rsid w:val="009A3FFA"/>
    <w:rsid w:val="009A4DC9"/>
    <w:rsid w:val="009B1550"/>
    <w:rsid w:val="00A56236"/>
    <w:rsid w:val="00AB3E08"/>
    <w:rsid w:val="00AB4A70"/>
    <w:rsid w:val="00AD2AC8"/>
    <w:rsid w:val="00BB23AB"/>
    <w:rsid w:val="00BB2EAC"/>
    <w:rsid w:val="00CA63EB"/>
    <w:rsid w:val="00D519BE"/>
    <w:rsid w:val="00DA49DC"/>
    <w:rsid w:val="00DD2EB8"/>
    <w:rsid w:val="00DF46F1"/>
    <w:rsid w:val="00E32C60"/>
    <w:rsid w:val="00E827F1"/>
    <w:rsid w:val="00F83311"/>
    <w:rsid w:val="00FB1A1D"/>
    <w:rsid w:val="65E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7BFBD"/>
  <w15:docId w15:val="{173A2F25-867C-48B3-B982-187D306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sid w:val="009A4DC9"/>
    <w:rPr>
      <w:sz w:val="21"/>
      <w:szCs w:val="21"/>
    </w:rPr>
  </w:style>
  <w:style w:type="paragraph" w:styleId="a7">
    <w:name w:val="annotation text"/>
    <w:basedOn w:val="a"/>
    <w:link w:val="a8"/>
    <w:rsid w:val="009A4DC9"/>
    <w:pPr>
      <w:jc w:val="left"/>
    </w:pPr>
  </w:style>
  <w:style w:type="character" w:customStyle="1" w:styleId="a8">
    <w:name w:val="批注文字 字符"/>
    <w:basedOn w:val="a0"/>
    <w:link w:val="a7"/>
    <w:rsid w:val="009A4DC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A4DC9"/>
    <w:rPr>
      <w:b/>
      <w:bCs/>
    </w:rPr>
  </w:style>
  <w:style w:type="character" w:customStyle="1" w:styleId="aa">
    <w:name w:val="批注主题 字符"/>
    <w:basedOn w:val="a8"/>
    <w:link w:val="a9"/>
    <w:rsid w:val="009A4D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jz-zm</dc:creator>
  <cp:lastModifiedBy>饭 饭</cp:lastModifiedBy>
  <cp:revision>6</cp:revision>
  <cp:lastPrinted>2026-01-22T02:16:00Z</cp:lastPrinted>
  <dcterms:created xsi:type="dcterms:W3CDTF">2025-12-11T08:27:00Z</dcterms:created>
  <dcterms:modified xsi:type="dcterms:W3CDTF">2026-01-22T02:34:00Z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4EF78F17E4914C248775B99C40C23012_11</vt:lpwstr>
  </property>
  <property fmtid="{D5CDD505-2E9C-101B-9397-08002B2CF9AE}" pid="4" name="KSOTemplateDocerSaveRecord">
    <vt:lpwstr>eyJoZGlkIjoiZjU3OGM1NGUyYzYxOTM1NTg2ZTQ0ODc1N2M2MGI4ZmIiLCJ1c2VySWQiOiI0NTc5MDgxNDIifQ==</vt:lpwstr>
  </property>
</Properties>
</file>