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C2FD8" w14:textId="77777777" w:rsidR="00F51164" w:rsidRDefault="007B710B">
      <w:pPr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烟台德邦科技股份有限公司</w:t>
      </w:r>
    </w:p>
    <w:p w14:paraId="66B3A413" w14:textId="77777777" w:rsidR="00F51164" w:rsidRDefault="007B710B">
      <w:pPr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投资者关系活动记录表</w:t>
      </w:r>
    </w:p>
    <w:p w14:paraId="34C37DDE" w14:textId="77777777" w:rsidR="00F51164" w:rsidRDefault="00F51164">
      <w:pPr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</w:p>
    <w:p w14:paraId="7CAC0D7E" w14:textId="77777777" w:rsidR="00F51164" w:rsidRDefault="007B710B">
      <w:pPr>
        <w:ind w:firstLineChars="200" w:firstLine="482"/>
        <w:rPr>
          <w:rFonts w:ascii="宋体" w:hAnsi="宋体"/>
          <w:b/>
          <w:bCs/>
          <w:szCs w:val="24"/>
        </w:rPr>
      </w:pPr>
      <w:r>
        <w:rPr>
          <w:rFonts w:ascii="宋体" w:hAnsi="宋体" w:hint="eastAsia"/>
          <w:b/>
          <w:bCs/>
          <w:szCs w:val="24"/>
        </w:rPr>
        <w:t xml:space="preserve">证券简称：德邦科技 </w:t>
      </w:r>
      <w:r>
        <w:rPr>
          <w:rFonts w:ascii="宋体" w:hAnsi="宋体"/>
          <w:b/>
          <w:bCs/>
          <w:szCs w:val="24"/>
        </w:rPr>
        <w:t xml:space="preserve">        </w:t>
      </w:r>
      <w:r>
        <w:rPr>
          <w:rFonts w:ascii="宋体" w:hAnsi="宋体" w:hint="eastAsia"/>
          <w:b/>
          <w:bCs/>
          <w:szCs w:val="24"/>
        </w:rPr>
        <w:t xml:space="preserve">证券代码：688035 </w:t>
      </w:r>
      <w:r>
        <w:rPr>
          <w:rFonts w:ascii="宋体" w:hAnsi="宋体"/>
          <w:b/>
          <w:bCs/>
          <w:szCs w:val="24"/>
        </w:rPr>
        <w:t xml:space="preserve">       </w:t>
      </w:r>
      <w:r>
        <w:rPr>
          <w:rFonts w:ascii="宋体" w:hAnsi="宋体" w:hint="eastAsia"/>
          <w:b/>
          <w:bCs/>
          <w:szCs w:val="24"/>
        </w:rPr>
        <w:t>编号：2026</w:t>
      </w:r>
      <w:r>
        <w:rPr>
          <w:rFonts w:ascii="宋体" w:hAnsi="宋体"/>
          <w:b/>
          <w:bCs/>
          <w:szCs w:val="24"/>
        </w:rPr>
        <w:t>-00</w:t>
      </w:r>
      <w:r>
        <w:rPr>
          <w:rFonts w:ascii="宋体" w:hAnsi="宋体" w:hint="eastAsia"/>
          <w:b/>
          <w:bCs/>
          <w:szCs w:val="24"/>
        </w:rPr>
        <w:t>1</w:t>
      </w:r>
    </w:p>
    <w:tbl>
      <w:tblPr>
        <w:tblStyle w:val="a8"/>
        <w:tblW w:w="8508" w:type="dxa"/>
        <w:tblLook w:val="04A0" w:firstRow="1" w:lastRow="0" w:firstColumn="1" w:lastColumn="0" w:noHBand="0" w:noVBand="1"/>
      </w:tblPr>
      <w:tblGrid>
        <w:gridCol w:w="2427"/>
        <w:gridCol w:w="6081"/>
      </w:tblGrid>
      <w:tr w:rsidR="00F51164" w14:paraId="55B7661B" w14:textId="77777777">
        <w:tc>
          <w:tcPr>
            <w:tcW w:w="2427" w:type="dxa"/>
            <w:vAlign w:val="center"/>
          </w:tcPr>
          <w:p w14:paraId="02DE5A9B" w14:textId="77777777" w:rsidR="00F51164" w:rsidRDefault="007B710B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投资者关系活动</w:t>
            </w:r>
          </w:p>
          <w:p w14:paraId="27A14D6C" w14:textId="77777777" w:rsidR="00F51164" w:rsidRDefault="007B710B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类别</w:t>
            </w:r>
          </w:p>
        </w:tc>
        <w:tc>
          <w:tcPr>
            <w:tcW w:w="6081" w:type="dxa"/>
            <w:vAlign w:val="center"/>
          </w:tcPr>
          <w:p w14:paraId="4A1B14E8" w14:textId="77777777" w:rsidR="00F51164" w:rsidRDefault="007B710B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kern w:val="0"/>
                <w:szCs w:val="24"/>
              </w:rPr>
              <w:t>☑</w:t>
            </w:r>
            <w:r>
              <w:rPr>
                <w:rFonts w:ascii="宋体" w:hAnsi="宋体"/>
                <w:szCs w:val="24"/>
              </w:rPr>
              <w:t xml:space="preserve">特定对象调研       </w:t>
            </w:r>
            <w:r>
              <w:rPr>
                <w:rFonts w:ascii="宋体" w:hAnsi="宋体"/>
                <w:kern w:val="0"/>
                <w:szCs w:val="24"/>
              </w:rPr>
              <w:t>□</w:t>
            </w:r>
            <w:r>
              <w:rPr>
                <w:rFonts w:ascii="宋体" w:hAnsi="宋体"/>
                <w:szCs w:val="24"/>
              </w:rPr>
              <w:t>分析师会议</w:t>
            </w:r>
          </w:p>
          <w:p w14:paraId="22D54E93" w14:textId="77777777" w:rsidR="00F51164" w:rsidRDefault="007B710B">
            <w:pPr>
              <w:spacing w:line="360" w:lineRule="auto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 w:hint="eastAsia"/>
                <w:kern w:val="0"/>
                <w:szCs w:val="24"/>
              </w:rPr>
              <w:t>□</w:t>
            </w:r>
            <w:r>
              <w:rPr>
                <w:rFonts w:ascii="宋体" w:hAnsi="宋体"/>
                <w:kern w:val="0"/>
                <w:szCs w:val="24"/>
              </w:rPr>
              <w:t>媒体采访           □业绩说明会</w:t>
            </w:r>
          </w:p>
          <w:p w14:paraId="5F205A79" w14:textId="77777777" w:rsidR="00F51164" w:rsidRDefault="007B710B">
            <w:pPr>
              <w:spacing w:line="360" w:lineRule="auto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 w:hint="eastAsia"/>
                <w:kern w:val="0"/>
                <w:szCs w:val="24"/>
              </w:rPr>
              <w:t>□</w:t>
            </w:r>
            <w:r>
              <w:rPr>
                <w:rFonts w:ascii="宋体" w:hAnsi="宋体"/>
                <w:kern w:val="0"/>
                <w:szCs w:val="24"/>
              </w:rPr>
              <w:t>新闻发布会         □路演活动</w:t>
            </w:r>
          </w:p>
          <w:p w14:paraId="5B181B6C" w14:textId="77777777" w:rsidR="00F51164" w:rsidRDefault="007B710B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t>□现场参观           □其他(</w:t>
            </w:r>
            <w:r>
              <w:rPr>
                <w:rFonts w:ascii="宋体" w:hAnsi="宋体" w:hint="eastAsia"/>
                <w:kern w:val="0"/>
                <w:szCs w:val="24"/>
              </w:rPr>
              <w:t>电话</w:t>
            </w:r>
            <w:r>
              <w:rPr>
                <w:rFonts w:ascii="宋体" w:hAnsi="宋体"/>
                <w:kern w:val="0"/>
                <w:szCs w:val="24"/>
              </w:rPr>
              <w:t>会议)</w:t>
            </w:r>
          </w:p>
        </w:tc>
      </w:tr>
      <w:tr w:rsidR="00F51164" w14:paraId="24F32E98" w14:textId="77777777">
        <w:trPr>
          <w:trHeight w:val="1527"/>
        </w:trPr>
        <w:tc>
          <w:tcPr>
            <w:tcW w:w="2427" w:type="dxa"/>
            <w:vAlign w:val="center"/>
          </w:tcPr>
          <w:p w14:paraId="59A8E055" w14:textId="77777777" w:rsidR="00F51164" w:rsidRDefault="007B710B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参与单位名称</w:t>
            </w:r>
          </w:p>
          <w:p w14:paraId="09CCE842" w14:textId="77777777" w:rsidR="00F51164" w:rsidRDefault="007B710B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6081" w:type="dxa"/>
            <w:vAlign w:val="center"/>
          </w:tcPr>
          <w:p w14:paraId="24BD5BA2" w14:textId="77777777" w:rsidR="00F51164" w:rsidRDefault="007B710B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国海证券、光大保德信基金、长江证券、上银基金管理有限公司、深圳盈游天下、千禧年投资</w:t>
            </w:r>
          </w:p>
        </w:tc>
      </w:tr>
      <w:tr w:rsidR="00F51164" w14:paraId="1E54992B" w14:textId="77777777">
        <w:trPr>
          <w:trHeight w:val="497"/>
        </w:trPr>
        <w:tc>
          <w:tcPr>
            <w:tcW w:w="2427" w:type="dxa"/>
            <w:vAlign w:val="center"/>
          </w:tcPr>
          <w:p w14:paraId="7D1497F1" w14:textId="77777777" w:rsidR="00F51164" w:rsidRDefault="007B710B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6081" w:type="dxa"/>
            <w:vAlign w:val="center"/>
          </w:tcPr>
          <w:p w14:paraId="7ECB419A" w14:textId="77777777" w:rsidR="00F51164" w:rsidRDefault="007B710B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2026年</w:t>
            </w:r>
            <w:r>
              <w:rPr>
                <w:rFonts w:ascii="宋体" w:hAnsi="宋体"/>
                <w:szCs w:val="24"/>
              </w:rPr>
              <w:t>1</w:t>
            </w:r>
            <w:r>
              <w:rPr>
                <w:rFonts w:ascii="宋体" w:hAnsi="宋体" w:hint="eastAsia"/>
                <w:szCs w:val="24"/>
              </w:rPr>
              <w:t>月16-21日</w:t>
            </w:r>
          </w:p>
        </w:tc>
      </w:tr>
      <w:tr w:rsidR="00F51164" w14:paraId="05DDE557" w14:textId="77777777">
        <w:tc>
          <w:tcPr>
            <w:tcW w:w="2427" w:type="dxa"/>
            <w:vAlign w:val="center"/>
          </w:tcPr>
          <w:p w14:paraId="4D2C2D50" w14:textId="77777777" w:rsidR="00F51164" w:rsidRDefault="007B710B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6081" w:type="dxa"/>
            <w:vAlign w:val="center"/>
          </w:tcPr>
          <w:p w14:paraId="569B6BAE" w14:textId="77777777" w:rsidR="00F51164" w:rsidRDefault="007B710B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公司会议室</w:t>
            </w:r>
          </w:p>
        </w:tc>
      </w:tr>
      <w:tr w:rsidR="00F51164" w14:paraId="4708CE26" w14:textId="77777777">
        <w:trPr>
          <w:trHeight w:val="1135"/>
        </w:trPr>
        <w:tc>
          <w:tcPr>
            <w:tcW w:w="2427" w:type="dxa"/>
            <w:vAlign w:val="center"/>
          </w:tcPr>
          <w:p w14:paraId="63E78370" w14:textId="77777777" w:rsidR="00F51164" w:rsidRDefault="007B710B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上市公司接待人员</w:t>
            </w:r>
          </w:p>
          <w:p w14:paraId="3AE036F8" w14:textId="77777777" w:rsidR="00F51164" w:rsidRDefault="007B710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6081" w:type="dxa"/>
            <w:vAlign w:val="center"/>
          </w:tcPr>
          <w:p w14:paraId="1CC1BCD6" w14:textId="77777777" w:rsidR="00F51164" w:rsidRDefault="007B710B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公司</w:t>
            </w:r>
            <w:r>
              <w:rPr>
                <w:rFonts w:ascii="宋体" w:hAnsi="宋体" w:hint="eastAsia"/>
                <w:szCs w:val="24"/>
              </w:rPr>
              <w:t>董事会办公室</w:t>
            </w:r>
            <w:r>
              <w:rPr>
                <w:rFonts w:ascii="宋体" w:hAnsi="宋体"/>
                <w:szCs w:val="24"/>
              </w:rPr>
              <w:t>总监：战世能</w:t>
            </w:r>
          </w:p>
          <w:p w14:paraId="1B8E117C" w14:textId="77777777" w:rsidR="00F51164" w:rsidRDefault="007B710B">
            <w:pPr>
              <w:spacing w:line="56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公司证券事务代表：翟丞</w:t>
            </w:r>
          </w:p>
        </w:tc>
      </w:tr>
      <w:tr w:rsidR="00F51164" w14:paraId="27011E6E" w14:textId="77777777">
        <w:tc>
          <w:tcPr>
            <w:tcW w:w="2427" w:type="dxa"/>
            <w:vAlign w:val="center"/>
          </w:tcPr>
          <w:p w14:paraId="032B822A" w14:textId="77777777" w:rsidR="00F51164" w:rsidRDefault="007B710B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081" w:type="dxa"/>
            <w:vAlign w:val="center"/>
          </w:tcPr>
          <w:p w14:paraId="7C5DBA7D" w14:textId="77777777" w:rsidR="00C12C69" w:rsidRDefault="00C12C69" w:rsidP="00C12C69">
            <w:pPr>
              <w:spacing w:line="560" w:lineRule="exact"/>
              <w:ind w:firstLineChars="200" w:firstLine="482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1、请介绍一下公司各业务板块占比情况？未来发展趋势如何？</w:t>
            </w:r>
          </w:p>
          <w:p w14:paraId="32C849DE" w14:textId="77777777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答：</w:t>
            </w:r>
            <w:r w:rsidRPr="00C523DB">
              <w:rPr>
                <w:rFonts w:ascii="宋体" w:hAnsi="宋体" w:hint="eastAsia"/>
                <w:szCs w:val="24"/>
              </w:rPr>
              <w:t>公司以集成电路封装材料技术为引领，聚焦集成电路封装、智能终端封装、新能源应用、高端装备应用四大应用领域</w:t>
            </w:r>
            <w:r>
              <w:rPr>
                <w:rFonts w:ascii="宋体" w:hAnsi="宋体" w:hint="eastAsia"/>
                <w:szCs w:val="24"/>
              </w:rPr>
              <w:t>。根据2</w:t>
            </w:r>
            <w:r>
              <w:rPr>
                <w:rFonts w:ascii="宋体" w:hAnsi="宋体"/>
                <w:szCs w:val="24"/>
              </w:rPr>
              <w:t>025年</w:t>
            </w:r>
            <w:r>
              <w:rPr>
                <w:rFonts w:ascii="宋体" w:hAnsi="宋体" w:hint="eastAsia"/>
                <w:szCs w:val="24"/>
              </w:rPr>
              <w:t>半年度数据，集成电路板块占总收入的16.4%，智能终端板块占总收入24.2%，新能源板块占总收入的52%，高端装备板块占总收入的7.2%。从近两年各板块的增长趋势来看，集成电路和智能终端板块占比明显提升，新能源板块占比将呈现下降的趋势。</w:t>
            </w:r>
          </w:p>
          <w:p w14:paraId="48C6983F" w14:textId="77777777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</w:p>
          <w:p w14:paraId="05CB977C" w14:textId="77777777" w:rsidR="00C12C69" w:rsidRDefault="00C12C69" w:rsidP="00C12C69">
            <w:pPr>
              <w:spacing w:line="560" w:lineRule="exact"/>
              <w:ind w:firstLineChars="200" w:firstLine="482"/>
              <w:rPr>
                <w:rFonts w:ascii="宋体" w:hAnsi="宋体"/>
                <w:b/>
                <w:bCs/>
                <w:szCs w:val="24"/>
              </w:rPr>
            </w:pPr>
            <w:r w:rsidRPr="00E31890">
              <w:rPr>
                <w:rFonts w:ascii="宋体" w:hAnsi="宋体" w:hint="eastAsia"/>
                <w:b/>
                <w:bCs/>
                <w:szCs w:val="24"/>
              </w:rPr>
              <w:lastRenderedPageBreak/>
              <w:t>2、</w:t>
            </w:r>
            <w:r w:rsidRPr="00921C11">
              <w:rPr>
                <w:rFonts w:ascii="宋体" w:hAnsi="宋体" w:hint="eastAsia"/>
                <w:b/>
                <w:bCs/>
                <w:szCs w:val="24"/>
              </w:rPr>
              <w:t>请介绍一下公司集成电路业务具体产品情况？</w:t>
            </w:r>
          </w:p>
          <w:p w14:paraId="6E7F276B" w14:textId="77777777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集成电路封装材料具体产品包括：导热系列产品（导热垫片、导热凝胶、相变化材料PCM、液态金属等）；固晶系列产品（芯片固晶胶DAP、芯片粘接DAF/CDAF膜）；芯片封装用薄膜系列产品（UV减薄膜、UV切割膜）以及芯片底部填充材料、芯片框架AD胶等封装材料。</w:t>
            </w:r>
          </w:p>
          <w:p w14:paraId="1F1816A1" w14:textId="77777777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846E1F">
              <w:rPr>
                <w:rFonts w:ascii="宋体" w:hAnsi="宋体"/>
                <w:szCs w:val="24"/>
              </w:rPr>
              <w:t>公司为集成电路（如CPU、GPU</w:t>
            </w:r>
            <w:r w:rsidRPr="004752A0">
              <w:rPr>
                <w:rFonts w:ascii="宋体" w:hAnsi="宋体"/>
                <w:szCs w:val="24"/>
              </w:rPr>
              <w:t>、AI</w:t>
            </w:r>
            <w:r w:rsidRPr="005C6D01">
              <w:rPr>
                <w:rFonts w:ascii="宋体" w:hAnsi="宋体"/>
                <w:szCs w:val="24"/>
              </w:rPr>
              <w:t>芯片</w:t>
            </w:r>
            <w:r w:rsidRPr="005C6D01">
              <w:rPr>
                <w:rFonts w:ascii="宋体" w:hAnsi="宋体" w:hint="eastAsia"/>
                <w:szCs w:val="24"/>
              </w:rPr>
              <w:t>、光模块</w:t>
            </w:r>
            <w:r w:rsidRPr="009E1EA3">
              <w:rPr>
                <w:rFonts w:ascii="宋体" w:hAnsi="宋体"/>
                <w:szCs w:val="24"/>
              </w:rPr>
              <w:t>等）提供高性能导热界面材料，主要包括</w:t>
            </w:r>
            <w:r w:rsidRPr="00DE7EBF">
              <w:rPr>
                <w:rFonts w:ascii="宋体" w:hAnsi="宋体" w:hint="eastAsia"/>
                <w:szCs w:val="24"/>
              </w:rPr>
              <w:t>T</w:t>
            </w:r>
            <w:r w:rsidRPr="00DE7EBF">
              <w:rPr>
                <w:rFonts w:ascii="宋体" w:hAnsi="宋体"/>
                <w:szCs w:val="24"/>
              </w:rPr>
              <w:t>IM(</w:t>
            </w:r>
            <w:r w:rsidRPr="00DE7EBF">
              <w:rPr>
                <w:rFonts w:ascii="宋体" w:hAnsi="宋体" w:hint="eastAsia"/>
                <w:szCs w:val="24"/>
              </w:rPr>
              <w:t>TIM1</w:t>
            </w:r>
            <w:r w:rsidRPr="00606A9A">
              <w:rPr>
                <w:rFonts w:ascii="宋体" w:hAnsi="宋体" w:hint="eastAsia"/>
                <w:szCs w:val="24"/>
              </w:rPr>
              <w:t>、TIM1.5、TIM2</w:t>
            </w:r>
            <w:r w:rsidRPr="00921C11">
              <w:rPr>
                <w:rFonts w:ascii="宋体" w:hAnsi="宋体"/>
                <w:szCs w:val="24"/>
              </w:rPr>
              <w:t>)、导热硅脂、凝胶、相变材料及</w:t>
            </w:r>
            <w:r w:rsidRPr="00921C11">
              <w:rPr>
                <w:rFonts w:ascii="宋体" w:hAnsi="宋体" w:hint="eastAsia"/>
                <w:szCs w:val="24"/>
              </w:rPr>
              <w:t>全球领先的凝胶垫片</w:t>
            </w:r>
            <w:r w:rsidRPr="00921C11">
              <w:rPr>
                <w:rFonts w:ascii="宋体" w:hAnsi="宋体"/>
                <w:szCs w:val="24"/>
              </w:rPr>
              <w:t>等系列产品，用于解决芯片与散热器间的热管理问题，确保器件稳定可靠运行。</w:t>
            </w:r>
          </w:p>
          <w:p w14:paraId="7A28E18C" w14:textId="77777777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芯片固晶胶，可以适用于多种封装形式，覆盖MOS、QFN、QFP、BGA和存储器等，客户包括通富微电、华天科技、长电科技等国内集成电路封测企业；晶圆UV膜方面，目前在华天科技、长电科技、日月新等国内集成电路封测企业批量供货。</w:t>
            </w:r>
          </w:p>
          <w:p w14:paraId="0D61A782" w14:textId="77777777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芯片底部填充材料、芯片框架AD胶、芯片粘接DAF/CDAF膜等先进封装材料的突破和导入，均已实现了小批量的出货，获头部客户验证通过，市场前景广阔。</w:t>
            </w:r>
          </w:p>
          <w:p w14:paraId="7663CC36" w14:textId="77777777" w:rsidR="00C12C69" w:rsidRPr="00475F6C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</w:p>
          <w:p w14:paraId="6D9E3757" w14:textId="77777777" w:rsidR="00C12C69" w:rsidRDefault="00C12C69" w:rsidP="00C12C69">
            <w:pPr>
              <w:spacing w:line="560" w:lineRule="exact"/>
              <w:ind w:firstLineChars="200" w:firstLine="482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3 、请介绍一下公司底部填充胶、AD胶、DAF膜等先进封装材料目前竞争格局情况？</w:t>
            </w:r>
          </w:p>
          <w:p w14:paraId="69BDEB08" w14:textId="4C3A399B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答：目前芯片底部填充材料、芯片框架AD胶、芯片粘接DAF/CDAF膜等先进封装材料国内仍处于起步阶段，</w:t>
            </w:r>
            <w:r>
              <w:rPr>
                <w:rFonts w:ascii="宋体" w:hAnsi="宋体" w:hint="eastAsia"/>
                <w:szCs w:val="24"/>
              </w:rPr>
              <w:lastRenderedPageBreak/>
              <w:t>产品市场份额目前仍被日韩、欧美等国外厂商占据，国内具备验证或是导入能力的厂商很少。公司紧跟国产化进程的步伐，持续投入研发力量，已具备了产品量产能力，芯片底部填充材料、芯片框架AD胶、芯片粘接DAF/CDAF膜</w:t>
            </w:r>
            <w:r w:rsidRPr="00402EFB">
              <w:rPr>
                <w:rFonts w:ascii="宋体" w:hAnsi="宋体" w:hint="eastAsia"/>
                <w:szCs w:val="24"/>
              </w:rPr>
              <w:t>等几个品类的先进封装材料</w:t>
            </w: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025</w:t>
            </w:r>
            <w:r>
              <w:rPr>
                <w:rFonts w:ascii="宋体" w:hAnsi="宋体" w:hint="eastAsia"/>
                <w:szCs w:val="24"/>
              </w:rPr>
              <w:t>年已</w:t>
            </w:r>
            <w:r w:rsidRPr="00402EFB">
              <w:rPr>
                <w:rFonts w:ascii="宋体" w:hAnsi="宋体" w:hint="eastAsia"/>
                <w:szCs w:val="24"/>
              </w:rPr>
              <w:t>有小批量交付。</w:t>
            </w:r>
            <w:r>
              <w:rPr>
                <w:rFonts w:ascii="宋体" w:hAnsi="宋体" w:hint="eastAsia"/>
                <w:szCs w:val="24"/>
              </w:rPr>
              <w:t>我们也期待国产化进程的加速和客户的积极导入大批量使用。</w:t>
            </w:r>
          </w:p>
          <w:p w14:paraId="35EE776F" w14:textId="77777777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</w:p>
          <w:p w14:paraId="1868BBE3" w14:textId="77777777" w:rsidR="00C12C69" w:rsidRDefault="00C12C69" w:rsidP="00C12C69">
            <w:pPr>
              <w:spacing w:line="560" w:lineRule="exact"/>
              <w:ind w:firstLineChars="200" w:firstLine="482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4、</w:t>
            </w:r>
            <w:r w:rsidRPr="00921C11">
              <w:rPr>
                <w:rFonts w:ascii="宋体" w:hAnsi="宋体" w:hint="eastAsia"/>
                <w:b/>
                <w:bCs/>
                <w:szCs w:val="24"/>
              </w:rPr>
              <w:t>请具体介绍一下公司导热界面材料业务情况？</w:t>
            </w:r>
          </w:p>
          <w:p w14:paraId="04FCAFC9" w14:textId="77777777" w:rsidR="00C12C69" w:rsidRPr="00A00D8E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color w:val="FF0000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答：公司导热界面材料目前已经成为公司重要的支柱业务之一，在收入、利润方面均有较大的贡献。公司导热界面材料主要由深圳德邦界面、苏州泰吉诺两个子公司负责，两个子公司在产品应用定位上略有区别。深圳德邦界面产品广泛应用于消费电子、汽车电子、存储、通讯、新能源等领域，并在汽车电子、存储等高附加值领域持续突破；泰吉诺产品主要应用于服务器领域，同时也应用于消费电子、汽车电子、通讯等领域。</w:t>
            </w:r>
          </w:p>
          <w:p w14:paraId="6CF06DF6" w14:textId="77777777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</w:p>
          <w:p w14:paraId="5EB75C31" w14:textId="77777777" w:rsidR="00C12C69" w:rsidRDefault="00C12C69" w:rsidP="00C12C69">
            <w:pPr>
              <w:spacing w:line="560" w:lineRule="exact"/>
              <w:ind w:firstLineChars="200" w:firstLine="482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5、</w:t>
            </w:r>
            <w:r w:rsidRPr="00921C11">
              <w:rPr>
                <w:rFonts w:ascii="宋体" w:hAnsi="宋体" w:hint="eastAsia"/>
                <w:b/>
                <w:bCs/>
                <w:szCs w:val="24"/>
              </w:rPr>
              <w:t>国内热管理材料市场的竞争格局及公司的行业地位如何？</w:t>
            </w:r>
          </w:p>
          <w:p w14:paraId="3B58BE4F" w14:textId="77777777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答：热界面材料是整个热管理系统的重要组成部分，目前国内做热界面材料的中小企业较多，但大部分仍处于相对低端的领域，高端热界面材料市场主要份额仍被国外厂商占据。</w:t>
            </w:r>
          </w:p>
          <w:p w14:paraId="5689B5DD" w14:textId="77777777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lastRenderedPageBreak/>
              <w:t>目前公司热界面材料已具备多品类、多系列产品及解决方案，公司凭借自主核心技术研发能力，目前已具备参与全球高端电子封装材料产业分工、参与竞争的综合实力。同时公司也在积极探索新的产品体系，进一步完善公司在热管理领域的布局。</w:t>
            </w:r>
          </w:p>
          <w:p w14:paraId="7C12BEF7" w14:textId="77777777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</w:p>
          <w:p w14:paraId="76350835" w14:textId="77777777" w:rsidR="00C12C69" w:rsidRPr="00921C11" w:rsidRDefault="00C12C69" w:rsidP="00C12C69">
            <w:pPr>
              <w:spacing w:line="560" w:lineRule="exact"/>
              <w:ind w:firstLineChars="200" w:firstLine="482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6、</w:t>
            </w:r>
            <w:r w:rsidRPr="00921C11">
              <w:rPr>
                <w:rFonts w:ascii="宋体" w:hAnsi="宋体" w:hint="eastAsia"/>
                <w:b/>
                <w:bCs/>
                <w:szCs w:val="24"/>
              </w:rPr>
              <w:t>请介绍一下泰吉诺主要产品及客户占比情况？</w:t>
            </w:r>
          </w:p>
          <w:p w14:paraId="6B88CA78" w14:textId="77777777" w:rsidR="00C12C69" w:rsidRPr="0050207E" w:rsidRDefault="00C12C69" w:rsidP="00C12C69">
            <w:pPr>
              <w:spacing w:line="560" w:lineRule="exact"/>
              <w:ind w:firstLineChars="200" w:firstLine="482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b/>
                <w:bCs/>
                <w:szCs w:val="24"/>
              </w:rPr>
              <w:t>答：</w:t>
            </w:r>
            <w:r>
              <w:rPr>
                <w:rFonts w:ascii="宋体" w:hAnsi="宋体" w:hint="eastAsia"/>
                <w:szCs w:val="24"/>
              </w:rPr>
              <w:t>子公司泰吉诺</w:t>
            </w:r>
            <w:r w:rsidRPr="00606BF8">
              <w:rPr>
                <w:rFonts w:ascii="宋体" w:hAnsi="宋体" w:hint="eastAsia"/>
                <w:szCs w:val="24"/>
              </w:rPr>
              <w:t>是国内少数能提供全系列导热界面材料解决方案的厂商之一</w:t>
            </w:r>
            <w:r w:rsidRPr="0072281E">
              <w:rPr>
                <w:rFonts w:ascii="宋体" w:hAnsi="宋体" w:hint="eastAsia"/>
                <w:szCs w:val="24"/>
              </w:rPr>
              <w:t>，</w:t>
            </w:r>
            <w:r>
              <w:rPr>
                <w:rFonts w:ascii="宋体" w:hAnsi="宋体" w:hint="eastAsia"/>
                <w:szCs w:val="24"/>
              </w:rPr>
              <w:t>也</w:t>
            </w:r>
            <w:r w:rsidRPr="00606BF8">
              <w:rPr>
                <w:rFonts w:ascii="宋体" w:hAnsi="宋体" w:hint="eastAsia"/>
                <w:szCs w:val="24"/>
              </w:rPr>
              <w:t>是国内导热材料行业国产化与技术升级的关键参与者</w:t>
            </w:r>
            <w:r>
              <w:rPr>
                <w:rFonts w:ascii="宋体" w:hAnsi="宋体" w:hint="eastAsia"/>
                <w:szCs w:val="24"/>
              </w:rPr>
              <w:t>，</w:t>
            </w:r>
            <w:r>
              <w:rPr>
                <w:rFonts w:ascii="宋体" w:hAnsi="宋体"/>
                <w:szCs w:val="24"/>
              </w:rPr>
              <w:t>其</w:t>
            </w:r>
            <w:r w:rsidRPr="00A00D8E">
              <w:rPr>
                <w:rFonts w:ascii="宋体" w:hAnsi="宋体"/>
                <w:bCs/>
                <w:szCs w:val="24"/>
              </w:rPr>
              <w:t>主要产品包括高性能导热硅脂、导热凝胶、</w:t>
            </w:r>
            <w:r w:rsidRPr="00A00D8E">
              <w:rPr>
                <w:rFonts w:ascii="宋体" w:hAnsi="宋体" w:hint="eastAsia"/>
                <w:bCs/>
                <w:szCs w:val="24"/>
              </w:rPr>
              <w:t>高导热凝胶垫片</w:t>
            </w:r>
            <w:r w:rsidRPr="00A00D8E">
              <w:rPr>
                <w:rFonts w:ascii="宋体" w:hAnsi="宋体"/>
                <w:bCs/>
                <w:szCs w:val="24"/>
              </w:rPr>
              <w:t>、相变材料及</w:t>
            </w:r>
            <w:r w:rsidRPr="00A00D8E">
              <w:rPr>
                <w:rFonts w:ascii="宋体" w:hAnsi="宋体" w:hint="eastAsia"/>
                <w:bCs/>
                <w:szCs w:val="24"/>
              </w:rPr>
              <w:t>液态金属导</w:t>
            </w:r>
            <w:r w:rsidRPr="00A00D8E">
              <w:rPr>
                <w:rFonts w:ascii="宋体" w:hAnsi="宋体"/>
                <w:bCs/>
                <w:szCs w:val="24"/>
              </w:rPr>
              <w:t>热材料等，广泛应用于数据中心（AI服务器/GPU）、新能源汽车（电池/BMS/电控）、消费电子等领域。</w:t>
            </w:r>
            <w:r w:rsidRPr="00A00D8E">
              <w:rPr>
                <w:rFonts w:ascii="宋体" w:hAnsi="宋体" w:hint="eastAsia"/>
                <w:bCs/>
                <w:szCs w:val="24"/>
              </w:rPr>
              <w:t>泰吉诺的导热界面材料业务专注于为高算力场景提供散热解决方案。在AI领域，其高性能导热凝胶垫片、液态金属材料及相变材料，广泛应用于AI服务器、光模块、GPU/ASIC芯片的散热，可有效应对高热流密度，保障核心算力部件稳定运行与性能释放，是保障AI基础设施热管理的核心组成部分。</w:t>
            </w:r>
          </w:p>
          <w:p w14:paraId="79CC491D" w14:textId="77777777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目前，服务器领域的收入占泰吉诺整体收入一半以上，是目前泰吉诺贡献收入最大的应用领域。泰吉诺</w:t>
            </w:r>
            <w:r w:rsidRPr="00402EFB">
              <w:rPr>
                <w:rFonts w:ascii="宋体" w:hAnsi="宋体" w:hint="eastAsia"/>
                <w:szCs w:val="24"/>
              </w:rPr>
              <w:t>客户群体覆盖国内外</w:t>
            </w:r>
            <w:r>
              <w:rPr>
                <w:rFonts w:ascii="宋体" w:hAnsi="宋体" w:hint="eastAsia"/>
                <w:szCs w:val="24"/>
              </w:rPr>
              <w:t>头部</w:t>
            </w:r>
            <w:r w:rsidRPr="00402EFB">
              <w:rPr>
                <w:rFonts w:ascii="宋体" w:hAnsi="宋体" w:hint="eastAsia"/>
                <w:szCs w:val="24"/>
              </w:rPr>
              <w:t>设备制造商与</w:t>
            </w:r>
            <w:r>
              <w:rPr>
                <w:rFonts w:ascii="宋体" w:hAnsi="宋体" w:hint="eastAsia"/>
                <w:szCs w:val="24"/>
              </w:rPr>
              <w:t>国际</w:t>
            </w:r>
            <w:r w:rsidRPr="00402EFB">
              <w:rPr>
                <w:rFonts w:ascii="宋体" w:hAnsi="宋体" w:hint="eastAsia"/>
                <w:szCs w:val="24"/>
              </w:rPr>
              <w:t>终端品牌</w:t>
            </w:r>
            <w:r>
              <w:rPr>
                <w:rFonts w:ascii="宋体" w:hAnsi="宋体" w:hint="eastAsia"/>
                <w:szCs w:val="24"/>
              </w:rPr>
              <w:t>，产品已批量应用于国内外头部服务器厂商，从收入的角度看，目前国际客户占比相对较高，但随着国际地缘政治的影</w:t>
            </w:r>
            <w:r>
              <w:rPr>
                <w:rFonts w:ascii="宋体" w:hAnsi="宋体" w:hint="eastAsia"/>
                <w:szCs w:val="24"/>
              </w:rPr>
              <w:lastRenderedPageBreak/>
              <w:t>响，国内AI领域被高速发展，国内下游热管理国产化需求显著提高，国内客户的需求呈现高速增长的趋势。</w:t>
            </w:r>
          </w:p>
          <w:p w14:paraId="2D1DD08D" w14:textId="77777777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</w:p>
          <w:p w14:paraId="6BD6842A" w14:textId="77777777" w:rsidR="00C12C69" w:rsidRDefault="00C12C69" w:rsidP="00C12C69">
            <w:pPr>
              <w:spacing w:line="560" w:lineRule="exact"/>
              <w:ind w:firstLineChars="200" w:firstLine="482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7、请介绍一下公司智能终端业务情况，主要的增长驱动力有哪些？</w:t>
            </w:r>
          </w:p>
          <w:p w14:paraId="1F994262" w14:textId="77777777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答：公司材料广泛应用于手机、耳机、手表、Pad、笔记本电脑、车载电子、平面显示等智能终端产品。目前在耳机端的应用已具备了一定的份额优势</w:t>
            </w:r>
            <w:r w:rsidRPr="00840B03">
              <w:rPr>
                <w:rFonts w:ascii="宋体" w:hAnsi="宋体" w:hint="eastAsia"/>
                <w:szCs w:val="24"/>
              </w:rPr>
              <w:t>，其中在TWS耳机领域表现尤为突出----凭借在声学模组密封、结构粘接等环节的技术优势，已在国内外头部</w:t>
            </w:r>
            <w:r>
              <w:rPr>
                <w:rFonts w:ascii="宋体" w:hAnsi="宋体" w:hint="eastAsia"/>
                <w:szCs w:val="24"/>
              </w:rPr>
              <w:t>客户的供应链中占据较高市场份额，成为该细分领域的核心供应商之一；在智能手机端，以“LIPO超窄边框屏幕封装技术”为代表的新的应用点不断突破，在智能手机端的应用点整体份额呈现不断增长的趋势；在车载电子端实现多点的导入和起量；在偏光片领域应用拓展迅速并快速起量。产品竞争力的提升带来的新的应用点的突破、份额的增长，推动了智能终端业务的高效增长。</w:t>
            </w:r>
          </w:p>
          <w:p w14:paraId="55947EA5" w14:textId="77777777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</w:p>
          <w:p w14:paraId="3CCB6000" w14:textId="77777777" w:rsidR="00C12C69" w:rsidRDefault="00C12C69" w:rsidP="00C12C69">
            <w:pPr>
              <w:spacing w:line="560" w:lineRule="exact"/>
              <w:ind w:firstLineChars="200" w:firstLine="482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8、公司新能源板块增长趋势如何？面对降价公司都有哪些应对措施？</w:t>
            </w:r>
          </w:p>
          <w:p w14:paraId="612EB498" w14:textId="77777777" w:rsidR="00C12C69" w:rsidRDefault="00C12C69" w:rsidP="00C12C69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答：</w:t>
            </w:r>
            <w:r w:rsidRPr="0050207E">
              <w:rPr>
                <w:rFonts w:ascii="宋体" w:hAnsi="宋体" w:hint="eastAsia"/>
                <w:szCs w:val="24"/>
              </w:rPr>
              <w:t>随着下游新能源汽车销量的稳定增长以及储能业务的快速渗透，公司新能源应用材料出货量持续保持较高速度增长，市场份额较为稳定。但受制于下游行业降本的需求，公司新能源应用材料也受到降价的压力。</w:t>
            </w:r>
            <w:r w:rsidRPr="004D38B3">
              <w:rPr>
                <w:rFonts w:ascii="宋体" w:hAnsi="宋体" w:hint="eastAsia"/>
                <w:szCs w:val="24"/>
              </w:rPr>
              <w:t>面对</w:t>
            </w:r>
            <w:r w:rsidRPr="004D38B3">
              <w:rPr>
                <w:rFonts w:ascii="宋体" w:hAnsi="宋体" w:hint="eastAsia"/>
                <w:szCs w:val="24"/>
              </w:rPr>
              <w:lastRenderedPageBreak/>
              <w:t>降价，</w:t>
            </w:r>
            <w:r w:rsidRPr="00D02BD5">
              <w:rPr>
                <w:rFonts w:ascii="宋体" w:hAnsi="宋体" w:hint="eastAsia"/>
                <w:szCs w:val="24"/>
              </w:rPr>
              <w:t>公司多方面推进降本措施，一是公司投建的行业最先进的智能化全自动生产线陆续达产，大幅降低了生产及运营成本，我们还将持续优化，推动极致降本工作；二是公司具备国内领先的产能、产量优势，在原材料集采方面具有明显的议价优势；三是公司会持续进行配方优化，技术降本。通过上述措施，公司努力实现新能源板块在销量增长的同时，毛利率稳定在合理的区间。</w:t>
            </w:r>
          </w:p>
          <w:p w14:paraId="20D47333" w14:textId="77777777" w:rsidR="00F51164" w:rsidRPr="00C12C69" w:rsidRDefault="00F51164" w:rsidP="00C12C69">
            <w:pPr>
              <w:spacing w:line="560" w:lineRule="exact"/>
              <w:rPr>
                <w:rFonts w:ascii="宋体" w:hAnsi="宋体" w:hint="eastAsia"/>
                <w:szCs w:val="24"/>
              </w:rPr>
            </w:pPr>
            <w:bookmarkStart w:id="0" w:name="_GoBack"/>
            <w:bookmarkEnd w:id="0"/>
          </w:p>
        </w:tc>
      </w:tr>
      <w:tr w:rsidR="00F51164" w14:paraId="524E63D9" w14:textId="77777777">
        <w:trPr>
          <w:trHeight w:val="573"/>
        </w:trPr>
        <w:tc>
          <w:tcPr>
            <w:tcW w:w="2427" w:type="dxa"/>
            <w:vAlign w:val="center"/>
          </w:tcPr>
          <w:p w14:paraId="5A0CED20" w14:textId="77777777" w:rsidR="00F51164" w:rsidRDefault="007B710B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6081" w:type="dxa"/>
            <w:vAlign w:val="center"/>
          </w:tcPr>
          <w:p w14:paraId="4F0A9D18" w14:textId="77777777" w:rsidR="00F51164" w:rsidRDefault="007B710B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无</w:t>
            </w:r>
          </w:p>
        </w:tc>
      </w:tr>
    </w:tbl>
    <w:p w14:paraId="38B8CAFC" w14:textId="77777777" w:rsidR="00F51164" w:rsidRDefault="00F51164">
      <w:pPr>
        <w:widowControl/>
        <w:spacing w:line="400" w:lineRule="exact"/>
        <w:jc w:val="left"/>
        <w:rPr>
          <w:rFonts w:ascii="宋体" w:hAnsi="宋体"/>
          <w:sz w:val="21"/>
          <w:szCs w:val="21"/>
        </w:rPr>
      </w:pPr>
    </w:p>
    <w:sectPr w:rsidR="00F51164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51581" w14:textId="77777777" w:rsidR="00C16397" w:rsidRDefault="00C16397"/>
  </w:endnote>
  <w:endnote w:type="continuationSeparator" w:id="0">
    <w:p w14:paraId="1A3DAC46" w14:textId="77777777" w:rsidR="00C16397" w:rsidRDefault="00C16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7ECD1" w14:textId="77777777" w:rsidR="00C16397" w:rsidRDefault="00C16397"/>
  </w:footnote>
  <w:footnote w:type="continuationSeparator" w:id="0">
    <w:p w14:paraId="25FD6581" w14:textId="77777777" w:rsidR="00C16397" w:rsidRDefault="00C163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WRmYjIyZmVlODU4MjUwMmIyYmRjNTU0MjBlZGYifQ=="/>
  </w:docVars>
  <w:rsids>
    <w:rsidRoot w:val="00DC5E46"/>
    <w:rsid w:val="0000245C"/>
    <w:rsid w:val="00004B20"/>
    <w:rsid w:val="00017DD1"/>
    <w:rsid w:val="0002014A"/>
    <w:rsid w:val="00030DE9"/>
    <w:rsid w:val="0003154F"/>
    <w:rsid w:val="00032633"/>
    <w:rsid w:val="000415F4"/>
    <w:rsid w:val="00041C9D"/>
    <w:rsid w:val="000459A9"/>
    <w:rsid w:val="00050C04"/>
    <w:rsid w:val="00056AB7"/>
    <w:rsid w:val="00067427"/>
    <w:rsid w:val="000704AF"/>
    <w:rsid w:val="00070D2B"/>
    <w:rsid w:val="00080818"/>
    <w:rsid w:val="00084870"/>
    <w:rsid w:val="00092107"/>
    <w:rsid w:val="000A12C5"/>
    <w:rsid w:val="000A2DB5"/>
    <w:rsid w:val="000A64A8"/>
    <w:rsid w:val="000B4324"/>
    <w:rsid w:val="000B61FC"/>
    <w:rsid w:val="000C53F3"/>
    <w:rsid w:val="000D2872"/>
    <w:rsid w:val="000E1009"/>
    <w:rsid w:val="000E4665"/>
    <w:rsid w:val="000E46ED"/>
    <w:rsid w:val="000F4C75"/>
    <w:rsid w:val="00100005"/>
    <w:rsid w:val="0010080C"/>
    <w:rsid w:val="00111ED8"/>
    <w:rsid w:val="0011359B"/>
    <w:rsid w:val="00115906"/>
    <w:rsid w:val="00122AAA"/>
    <w:rsid w:val="00122CA4"/>
    <w:rsid w:val="001259EE"/>
    <w:rsid w:val="001404DD"/>
    <w:rsid w:val="00140A1B"/>
    <w:rsid w:val="00146FB8"/>
    <w:rsid w:val="00157C01"/>
    <w:rsid w:val="001600CB"/>
    <w:rsid w:val="001609E9"/>
    <w:rsid w:val="00163CA5"/>
    <w:rsid w:val="00167014"/>
    <w:rsid w:val="00171B17"/>
    <w:rsid w:val="001743F1"/>
    <w:rsid w:val="001800F7"/>
    <w:rsid w:val="00180D5D"/>
    <w:rsid w:val="00183228"/>
    <w:rsid w:val="001837A2"/>
    <w:rsid w:val="001956C4"/>
    <w:rsid w:val="001A6640"/>
    <w:rsid w:val="001A774A"/>
    <w:rsid w:val="001C3AD2"/>
    <w:rsid w:val="001D04DD"/>
    <w:rsid w:val="001D2B9C"/>
    <w:rsid w:val="001D4053"/>
    <w:rsid w:val="001E1C23"/>
    <w:rsid w:val="001E1C6F"/>
    <w:rsid w:val="001E3B67"/>
    <w:rsid w:val="001E42FC"/>
    <w:rsid w:val="001E50AD"/>
    <w:rsid w:val="001F0F88"/>
    <w:rsid w:val="001F4458"/>
    <w:rsid w:val="0020500F"/>
    <w:rsid w:val="0020687B"/>
    <w:rsid w:val="002075CC"/>
    <w:rsid w:val="00212C27"/>
    <w:rsid w:val="002143C9"/>
    <w:rsid w:val="00221631"/>
    <w:rsid w:val="00236E2E"/>
    <w:rsid w:val="00246207"/>
    <w:rsid w:val="00247FB5"/>
    <w:rsid w:val="0025376E"/>
    <w:rsid w:val="00253A35"/>
    <w:rsid w:val="00254DA5"/>
    <w:rsid w:val="00264304"/>
    <w:rsid w:val="00277AD7"/>
    <w:rsid w:val="00280FC0"/>
    <w:rsid w:val="0028324C"/>
    <w:rsid w:val="00283447"/>
    <w:rsid w:val="002A021D"/>
    <w:rsid w:val="002A3326"/>
    <w:rsid w:val="002B0BDB"/>
    <w:rsid w:val="002B3841"/>
    <w:rsid w:val="002B42E0"/>
    <w:rsid w:val="002B4498"/>
    <w:rsid w:val="002B79CA"/>
    <w:rsid w:val="002C388F"/>
    <w:rsid w:val="002D72FA"/>
    <w:rsid w:val="002E5264"/>
    <w:rsid w:val="002E5293"/>
    <w:rsid w:val="002F5525"/>
    <w:rsid w:val="002F7163"/>
    <w:rsid w:val="003017AE"/>
    <w:rsid w:val="00314871"/>
    <w:rsid w:val="003206FD"/>
    <w:rsid w:val="00324C44"/>
    <w:rsid w:val="00326C79"/>
    <w:rsid w:val="00327BCE"/>
    <w:rsid w:val="00334055"/>
    <w:rsid w:val="0033761C"/>
    <w:rsid w:val="00337A19"/>
    <w:rsid w:val="003423B7"/>
    <w:rsid w:val="00362F55"/>
    <w:rsid w:val="0036572D"/>
    <w:rsid w:val="00372B09"/>
    <w:rsid w:val="00393F39"/>
    <w:rsid w:val="0039540B"/>
    <w:rsid w:val="003A3A46"/>
    <w:rsid w:val="003A6113"/>
    <w:rsid w:val="003B5598"/>
    <w:rsid w:val="003B7978"/>
    <w:rsid w:val="003C3B4D"/>
    <w:rsid w:val="003C3F99"/>
    <w:rsid w:val="003C53DB"/>
    <w:rsid w:val="003D1463"/>
    <w:rsid w:val="003E53CF"/>
    <w:rsid w:val="003E5D9C"/>
    <w:rsid w:val="003E610A"/>
    <w:rsid w:val="003F11AD"/>
    <w:rsid w:val="003F12C8"/>
    <w:rsid w:val="003F1E65"/>
    <w:rsid w:val="003F3C92"/>
    <w:rsid w:val="003F489C"/>
    <w:rsid w:val="00403E58"/>
    <w:rsid w:val="004046D1"/>
    <w:rsid w:val="0040596A"/>
    <w:rsid w:val="00407C94"/>
    <w:rsid w:val="00412655"/>
    <w:rsid w:val="00427D88"/>
    <w:rsid w:val="00430DCC"/>
    <w:rsid w:val="00431E4C"/>
    <w:rsid w:val="00442451"/>
    <w:rsid w:val="0044314E"/>
    <w:rsid w:val="00451E2F"/>
    <w:rsid w:val="004538F4"/>
    <w:rsid w:val="00457653"/>
    <w:rsid w:val="0045786E"/>
    <w:rsid w:val="004638AF"/>
    <w:rsid w:val="00466861"/>
    <w:rsid w:val="004732F9"/>
    <w:rsid w:val="004754E9"/>
    <w:rsid w:val="00483884"/>
    <w:rsid w:val="00495DFF"/>
    <w:rsid w:val="004978E4"/>
    <w:rsid w:val="004A29B3"/>
    <w:rsid w:val="004B2A3F"/>
    <w:rsid w:val="004B4383"/>
    <w:rsid w:val="004C2778"/>
    <w:rsid w:val="004C634C"/>
    <w:rsid w:val="004C6F80"/>
    <w:rsid w:val="004D665E"/>
    <w:rsid w:val="004E408D"/>
    <w:rsid w:val="004E40CA"/>
    <w:rsid w:val="004E7C20"/>
    <w:rsid w:val="00501FA7"/>
    <w:rsid w:val="00510BB1"/>
    <w:rsid w:val="00511935"/>
    <w:rsid w:val="00513BB5"/>
    <w:rsid w:val="005146E3"/>
    <w:rsid w:val="00524BE4"/>
    <w:rsid w:val="00536442"/>
    <w:rsid w:val="005400CA"/>
    <w:rsid w:val="00541D8C"/>
    <w:rsid w:val="00543700"/>
    <w:rsid w:val="00555A3F"/>
    <w:rsid w:val="00557D76"/>
    <w:rsid w:val="005673FA"/>
    <w:rsid w:val="0057267D"/>
    <w:rsid w:val="00572766"/>
    <w:rsid w:val="005727E9"/>
    <w:rsid w:val="00590BA6"/>
    <w:rsid w:val="005A2448"/>
    <w:rsid w:val="005A4140"/>
    <w:rsid w:val="005A6293"/>
    <w:rsid w:val="005A6B74"/>
    <w:rsid w:val="005B065D"/>
    <w:rsid w:val="005D05C3"/>
    <w:rsid w:val="005D117F"/>
    <w:rsid w:val="005D4012"/>
    <w:rsid w:val="005E2365"/>
    <w:rsid w:val="005F54BB"/>
    <w:rsid w:val="005F6B7E"/>
    <w:rsid w:val="006002AD"/>
    <w:rsid w:val="006043C4"/>
    <w:rsid w:val="0060633C"/>
    <w:rsid w:val="006076A7"/>
    <w:rsid w:val="00610BC3"/>
    <w:rsid w:val="006237F6"/>
    <w:rsid w:val="00650074"/>
    <w:rsid w:val="0065282C"/>
    <w:rsid w:val="0065311E"/>
    <w:rsid w:val="0065397E"/>
    <w:rsid w:val="0066055E"/>
    <w:rsid w:val="00672825"/>
    <w:rsid w:val="00680153"/>
    <w:rsid w:val="006806DF"/>
    <w:rsid w:val="00694B4A"/>
    <w:rsid w:val="006B1ED8"/>
    <w:rsid w:val="006B6D59"/>
    <w:rsid w:val="006D1F99"/>
    <w:rsid w:val="006D3624"/>
    <w:rsid w:val="006E5D09"/>
    <w:rsid w:val="006E62D9"/>
    <w:rsid w:val="006E7FC6"/>
    <w:rsid w:val="006F07B6"/>
    <w:rsid w:val="00700618"/>
    <w:rsid w:val="007050EB"/>
    <w:rsid w:val="00707CA5"/>
    <w:rsid w:val="0071704A"/>
    <w:rsid w:val="00720173"/>
    <w:rsid w:val="00723D9F"/>
    <w:rsid w:val="007338F3"/>
    <w:rsid w:val="00733DCD"/>
    <w:rsid w:val="00746099"/>
    <w:rsid w:val="00747DA6"/>
    <w:rsid w:val="00755204"/>
    <w:rsid w:val="00762A69"/>
    <w:rsid w:val="00765421"/>
    <w:rsid w:val="00773E29"/>
    <w:rsid w:val="007804CA"/>
    <w:rsid w:val="0078434B"/>
    <w:rsid w:val="007846B6"/>
    <w:rsid w:val="007856B2"/>
    <w:rsid w:val="007A05A2"/>
    <w:rsid w:val="007A50F1"/>
    <w:rsid w:val="007A5737"/>
    <w:rsid w:val="007B1298"/>
    <w:rsid w:val="007B369A"/>
    <w:rsid w:val="007B3D2A"/>
    <w:rsid w:val="007B710B"/>
    <w:rsid w:val="007C067E"/>
    <w:rsid w:val="007C4D3C"/>
    <w:rsid w:val="007C7562"/>
    <w:rsid w:val="007D04EE"/>
    <w:rsid w:val="007D6811"/>
    <w:rsid w:val="007D69ED"/>
    <w:rsid w:val="007F03D8"/>
    <w:rsid w:val="007F0F7C"/>
    <w:rsid w:val="007F2945"/>
    <w:rsid w:val="007F3B4C"/>
    <w:rsid w:val="007F6A1C"/>
    <w:rsid w:val="00807C02"/>
    <w:rsid w:val="00810BF8"/>
    <w:rsid w:val="00816335"/>
    <w:rsid w:val="00816AF5"/>
    <w:rsid w:val="00821BFA"/>
    <w:rsid w:val="00833E29"/>
    <w:rsid w:val="00836733"/>
    <w:rsid w:val="00840D62"/>
    <w:rsid w:val="008429FC"/>
    <w:rsid w:val="0084424D"/>
    <w:rsid w:val="008479DD"/>
    <w:rsid w:val="00853EBC"/>
    <w:rsid w:val="008764D9"/>
    <w:rsid w:val="00880942"/>
    <w:rsid w:val="0088594A"/>
    <w:rsid w:val="00885F37"/>
    <w:rsid w:val="00887109"/>
    <w:rsid w:val="00890DE9"/>
    <w:rsid w:val="00893D52"/>
    <w:rsid w:val="008A4E65"/>
    <w:rsid w:val="008C3DFE"/>
    <w:rsid w:val="008C4831"/>
    <w:rsid w:val="008C76CF"/>
    <w:rsid w:val="008D0588"/>
    <w:rsid w:val="008D1E97"/>
    <w:rsid w:val="008E3D93"/>
    <w:rsid w:val="008E50D5"/>
    <w:rsid w:val="008E6760"/>
    <w:rsid w:val="008F3119"/>
    <w:rsid w:val="008F3E89"/>
    <w:rsid w:val="008F4C39"/>
    <w:rsid w:val="008F5F0B"/>
    <w:rsid w:val="0090553B"/>
    <w:rsid w:val="00905A85"/>
    <w:rsid w:val="009121C4"/>
    <w:rsid w:val="00915D33"/>
    <w:rsid w:val="0091640A"/>
    <w:rsid w:val="009178B8"/>
    <w:rsid w:val="00920B5D"/>
    <w:rsid w:val="00922283"/>
    <w:rsid w:val="00924C3F"/>
    <w:rsid w:val="0094154D"/>
    <w:rsid w:val="00943F9D"/>
    <w:rsid w:val="00951801"/>
    <w:rsid w:val="00961F4F"/>
    <w:rsid w:val="00970B27"/>
    <w:rsid w:val="00972096"/>
    <w:rsid w:val="00976FA4"/>
    <w:rsid w:val="00980FB2"/>
    <w:rsid w:val="0098123D"/>
    <w:rsid w:val="009A041B"/>
    <w:rsid w:val="009A5352"/>
    <w:rsid w:val="009B4447"/>
    <w:rsid w:val="009B51C4"/>
    <w:rsid w:val="009B7399"/>
    <w:rsid w:val="009D458C"/>
    <w:rsid w:val="009D6930"/>
    <w:rsid w:val="009D7279"/>
    <w:rsid w:val="009E68FD"/>
    <w:rsid w:val="009E6B11"/>
    <w:rsid w:val="009F4679"/>
    <w:rsid w:val="00A019D7"/>
    <w:rsid w:val="00A030B7"/>
    <w:rsid w:val="00A05635"/>
    <w:rsid w:val="00A25D3E"/>
    <w:rsid w:val="00A300B7"/>
    <w:rsid w:val="00A341BA"/>
    <w:rsid w:val="00A37212"/>
    <w:rsid w:val="00A40315"/>
    <w:rsid w:val="00A47E1A"/>
    <w:rsid w:val="00A54A9D"/>
    <w:rsid w:val="00A61C4B"/>
    <w:rsid w:val="00A650D4"/>
    <w:rsid w:val="00A6696C"/>
    <w:rsid w:val="00A96FBF"/>
    <w:rsid w:val="00AA397C"/>
    <w:rsid w:val="00AB2F1C"/>
    <w:rsid w:val="00AB7F58"/>
    <w:rsid w:val="00AC30A9"/>
    <w:rsid w:val="00AC7BCF"/>
    <w:rsid w:val="00AD5AE6"/>
    <w:rsid w:val="00AE1F47"/>
    <w:rsid w:val="00AE55B7"/>
    <w:rsid w:val="00AF6290"/>
    <w:rsid w:val="00B048C0"/>
    <w:rsid w:val="00B06539"/>
    <w:rsid w:val="00B06729"/>
    <w:rsid w:val="00B1056C"/>
    <w:rsid w:val="00B11CAB"/>
    <w:rsid w:val="00B17112"/>
    <w:rsid w:val="00B37FBC"/>
    <w:rsid w:val="00B525B3"/>
    <w:rsid w:val="00B52BCB"/>
    <w:rsid w:val="00B538BF"/>
    <w:rsid w:val="00B53939"/>
    <w:rsid w:val="00B57F52"/>
    <w:rsid w:val="00B71EE6"/>
    <w:rsid w:val="00B726B4"/>
    <w:rsid w:val="00B7490A"/>
    <w:rsid w:val="00B85999"/>
    <w:rsid w:val="00B91897"/>
    <w:rsid w:val="00B92BAA"/>
    <w:rsid w:val="00B948CE"/>
    <w:rsid w:val="00B961B2"/>
    <w:rsid w:val="00BA17B7"/>
    <w:rsid w:val="00BA203C"/>
    <w:rsid w:val="00BA2215"/>
    <w:rsid w:val="00BA392A"/>
    <w:rsid w:val="00BA50A3"/>
    <w:rsid w:val="00BB0FFA"/>
    <w:rsid w:val="00BB5044"/>
    <w:rsid w:val="00BB6B73"/>
    <w:rsid w:val="00BC0C3C"/>
    <w:rsid w:val="00BD218F"/>
    <w:rsid w:val="00BD7448"/>
    <w:rsid w:val="00BE7616"/>
    <w:rsid w:val="00C00D3C"/>
    <w:rsid w:val="00C023C4"/>
    <w:rsid w:val="00C04CCE"/>
    <w:rsid w:val="00C11531"/>
    <w:rsid w:val="00C12C69"/>
    <w:rsid w:val="00C16397"/>
    <w:rsid w:val="00C20410"/>
    <w:rsid w:val="00C365F3"/>
    <w:rsid w:val="00C44FD4"/>
    <w:rsid w:val="00C47246"/>
    <w:rsid w:val="00C74459"/>
    <w:rsid w:val="00C776DB"/>
    <w:rsid w:val="00C77D1C"/>
    <w:rsid w:val="00C836BA"/>
    <w:rsid w:val="00C86907"/>
    <w:rsid w:val="00CB0968"/>
    <w:rsid w:val="00CB77BD"/>
    <w:rsid w:val="00CD45D6"/>
    <w:rsid w:val="00CE7464"/>
    <w:rsid w:val="00CF1FC3"/>
    <w:rsid w:val="00CF36F6"/>
    <w:rsid w:val="00CF52F5"/>
    <w:rsid w:val="00CF630C"/>
    <w:rsid w:val="00D06D92"/>
    <w:rsid w:val="00D0795C"/>
    <w:rsid w:val="00D1166B"/>
    <w:rsid w:val="00D45316"/>
    <w:rsid w:val="00D46D99"/>
    <w:rsid w:val="00D5719E"/>
    <w:rsid w:val="00D60FAC"/>
    <w:rsid w:val="00D62C6C"/>
    <w:rsid w:val="00D735A7"/>
    <w:rsid w:val="00D86718"/>
    <w:rsid w:val="00D92D8C"/>
    <w:rsid w:val="00D94377"/>
    <w:rsid w:val="00DA105B"/>
    <w:rsid w:val="00DA4BC3"/>
    <w:rsid w:val="00DB1118"/>
    <w:rsid w:val="00DB18E5"/>
    <w:rsid w:val="00DB1E4C"/>
    <w:rsid w:val="00DB75D6"/>
    <w:rsid w:val="00DC0644"/>
    <w:rsid w:val="00DC2492"/>
    <w:rsid w:val="00DC3D6F"/>
    <w:rsid w:val="00DC4F83"/>
    <w:rsid w:val="00DC5E46"/>
    <w:rsid w:val="00DC7554"/>
    <w:rsid w:val="00DD341F"/>
    <w:rsid w:val="00DD40ED"/>
    <w:rsid w:val="00DD6319"/>
    <w:rsid w:val="00DD6CF1"/>
    <w:rsid w:val="00DE03D2"/>
    <w:rsid w:val="00DE661B"/>
    <w:rsid w:val="00DE6D51"/>
    <w:rsid w:val="00E02B40"/>
    <w:rsid w:val="00E11069"/>
    <w:rsid w:val="00E2026D"/>
    <w:rsid w:val="00E21205"/>
    <w:rsid w:val="00E24839"/>
    <w:rsid w:val="00E4612B"/>
    <w:rsid w:val="00E50D30"/>
    <w:rsid w:val="00E52781"/>
    <w:rsid w:val="00E60EDC"/>
    <w:rsid w:val="00E64F59"/>
    <w:rsid w:val="00E6658D"/>
    <w:rsid w:val="00E74D0A"/>
    <w:rsid w:val="00E87EFF"/>
    <w:rsid w:val="00E9000F"/>
    <w:rsid w:val="00E9322E"/>
    <w:rsid w:val="00E974BA"/>
    <w:rsid w:val="00E97BE6"/>
    <w:rsid w:val="00EA1995"/>
    <w:rsid w:val="00EB4E5E"/>
    <w:rsid w:val="00EC4054"/>
    <w:rsid w:val="00ED398C"/>
    <w:rsid w:val="00EE580C"/>
    <w:rsid w:val="00EF05D2"/>
    <w:rsid w:val="00EF1FB2"/>
    <w:rsid w:val="00F05EA7"/>
    <w:rsid w:val="00F065A0"/>
    <w:rsid w:val="00F069D4"/>
    <w:rsid w:val="00F175D5"/>
    <w:rsid w:val="00F21084"/>
    <w:rsid w:val="00F21DD1"/>
    <w:rsid w:val="00F44795"/>
    <w:rsid w:val="00F50D2D"/>
    <w:rsid w:val="00F51164"/>
    <w:rsid w:val="00F52347"/>
    <w:rsid w:val="00F55F1C"/>
    <w:rsid w:val="00F56FC4"/>
    <w:rsid w:val="00F70319"/>
    <w:rsid w:val="00F70DF1"/>
    <w:rsid w:val="00F72D1C"/>
    <w:rsid w:val="00F77606"/>
    <w:rsid w:val="00F9128E"/>
    <w:rsid w:val="00F97D3A"/>
    <w:rsid w:val="00FA5CD0"/>
    <w:rsid w:val="00FC1F32"/>
    <w:rsid w:val="00FC7A5F"/>
    <w:rsid w:val="00FD0551"/>
    <w:rsid w:val="00FD107F"/>
    <w:rsid w:val="00FD6D21"/>
    <w:rsid w:val="00FF13E7"/>
    <w:rsid w:val="00FF2283"/>
    <w:rsid w:val="03880939"/>
    <w:rsid w:val="0A90012D"/>
    <w:rsid w:val="0BD40F69"/>
    <w:rsid w:val="11997D58"/>
    <w:rsid w:val="15EB0834"/>
    <w:rsid w:val="19453EDB"/>
    <w:rsid w:val="19BC0A7B"/>
    <w:rsid w:val="28470706"/>
    <w:rsid w:val="2A2C6AAC"/>
    <w:rsid w:val="2A846B58"/>
    <w:rsid w:val="2EE30245"/>
    <w:rsid w:val="32EB1476"/>
    <w:rsid w:val="337E5A61"/>
    <w:rsid w:val="35E13004"/>
    <w:rsid w:val="3A695D27"/>
    <w:rsid w:val="405344B3"/>
    <w:rsid w:val="46C11EA8"/>
    <w:rsid w:val="48CB3C89"/>
    <w:rsid w:val="4EAB2E20"/>
    <w:rsid w:val="5485656A"/>
    <w:rsid w:val="572E1597"/>
    <w:rsid w:val="5D4F6922"/>
    <w:rsid w:val="5E5023B7"/>
    <w:rsid w:val="609B00D0"/>
    <w:rsid w:val="645F71E6"/>
    <w:rsid w:val="6D8B4CCE"/>
    <w:rsid w:val="6FFB6486"/>
    <w:rsid w:val="76A2279B"/>
    <w:rsid w:val="7C9B4CD8"/>
    <w:rsid w:val="7F2D7B49"/>
    <w:rsid w:val="7F61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1D5389-1657-418C-99A1-761F780D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180" w:after="18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  <w:rPr>
      <w:rFonts w:asciiTheme="minorHAnsi" w:eastAsiaTheme="minorEastAsia" w:hAnsiTheme="minorHAnsi"/>
      <w:sz w:val="21"/>
    </w:rPr>
  </w:style>
  <w:style w:type="character" w:customStyle="1" w:styleId="insert-data">
    <w:name w:val="insert-data"/>
    <w:basedOn w:val="a0"/>
    <w:autoRedefine/>
    <w:qFormat/>
  </w:style>
  <w:style w:type="paragraph" w:styleId="ab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8221-105F-4269-AD11-D9FA0CBC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孙红美</cp:lastModifiedBy>
  <cp:revision>5</cp:revision>
  <dcterms:created xsi:type="dcterms:W3CDTF">2026-01-22T02:32:00Z</dcterms:created>
  <dcterms:modified xsi:type="dcterms:W3CDTF">2026-01-23T09:33:00Z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287BE3016D814F389567E12B366F6703_13</vt:lpwstr>
  </property>
  <property fmtid="{D5CDD505-2E9C-101B-9397-08002B2CF9AE}" pid="4" name="KSOTemplateDocerSaveRecord">
    <vt:lpwstr>eyJoZGlkIjoiY2VlNTBjOTFmMmQxNWFlNjVkMmI2NzM2ZTM0MzMyN2EiLCJ1c2VySWQiOiIzMDk3NjE5OTYifQ==</vt:lpwstr>
  </property>
</Properties>
</file>