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D054" w14:textId="77777777" w:rsidR="00FA70AE" w:rsidRPr="00613663" w:rsidRDefault="00FA70AE" w:rsidP="00613663">
      <w:pPr>
        <w:pStyle w:val="005"/>
        <w:spacing w:beforeLines="0" w:afterLines="0"/>
        <w:ind w:firstLine="723"/>
        <w:jc w:val="center"/>
        <w:rPr>
          <w:rFonts w:ascii="宋体" w:hAnsi="宋体" w:hint="eastAsia"/>
          <w:b/>
          <w:sz w:val="36"/>
          <w:szCs w:val="36"/>
        </w:rPr>
      </w:pPr>
      <w:r w:rsidRPr="00613663">
        <w:rPr>
          <w:rFonts w:ascii="宋体" w:hAnsi="宋体" w:hint="eastAsia"/>
          <w:b/>
          <w:sz w:val="36"/>
          <w:szCs w:val="36"/>
        </w:rPr>
        <w:t>北海国发川山生物股份有限公司</w:t>
      </w:r>
    </w:p>
    <w:p w14:paraId="020124A0" w14:textId="77777777" w:rsidR="00FA70AE" w:rsidRPr="00613663" w:rsidRDefault="00FA70AE" w:rsidP="00613663">
      <w:pPr>
        <w:pStyle w:val="005"/>
        <w:spacing w:beforeLines="0" w:afterLines="0"/>
        <w:ind w:firstLine="723"/>
        <w:jc w:val="center"/>
        <w:rPr>
          <w:rFonts w:ascii="宋体" w:hAnsi="宋体" w:hint="eastAsia"/>
          <w:b/>
          <w:sz w:val="36"/>
          <w:szCs w:val="36"/>
        </w:rPr>
      </w:pPr>
      <w:r w:rsidRPr="00613663">
        <w:rPr>
          <w:rFonts w:ascii="宋体" w:hAnsi="宋体" w:hint="eastAsia"/>
          <w:b/>
          <w:sz w:val="36"/>
          <w:szCs w:val="36"/>
        </w:rPr>
        <w:t>投资者关系活动记录表</w:t>
      </w:r>
    </w:p>
    <w:p w14:paraId="00E6B637" w14:textId="41C451C1" w:rsidR="00FA70AE" w:rsidRPr="00613663" w:rsidRDefault="00FA70AE" w:rsidP="00DD2A00">
      <w:pPr>
        <w:rPr>
          <w:rFonts w:ascii="宋体" w:eastAsia="宋体" w:hAnsi="宋体" w:hint="eastAsia"/>
          <w:b/>
        </w:rPr>
      </w:pPr>
      <w:r w:rsidRPr="00613663">
        <w:rPr>
          <w:rFonts w:ascii="宋体" w:eastAsia="宋体" w:hAnsi="宋体" w:hint="eastAsia"/>
          <w:b/>
        </w:rPr>
        <w:t>证券简称：国发股份          证券代码：</w:t>
      </w:r>
      <w:r w:rsidRPr="00613663">
        <w:rPr>
          <w:rFonts w:ascii="宋体" w:eastAsia="宋体" w:hAnsi="宋体"/>
          <w:b/>
        </w:rPr>
        <w:t>600538</w:t>
      </w:r>
      <w:r w:rsidRPr="00613663">
        <w:rPr>
          <w:rFonts w:ascii="宋体" w:eastAsia="宋体" w:hAnsi="宋体" w:hint="eastAsia"/>
          <w:b/>
        </w:rPr>
        <w:t xml:space="preserve">          编号：</w:t>
      </w:r>
      <w:r w:rsidR="00DD2A00">
        <w:rPr>
          <w:rFonts w:ascii="宋体" w:eastAsia="宋体" w:hAnsi="宋体" w:hint="eastAsia"/>
          <w:b/>
        </w:rPr>
        <w:t>2026-001</w:t>
      </w:r>
      <w:r w:rsidR="000975AA">
        <w:rPr>
          <w:rFonts w:ascii="宋体" w:eastAsia="宋体" w:hAnsi="宋体" w:hint="eastAsia"/>
          <w:b/>
        </w:rPr>
        <w:t xml:space="preserve"> </w:t>
      </w:r>
    </w:p>
    <w:p w14:paraId="2DE91647" w14:textId="77777777" w:rsidR="00FA70AE" w:rsidRPr="00613663" w:rsidRDefault="00FA70AE" w:rsidP="00FA70AE">
      <w:pPr>
        <w:rPr>
          <w:rFonts w:ascii="宋体" w:eastAsia="宋体" w:hAnsi="宋体" w:hint="eastAsi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203"/>
      </w:tblGrid>
      <w:tr w:rsidR="00FA70AE" w:rsidRPr="00613663" w14:paraId="088A5C35" w14:textId="77777777" w:rsidTr="00294CDC">
        <w:tc>
          <w:tcPr>
            <w:tcW w:w="2637" w:type="dxa"/>
            <w:vAlign w:val="center"/>
          </w:tcPr>
          <w:p w14:paraId="62087867" w14:textId="77777777" w:rsidR="00FA70AE" w:rsidRPr="00613663" w:rsidRDefault="00FA70AE" w:rsidP="00FE52BE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79FFF393" w14:textId="77777777" w:rsidR="00FA70AE" w:rsidRPr="00613663" w:rsidRDefault="00FA70AE" w:rsidP="00FE52BE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203" w:type="dxa"/>
          </w:tcPr>
          <w:p w14:paraId="6B3042FD" w14:textId="77777777" w:rsidR="00FA70AE" w:rsidRPr="00613663" w:rsidRDefault="00FA70AE" w:rsidP="00FE52BE">
            <w:pPr>
              <w:spacing w:line="400" w:lineRule="exac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52"/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</w:t>
            </w: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586D607" w14:textId="77777777" w:rsidR="00FA70AE" w:rsidRPr="00613663" w:rsidRDefault="00FA70AE" w:rsidP="00FE52BE">
            <w:pPr>
              <w:spacing w:line="400" w:lineRule="exac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10CD9699" w14:textId="77777777" w:rsidR="00FA70AE" w:rsidRPr="00613663" w:rsidRDefault="00FA70AE" w:rsidP="00FE52BE">
            <w:pPr>
              <w:spacing w:line="400" w:lineRule="exac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3A172D12" w14:textId="77777777" w:rsidR="00FA70AE" w:rsidRPr="00613663" w:rsidRDefault="00FA70AE" w:rsidP="00FE52BE">
            <w:pPr>
              <w:tabs>
                <w:tab w:val="left" w:pos="2690"/>
                <w:tab w:val="center" w:pos="3199"/>
              </w:tabs>
              <w:spacing w:line="400" w:lineRule="exac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52"/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2628DBF0" w14:textId="77777777" w:rsidR="00FA70AE" w:rsidRPr="00613663" w:rsidRDefault="00FA70AE" w:rsidP="00FE52BE">
            <w:pPr>
              <w:tabs>
                <w:tab w:val="center" w:pos="3199"/>
              </w:tabs>
              <w:spacing w:line="400" w:lineRule="exac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□ </w:t>
            </w:r>
            <w:r w:rsidRPr="0061366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FA70AE" w:rsidRPr="00613663" w14:paraId="6F044923" w14:textId="77777777" w:rsidTr="00294CDC">
        <w:trPr>
          <w:trHeight w:val="1024"/>
        </w:trPr>
        <w:tc>
          <w:tcPr>
            <w:tcW w:w="2637" w:type="dxa"/>
            <w:vAlign w:val="center"/>
          </w:tcPr>
          <w:p w14:paraId="3F0024D0" w14:textId="77777777" w:rsidR="00FA70AE" w:rsidRPr="00613663" w:rsidRDefault="00FA70AE" w:rsidP="00FE52BE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时间及参与单位名称</w:t>
            </w:r>
          </w:p>
        </w:tc>
        <w:tc>
          <w:tcPr>
            <w:tcW w:w="6203" w:type="dxa"/>
          </w:tcPr>
          <w:p w14:paraId="039104F3" w14:textId="77777777" w:rsidR="00FA70AE" w:rsidRPr="00613663" w:rsidRDefault="00FA70AE" w:rsidP="00FE52BE">
            <w:pPr>
              <w:tabs>
                <w:tab w:val="center" w:pos="2798"/>
              </w:tabs>
              <w:spacing w:line="400" w:lineRule="exact"/>
              <w:ind w:firstLineChars="200" w:firstLine="480"/>
              <w:jc w:val="left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投资者关系活动情况如下：</w:t>
            </w:r>
          </w:p>
          <w:p w14:paraId="6D779965" w14:textId="1FE83C8D" w:rsidR="00FA70AE" w:rsidRPr="00613663" w:rsidRDefault="00FA70AE" w:rsidP="00FE52BE">
            <w:pPr>
              <w:tabs>
                <w:tab w:val="center" w:pos="2798"/>
              </w:tabs>
              <w:spacing w:line="400" w:lineRule="exact"/>
              <w:jc w:val="left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时间：</w:t>
            </w:r>
            <w:r w:rsidR="000975A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 xml:space="preserve"> </w:t>
            </w:r>
            <w:r w:rsidR="00DD2A00">
              <w:rPr>
                <w:rFonts w:ascii="宋体" w:eastAsia="宋体" w:hAnsi="宋体" w:cs="Times New Roman"/>
                <w:iCs/>
                <w:sz w:val="24"/>
                <w:szCs w:val="24"/>
              </w:rPr>
              <w:t>2026年1月29日</w:t>
            </w:r>
          </w:p>
          <w:p w14:paraId="20449D99" w14:textId="77777777" w:rsidR="00FA70AE" w:rsidRPr="00613663" w:rsidRDefault="00FA70AE" w:rsidP="00FE52BE">
            <w:pPr>
              <w:tabs>
                <w:tab w:val="center" w:pos="2798"/>
              </w:tabs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参与机构及人员：</w:t>
            </w:r>
          </w:p>
          <w:p w14:paraId="34C47D04" w14:textId="20B1E2BE" w:rsidR="00845AD2" w:rsidRPr="006F345A" w:rsidRDefault="00D30501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</w:pPr>
            <w:r w:rsidRP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广东晖弘私募证券投资基金管理有限公司</w:t>
            </w:r>
            <w:r w:rsidR="00B41386" w:rsidRP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际永星</w:t>
            </w:r>
            <w:r w:rsidR="006F345A" w:rsidRP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总</w:t>
            </w:r>
            <w:r w:rsidR="00B41386" w:rsidRP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经理</w:t>
            </w:r>
          </w:p>
          <w:p w14:paraId="6F4CC3E6" w14:textId="281FA750" w:rsidR="00A43B34" w:rsidRPr="00613663" w:rsidRDefault="00A43B34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FA70AE" w:rsidRPr="00613663" w14:paraId="6957B60D" w14:textId="77777777" w:rsidTr="00294CDC">
        <w:tc>
          <w:tcPr>
            <w:tcW w:w="2637" w:type="dxa"/>
            <w:vAlign w:val="center"/>
          </w:tcPr>
          <w:p w14:paraId="1276A3DA" w14:textId="034E5291" w:rsidR="00FA70AE" w:rsidRPr="00613663" w:rsidRDefault="004C210D" w:rsidP="00FE52BE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调研</w:t>
            </w:r>
            <w:r w:rsidR="00FA70AE"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203" w:type="dxa"/>
          </w:tcPr>
          <w:p w14:paraId="6C789778" w14:textId="5356EEAE" w:rsidR="004C210D" w:rsidRPr="004C210D" w:rsidRDefault="004C210D" w:rsidP="004C210D">
            <w:pPr>
              <w:spacing w:line="400" w:lineRule="exact"/>
              <w:ind w:firstLineChars="100" w:firstLine="240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广西北海市北部湾中路3号公司办公楼</w:t>
            </w:r>
          </w:p>
        </w:tc>
      </w:tr>
      <w:tr w:rsidR="00FA70AE" w:rsidRPr="00613663" w14:paraId="7249447B" w14:textId="77777777" w:rsidTr="00294CDC">
        <w:tc>
          <w:tcPr>
            <w:tcW w:w="2637" w:type="dxa"/>
            <w:vAlign w:val="center"/>
          </w:tcPr>
          <w:p w14:paraId="64EFFA72" w14:textId="77777777" w:rsidR="00FA70AE" w:rsidRPr="00613663" w:rsidRDefault="00FA70AE" w:rsidP="00FE52BE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</w:tcPr>
          <w:p w14:paraId="4973FB1A" w14:textId="6E4B6252" w:rsidR="00F63B8B" w:rsidRDefault="00F63B8B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董事长：程芳才先生</w:t>
            </w:r>
          </w:p>
          <w:p w14:paraId="4632CF29" w14:textId="64EF3FEB" w:rsidR="00DD2A00" w:rsidRDefault="00DD2A00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</w:t>
            </w:r>
            <w:r w:rsidR="00D46B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、总裁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D46B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张小玮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</w:p>
          <w:p w14:paraId="6567CC91" w14:textId="389214BC" w:rsidR="00FA70AE" w:rsidRPr="00613663" w:rsidRDefault="00F63B8B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董事、</w:t>
            </w:r>
            <w:r w:rsidR="00FA70AE"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副总裁、董事会秘书</w:t>
            </w:r>
            <w:r w:rsidR="00DD2A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FA70AE" w:rsidRPr="006136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李勇</w:t>
            </w:r>
            <w:r w:rsidR="00DD2A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</w:p>
          <w:p w14:paraId="26C5187D" w14:textId="4CDAF144" w:rsidR="00FA70AE" w:rsidRPr="00613663" w:rsidRDefault="00D46B42" w:rsidP="00FE52BE">
            <w:pPr>
              <w:spacing w:line="400" w:lineRule="exact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证券事务代表：黎莉萍女士</w:t>
            </w:r>
            <w:r w:rsidR="000975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13663" w:rsidRPr="00613663" w14:paraId="278EA071" w14:textId="77777777" w:rsidTr="00AA09AF">
        <w:tc>
          <w:tcPr>
            <w:tcW w:w="8840" w:type="dxa"/>
            <w:gridSpan w:val="2"/>
            <w:vAlign w:val="center"/>
          </w:tcPr>
          <w:p w14:paraId="32A84C02" w14:textId="3CD42B30" w:rsidR="00613663" w:rsidRPr="00613663" w:rsidRDefault="00613663" w:rsidP="00FE52BE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61366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2093BE8E" w14:textId="3055080F" w:rsidR="00613663" w:rsidRPr="00B41386" w:rsidRDefault="00613663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一、公司基本情况介绍</w:t>
            </w:r>
          </w:p>
          <w:p w14:paraId="768EC899" w14:textId="4D1FC6CC" w:rsidR="00613663" w:rsidRPr="00B41386" w:rsidRDefault="00613663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</w:pPr>
            <w:r w:rsidRPr="00B4138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公司</w:t>
            </w:r>
            <w:r w:rsidR="00F63B8B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董事长、</w:t>
            </w:r>
            <w:r w:rsidR="006F345A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总裁</w:t>
            </w:r>
            <w:r w:rsidR="00A43B34" w:rsidRPr="00B4138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、</w:t>
            </w:r>
            <w:r w:rsidRPr="00B41386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董事会秘书向调研人员介绍公司的基本情况</w:t>
            </w:r>
            <w:r w:rsidRPr="00B41386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6B4C1A3E" w14:textId="77777777" w:rsidR="00A43B34" w:rsidRPr="00B41386" w:rsidRDefault="00A43B34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 w:hint="eastAsia"/>
                <w:bCs/>
                <w:iCs/>
                <w:color w:val="FF0000"/>
                <w:sz w:val="24"/>
                <w:szCs w:val="24"/>
              </w:rPr>
            </w:pPr>
          </w:p>
          <w:p w14:paraId="3D39DA00" w14:textId="6657B031" w:rsidR="00613663" w:rsidRPr="00B41386" w:rsidRDefault="00613663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B41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二、与调研人员交流</w:t>
            </w:r>
            <w:r w:rsidR="00894DB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Pr="00B41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主要内容</w:t>
            </w:r>
          </w:p>
          <w:p w14:paraId="15A89B76" w14:textId="7775562C" w:rsidR="00B41386" w:rsidRPr="00B41386" w:rsidRDefault="00B41386" w:rsidP="00B41386">
            <w:pPr>
              <w:pStyle w:val="1"/>
              <w:spacing w:before="0" w:after="0" w:line="360" w:lineRule="auto"/>
              <w:ind w:firstLineChars="200" w:firstLine="482"/>
              <w:rPr>
                <w:rFonts w:ascii="宋体" w:eastAsia="宋体" w:hAnsi="宋体" w:hint="eastAsia"/>
                <w:b w:val="0"/>
                <w:bCs w:val="0"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 w:val="0"/>
                <w:sz w:val="24"/>
                <w:szCs w:val="24"/>
              </w:rPr>
              <w:t>问题一、</w:t>
            </w:r>
            <w:r w:rsidRPr="00B41386">
              <w:rPr>
                <w:rFonts w:ascii="宋体" w:eastAsia="宋体" w:hAnsi="宋体" w:hint="eastAsia"/>
                <w:b w:val="0"/>
                <w:bCs w:val="0"/>
                <w:sz w:val="24"/>
                <w:szCs w:val="24"/>
              </w:rPr>
              <w:t>公司主要经营业务是什么?涉及到哪些行业?</w:t>
            </w:r>
          </w:p>
          <w:p w14:paraId="61485170" w14:textId="168AE261" w:rsidR="00B41386" w:rsidRDefault="0027405C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回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="00B41386"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</w:p>
          <w:p w14:paraId="188BCE20" w14:textId="4878C4BE" w:rsidR="00B41386" w:rsidRDefault="00B41386" w:rsidP="00B41386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EF6E51">
              <w:rPr>
                <w:rFonts w:ascii="宋体" w:eastAsia="宋体" w:hAnsi="宋体" w:hint="eastAsia"/>
                <w:sz w:val="24"/>
                <w:szCs w:val="24"/>
              </w:rPr>
              <w:t>公司的主要产业为医药产业（医药流通、医药制造）、司法IVD（体外诊断）产业等大健康产业。</w:t>
            </w:r>
          </w:p>
          <w:p w14:paraId="08567B42" w14:textId="77777777" w:rsidR="00B41386" w:rsidRPr="00B41386" w:rsidRDefault="00B41386" w:rsidP="00B41386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9D7A3D" w14:textId="003CC042" w:rsidR="00613663" w:rsidRPr="00B41386" w:rsidRDefault="00613663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问题</w:t>
            </w:r>
            <w:r w:rsidR="00B41386">
              <w:rPr>
                <w:rFonts w:ascii="宋体" w:eastAsia="宋体" w:hAnsi="宋体" w:hint="eastAsia"/>
                <w:bCs/>
                <w:sz w:val="24"/>
                <w:szCs w:val="24"/>
              </w:rPr>
              <w:t>二</w:t>
            </w: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="00A43B34"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公司2025年度的经营情况</w:t>
            </w:r>
          </w:p>
          <w:p w14:paraId="6B786E30" w14:textId="5FFEEA46" w:rsidR="00B41386" w:rsidRDefault="0027405C" w:rsidP="00B41386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回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="00613663"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</w:p>
          <w:p w14:paraId="7364E371" w14:textId="2B3D4A6B" w:rsidR="003C22AF" w:rsidRPr="00B41386" w:rsidRDefault="00A43B34" w:rsidP="00212C9A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sz w:val="24"/>
                <w:szCs w:val="24"/>
              </w:rPr>
              <w:t>预计</w:t>
            </w:r>
            <w:r w:rsidR="00D5388C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B41386">
              <w:rPr>
                <w:rFonts w:ascii="宋体" w:eastAsia="宋体" w:hAnsi="宋体" w:hint="eastAsia"/>
                <w:sz w:val="24"/>
                <w:szCs w:val="24"/>
              </w:rPr>
              <w:t>2025年度实现</w:t>
            </w:r>
            <w:r w:rsidRPr="00B41386">
              <w:rPr>
                <w:rFonts w:ascii="宋体" w:eastAsia="宋体" w:hAnsi="宋体" w:hint="eastAsia"/>
                <w:spacing w:val="10"/>
                <w:sz w:val="24"/>
                <w:szCs w:val="24"/>
              </w:rPr>
              <w:t>营业收入3.3亿元左右，预计2025年度实现归属于母公司所有者的净利润为</w:t>
            </w:r>
            <w:bookmarkStart w:id="0" w:name="OLE_LINK1"/>
            <w:r w:rsidRPr="00B41386">
              <w:rPr>
                <w:rFonts w:ascii="宋体" w:eastAsia="宋体" w:hAnsi="宋体" w:hint="eastAsia"/>
                <w:sz w:val="24"/>
                <w:szCs w:val="24"/>
              </w:rPr>
              <w:t>-8,500万元</w:t>
            </w:r>
            <w:bookmarkEnd w:id="0"/>
            <w:r w:rsidRPr="00B41386">
              <w:rPr>
                <w:rFonts w:ascii="宋体" w:eastAsia="宋体" w:hAnsi="宋体" w:hint="eastAsia"/>
                <w:sz w:val="24"/>
                <w:szCs w:val="24"/>
              </w:rPr>
              <w:t>左右。2025年度亏损的主要原因为</w:t>
            </w:r>
            <w:r w:rsidR="001C49A1" w:rsidRPr="00B41386">
              <w:rPr>
                <w:rFonts w:ascii="宋体" w:eastAsia="宋体" w:hAnsi="宋体" w:hint="eastAsia"/>
                <w:sz w:val="24"/>
                <w:szCs w:val="24"/>
              </w:rPr>
              <w:t>计提商誉减值及主营业务影响。</w:t>
            </w:r>
            <w:r w:rsidRPr="00B41386">
              <w:rPr>
                <w:rFonts w:ascii="宋体" w:eastAsia="宋体" w:hAnsi="宋体" w:hint="eastAsia"/>
                <w:sz w:val="24"/>
                <w:szCs w:val="24"/>
              </w:rPr>
              <w:t>高盛生物受市场竞争加剧等因素影响营业收入及毛利率同比下降，其净利润由盈转亏；制药厂</w:t>
            </w:r>
            <w:bookmarkStart w:id="1" w:name="OLE_LINK2"/>
            <w:r w:rsidRPr="00B41386">
              <w:rPr>
                <w:rFonts w:ascii="宋体" w:eastAsia="宋体" w:hAnsi="宋体" w:hint="eastAsia"/>
                <w:sz w:val="24"/>
                <w:szCs w:val="24"/>
              </w:rPr>
              <w:t>对原有滴眼液生产线进行全面维护保养，同时推进销售政策优化及对市场原有产品清理调整工作，致使市场销售恢复进程滞后</w:t>
            </w:r>
            <w:r w:rsidR="00D46B42">
              <w:rPr>
                <w:rFonts w:ascii="宋体" w:eastAsia="宋体" w:hAnsi="宋体" w:hint="eastAsia"/>
                <w:sz w:val="24"/>
                <w:szCs w:val="24"/>
              </w:rPr>
              <w:t>，导</w:t>
            </w:r>
            <w:r w:rsidR="003C22AF" w:rsidRPr="00B41386">
              <w:rPr>
                <w:rFonts w:ascii="宋体" w:eastAsia="宋体" w:hAnsi="宋体" w:hint="eastAsia"/>
                <w:sz w:val="24"/>
                <w:szCs w:val="24"/>
              </w:rPr>
              <w:t>致营业收入下降，</w:t>
            </w:r>
            <w:r w:rsidRPr="00B41386">
              <w:rPr>
                <w:rFonts w:ascii="宋体" w:eastAsia="宋体" w:hAnsi="宋体" w:hint="eastAsia"/>
                <w:sz w:val="24"/>
                <w:szCs w:val="24"/>
              </w:rPr>
              <w:t>亏损同比增加。</w:t>
            </w:r>
            <w:bookmarkEnd w:id="1"/>
          </w:p>
          <w:p w14:paraId="684765FD" w14:textId="77777777" w:rsidR="00A43B34" w:rsidRPr="00B41386" w:rsidRDefault="00A43B34" w:rsidP="00B41386">
            <w:pPr>
              <w:spacing w:line="360" w:lineRule="auto"/>
              <w:ind w:firstLineChars="400" w:firstLine="960"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14DAF192" w14:textId="2CB942D6" w:rsidR="0027405C" w:rsidRPr="00EF6E51" w:rsidRDefault="000975AA" w:rsidP="0027405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问题</w:t>
            </w:r>
            <w:r w:rsidR="00B41386">
              <w:rPr>
                <w:rFonts w:ascii="宋体" w:eastAsia="宋体" w:hAnsi="宋体" w:hint="eastAsia"/>
                <w:bCs/>
                <w:sz w:val="24"/>
                <w:szCs w:val="24"/>
              </w:rPr>
              <w:t>三</w:t>
            </w: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="0027405C" w:rsidRPr="00EF6E51">
              <w:rPr>
                <w:rFonts w:ascii="宋体" w:eastAsia="宋体" w:hAnsi="宋体" w:hint="eastAsia"/>
                <w:sz w:val="24"/>
                <w:szCs w:val="24"/>
              </w:rPr>
              <w:t>公司司法IVD产业有哪些优势？</w:t>
            </w:r>
          </w:p>
          <w:p w14:paraId="4204AAA9" w14:textId="402C7E34" w:rsidR="0027405C" w:rsidRPr="00B41386" w:rsidRDefault="0027405C" w:rsidP="0027405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回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</w:t>
            </w:r>
            <w:r w:rsidRPr="00B41386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</w:p>
          <w:p w14:paraId="6ACD3E83" w14:textId="594819B7" w:rsidR="0027405C" w:rsidRPr="00EF6E51" w:rsidRDefault="0027405C" w:rsidP="0027405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高盛生物及其子公司高盛智造为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广东省</w:t>
            </w:r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高新技术企业及广东省专精特新中小企业，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在司</w:t>
            </w:r>
            <w:r w:rsidR="00894DB4">
              <w:rPr>
                <w:rFonts w:ascii="宋体" w:eastAsia="宋体" w:hAnsi="宋体" w:cs="Times New Roman" w:hint="eastAsia"/>
                <w:sz w:val="24"/>
                <w:szCs w:val="24"/>
              </w:rPr>
              <w:t>法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鉴定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领域具备显著的技术研发优势。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其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核心产品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“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超微量DNA自动提取检测工作站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”</w:t>
            </w:r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2019年获得公安部首届刑事技术“双十计划”攻关创新大赛银奖，2021年获得了广东省科技进步奖一等奖，是DNA鉴定检测领域实现国产替代的精细自动化装备之一，在同行业中具有较强的技术优势。到2024年底，该工作站设备国产率已达到100%。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此外，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高盛生物的</w:t>
            </w: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参股公司广州深晓基因科技有限公司在法医DNA二代测序建库领域保持技术领先地位，</w:t>
            </w:r>
            <w:r w:rsidRPr="00EF6E51">
              <w:rPr>
                <w:rFonts w:ascii="宋体" w:eastAsia="宋体" w:hAnsi="宋体" w:cs="Times New Roman" w:hint="eastAsia"/>
                <w:sz w:val="24"/>
                <w:szCs w:val="24"/>
              </w:rPr>
              <w:t>其</w:t>
            </w:r>
            <w:r w:rsidRPr="00EF6E5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自主研发的SET-B人类分型NGS试剂盒包含了公安部打拐要求的29个常染色体基因座和35个Y染色体基因座，为二代测序建库专用，是目前同类型产品中唯一获得公安部准入资格的产品。</w:t>
            </w:r>
          </w:p>
          <w:p w14:paraId="5EE4162F" w14:textId="77777777" w:rsidR="0027405C" w:rsidRPr="00EF6E51" w:rsidRDefault="0027405C" w:rsidP="0027405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F6E51">
              <w:rPr>
                <w:rFonts w:ascii="宋体" w:eastAsia="宋体" w:hAnsi="宋体" w:cs="Times New Roman"/>
                <w:sz w:val="24"/>
                <w:szCs w:val="24"/>
              </w:rPr>
              <w:t>高盛生物已构建完整的法医DNA检测全产业链产品及服务，涵盖设备研发、耗材生产、技术服务和司法鉴定四大业务板块，提供全产业链产品及一站式解决方案。依托技术和产品优势，公司深耕华南市场并辐射全国，长期为广东省各级公安DNA实验室的新建、扩建及设备升级提供整体解决方案，包括配套试剂耗材供应、DNA测序及数据库建设服务，积累了深厚的行业经验和优质的客户资源。</w:t>
            </w:r>
          </w:p>
          <w:p w14:paraId="1FE3B5A8" w14:textId="77777777" w:rsidR="00A43B34" w:rsidRPr="00B41386" w:rsidRDefault="00A43B34" w:rsidP="00B41386">
            <w:pPr>
              <w:spacing w:line="360" w:lineRule="auto"/>
              <w:ind w:firstLineChars="400" w:firstLine="960"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66D8D5CA" w14:textId="3D680630" w:rsidR="00613663" w:rsidRPr="00613663" w:rsidRDefault="00613663" w:rsidP="00B41386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</w:tbl>
    <w:p w14:paraId="75A728B6" w14:textId="77777777" w:rsidR="0027405C" w:rsidRDefault="0027405C" w:rsidP="00FA70AE">
      <w:pPr>
        <w:rPr>
          <w:rFonts w:ascii="宋体" w:eastAsia="宋体" w:hAnsi="宋体" w:hint="eastAsia"/>
          <w:b/>
          <w:bCs/>
        </w:rPr>
      </w:pPr>
    </w:p>
    <w:p w14:paraId="10167D4E" w14:textId="77777777" w:rsidR="0027405C" w:rsidRDefault="0027405C" w:rsidP="00FA70AE">
      <w:pPr>
        <w:rPr>
          <w:rFonts w:ascii="宋体" w:eastAsia="宋体" w:hAnsi="宋体" w:hint="eastAsia"/>
          <w:b/>
          <w:bCs/>
        </w:rPr>
      </w:pPr>
    </w:p>
    <w:p w14:paraId="31BBE1A3" w14:textId="0ACAD855" w:rsidR="001C49A1" w:rsidRPr="001B20BC" w:rsidRDefault="001B20BC" w:rsidP="001B20BC">
      <w:pPr>
        <w:jc w:val="right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2026年1月</w:t>
      </w:r>
      <w:r>
        <w:rPr>
          <w:rFonts w:ascii="宋体" w:eastAsia="宋体" w:hAnsi="宋体" w:hint="eastAsia"/>
        </w:rPr>
        <w:t>29</w:t>
      </w:r>
      <w:r>
        <w:rPr>
          <w:rFonts w:ascii="宋体" w:eastAsia="宋体" w:hAnsi="宋体"/>
        </w:rPr>
        <w:t>日</w:t>
      </w:r>
    </w:p>
    <w:sectPr w:rsidR="001C49A1" w:rsidRPr="001B20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A4DA" w14:textId="77777777" w:rsidR="007E0B82" w:rsidRDefault="007E0B82" w:rsidP="00FA70AE">
      <w:pPr>
        <w:rPr>
          <w:rFonts w:hint="eastAsia"/>
        </w:rPr>
      </w:pPr>
      <w:r>
        <w:separator/>
      </w:r>
    </w:p>
  </w:endnote>
  <w:endnote w:type="continuationSeparator" w:id="0">
    <w:p w14:paraId="0CCA6225" w14:textId="77777777" w:rsidR="007E0B82" w:rsidRDefault="007E0B82" w:rsidP="00FA70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AAC9" w14:textId="2C92F686" w:rsidR="00DA5E35" w:rsidRDefault="00DA5E35">
    <w:pPr>
      <w:pStyle w:val="a5"/>
      <w:jc w:val="center"/>
      <w:rPr>
        <w:rFonts w:hint="eastAsia"/>
      </w:rPr>
    </w:pPr>
  </w:p>
  <w:p w14:paraId="3C90940A" w14:textId="77777777" w:rsidR="00DA5E35" w:rsidRDefault="00DA5E3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EB1B" w14:textId="77777777" w:rsidR="007E0B82" w:rsidRDefault="007E0B82" w:rsidP="00FA70AE">
      <w:pPr>
        <w:rPr>
          <w:rFonts w:hint="eastAsia"/>
        </w:rPr>
      </w:pPr>
      <w:r>
        <w:separator/>
      </w:r>
    </w:p>
  </w:footnote>
  <w:footnote w:type="continuationSeparator" w:id="0">
    <w:p w14:paraId="6F410EE6" w14:textId="77777777" w:rsidR="007E0B82" w:rsidRDefault="007E0B82" w:rsidP="00FA70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8A2ACD"/>
    <w:multiLevelType w:val="singleLevel"/>
    <w:tmpl w:val="EF8A2A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D2B3E05"/>
    <w:multiLevelType w:val="hybridMultilevel"/>
    <w:tmpl w:val="D1A8BFAE"/>
    <w:lvl w:ilvl="0" w:tplc="800842A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70C90DAE"/>
    <w:multiLevelType w:val="singleLevel"/>
    <w:tmpl w:val="EF8A2A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048369">
    <w:abstractNumId w:val="0"/>
  </w:num>
  <w:num w:numId="2" w16cid:durableId="1876111891">
    <w:abstractNumId w:val="2"/>
  </w:num>
  <w:num w:numId="3" w16cid:durableId="173272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revisionView w:formatting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75C"/>
    <w:rsid w:val="00034A52"/>
    <w:rsid w:val="000438E1"/>
    <w:rsid w:val="0005440C"/>
    <w:rsid w:val="000675C6"/>
    <w:rsid w:val="00083301"/>
    <w:rsid w:val="00083BCA"/>
    <w:rsid w:val="000975AA"/>
    <w:rsid w:val="000B60D4"/>
    <w:rsid w:val="000C4F4A"/>
    <w:rsid w:val="000C5209"/>
    <w:rsid w:val="000E28E1"/>
    <w:rsid w:val="00107814"/>
    <w:rsid w:val="0011128F"/>
    <w:rsid w:val="0011533E"/>
    <w:rsid w:val="0011784B"/>
    <w:rsid w:val="0016783E"/>
    <w:rsid w:val="00170AD2"/>
    <w:rsid w:val="00177E09"/>
    <w:rsid w:val="001816F9"/>
    <w:rsid w:val="00182CE4"/>
    <w:rsid w:val="001A5723"/>
    <w:rsid w:val="001B20BC"/>
    <w:rsid w:val="001B5A2D"/>
    <w:rsid w:val="001B7100"/>
    <w:rsid w:val="001C37FD"/>
    <w:rsid w:val="001C49A1"/>
    <w:rsid w:val="001D24FD"/>
    <w:rsid w:val="001E5388"/>
    <w:rsid w:val="002049A5"/>
    <w:rsid w:val="00212C9A"/>
    <w:rsid w:val="00230964"/>
    <w:rsid w:val="002325AD"/>
    <w:rsid w:val="00233C15"/>
    <w:rsid w:val="002522C6"/>
    <w:rsid w:val="00254A46"/>
    <w:rsid w:val="00260E92"/>
    <w:rsid w:val="00262CE0"/>
    <w:rsid w:val="00263B55"/>
    <w:rsid w:val="00271622"/>
    <w:rsid w:val="0027405C"/>
    <w:rsid w:val="00275F12"/>
    <w:rsid w:val="00286FCD"/>
    <w:rsid w:val="002874A1"/>
    <w:rsid w:val="00291E84"/>
    <w:rsid w:val="002A30A1"/>
    <w:rsid w:val="002B0742"/>
    <w:rsid w:val="002B19BB"/>
    <w:rsid w:val="002B7BE6"/>
    <w:rsid w:val="002E32FF"/>
    <w:rsid w:val="002F1A09"/>
    <w:rsid w:val="00306069"/>
    <w:rsid w:val="003250FA"/>
    <w:rsid w:val="00334D14"/>
    <w:rsid w:val="0036049E"/>
    <w:rsid w:val="00375055"/>
    <w:rsid w:val="00385862"/>
    <w:rsid w:val="00394496"/>
    <w:rsid w:val="003944DA"/>
    <w:rsid w:val="003A1516"/>
    <w:rsid w:val="003A74BD"/>
    <w:rsid w:val="003B011D"/>
    <w:rsid w:val="003C22AF"/>
    <w:rsid w:val="003F5C75"/>
    <w:rsid w:val="004023AF"/>
    <w:rsid w:val="0040702C"/>
    <w:rsid w:val="004144BE"/>
    <w:rsid w:val="0041649A"/>
    <w:rsid w:val="004177F5"/>
    <w:rsid w:val="00417808"/>
    <w:rsid w:val="0043531B"/>
    <w:rsid w:val="004445B4"/>
    <w:rsid w:val="00444C03"/>
    <w:rsid w:val="00447085"/>
    <w:rsid w:val="00474FD0"/>
    <w:rsid w:val="00487C30"/>
    <w:rsid w:val="00493C0B"/>
    <w:rsid w:val="00494C37"/>
    <w:rsid w:val="004A062B"/>
    <w:rsid w:val="004B4274"/>
    <w:rsid w:val="004B5123"/>
    <w:rsid w:val="004B5F26"/>
    <w:rsid w:val="004C210D"/>
    <w:rsid w:val="004C4BF5"/>
    <w:rsid w:val="004C4DDA"/>
    <w:rsid w:val="004E2F38"/>
    <w:rsid w:val="004E6924"/>
    <w:rsid w:val="004F613E"/>
    <w:rsid w:val="00503759"/>
    <w:rsid w:val="005078D0"/>
    <w:rsid w:val="00507B36"/>
    <w:rsid w:val="00510377"/>
    <w:rsid w:val="005116A0"/>
    <w:rsid w:val="00531BB9"/>
    <w:rsid w:val="00550D52"/>
    <w:rsid w:val="00552829"/>
    <w:rsid w:val="00561C9B"/>
    <w:rsid w:val="00570130"/>
    <w:rsid w:val="005773D0"/>
    <w:rsid w:val="005C0124"/>
    <w:rsid w:val="005C091D"/>
    <w:rsid w:val="005C1E17"/>
    <w:rsid w:val="005E3646"/>
    <w:rsid w:val="005E667C"/>
    <w:rsid w:val="0060325B"/>
    <w:rsid w:val="0060528E"/>
    <w:rsid w:val="0061039E"/>
    <w:rsid w:val="00613663"/>
    <w:rsid w:val="00643844"/>
    <w:rsid w:val="006509B5"/>
    <w:rsid w:val="006533A9"/>
    <w:rsid w:val="00656955"/>
    <w:rsid w:val="0066275D"/>
    <w:rsid w:val="00675AF2"/>
    <w:rsid w:val="006A09C4"/>
    <w:rsid w:val="006B0A3B"/>
    <w:rsid w:val="006D3D60"/>
    <w:rsid w:val="006E0FE2"/>
    <w:rsid w:val="006F2FE6"/>
    <w:rsid w:val="006F345A"/>
    <w:rsid w:val="00710475"/>
    <w:rsid w:val="00723DF0"/>
    <w:rsid w:val="00730D42"/>
    <w:rsid w:val="00743B91"/>
    <w:rsid w:val="007441CF"/>
    <w:rsid w:val="00751278"/>
    <w:rsid w:val="00753CFA"/>
    <w:rsid w:val="00760864"/>
    <w:rsid w:val="00762647"/>
    <w:rsid w:val="007629B3"/>
    <w:rsid w:val="00795FD8"/>
    <w:rsid w:val="007A6AF0"/>
    <w:rsid w:val="007C02D0"/>
    <w:rsid w:val="007D57CA"/>
    <w:rsid w:val="007E0B82"/>
    <w:rsid w:val="007E475C"/>
    <w:rsid w:val="007F5C93"/>
    <w:rsid w:val="008149C9"/>
    <w:rsid w:val="00821A84"/>
    <w:rsid w:val="0082270E"/>
    <w:rsid w:val="00822914"/>
    <w:rsid w:val="008337CA"/>
    <w:rsid w:val="00840F2A"/>
    <w:rsid w:val="00844DDB"/>
    <w:rsid w:val="00845AD2"/>
    <w:rsid w:val="00862243"/>
    <w:rsid w:val="00862C40"/>
    <w:rsid w:val="00884E28"/>
    <w:rsid w:val="00886A70"/>
    <w:rsid w:val="00892135"/>
    <w:rsid w:val="00894533"/>
    <w:rsid w:val="00894DB4"/>
    <w:rsid w:val="008B29E5"/>
    <w:rsid w:val="008C471B"/>
    <w:rsid w:val="008D4118"/>
    <w:rsid w:val="008D66B0"/>
    <w:rsid w:val="008E2A87"/>
    <w:rsid w:val="008E4F56"/>
    <w:rsid w:val="009011C5"/>
    <w:rsid w:val="0090276D"/>
    <w:rsid w:val="00917274"/>
    <w:rsid w:val="0092350E"/>
    <w:rsid w:val="0092584F"/>
    <w:rsid w:val="0093439A"/>
    <w:rsid w:val="0093498C"/>
    <w:rsid w:val="0094681E"/>
    <w:rsid w:val="00951DF9"/>
    <w:rsid w:val="00952EB6"/>
    <w:rsid w:val="009817D2"/>
    <w:rsid w:val="00985EE9"/>
    <w:rsid w:val="00995D4F"/>
    <w:rsid w:val="009A549E"/>
    <w:rsid w:val="009B4DA6"/>
    <w:rsid w:val="009E331E"/>
    <w:rsid w:val="009E5B5F"/>
    <w:rsid w:val="00A06DA0"/>
    <w:rsid w:val="00A22E12"/>
    <w:rsid w:val="00A4081A"/>
    <w:rsid w:val="00A42150"/>
    <w:rsid w:val="00A439E6"/>
    <w:rsid w:val="00A43B34"/>
    <w:rsid w:val="00A47D72"/>
    <w:rsid w:val="00A63BEF"/>
    <w:rsid w:val="00A64D22"/>
    <w:rsid w:val="00A6776A"/>
    <w:rsid w:val="00A7552D"/>
    <w:rsid w:val="00A87E60"/>
    <w:rsid w:val="00A97004"/>
    <w:rsid w:val="00AA132A"/>
    <w:rsid w:val="00AA5B85"/>
    <w:rsid w:val="00AC5CE9"/>
    <w:rsid w:val="00AE2D95"/>
    <w:rsid w:val="00AF1F05"/>
    <w:rsid w:val="00AF766F"/>
    <w:rsid w:val="00B06B2B"/>
    <w:rsid w:val="00B110A1"/>
    <w:rsid w:val="00B11C14"/>
    <w:rsid w:val="00B15EBA"/>
    <w:rsid w:val="00B34A42"/>
    <w:rsid w:val="00B41386"/>
    <w:rsid w:val="00B43809"/>
    <w:rsid w:val="00B50F53"/>
    <w:rsid w:val="00B56A5A"/>
    <w:rsid w:val="00B63B16"/>
    <w:rsid w:val="00B76E9C"/>
    <w:rsid w:val="00B9206D"/>
    <w:rsid w:val="00B932C7"/>
    <w:rsid w:val="00BD5691"/>
    <w:rsid w:val="00BF18E7"/>
    <w:rsid w:val="00BF5B8B"/>
    <w:rsid w:val="00C037B9"/>
    <w:rsid w:val="00C17038"/>
    <w:rsid w:val="00C31FA2"/>
    <w:rsid w:val="00C37B3A"/>
    <w:rsid w:val="00C43449"/>
    <w:rsid w:val="00C90B96"/>
    <w:rsid w:val="00C94C42"/>
    <w:rsid w:val="00C97F19"/>
    <w:rsid w:val="00CA16E7"/>
    <w:rsid w:val="00CB21F5"/>
    <w:rsid w:val="00CC37F2"/>
    <w:rsid w:val="00CE14B1"/>
    <w:rsid w:val="00D114ED"/>
    <w:rsid w:val="00D1232B"/>
    <w:rsid w:val="00D158C5"/>
    <w:rsid w:val="00D30501"/>
    <w:rsid w:val="00D34F5C"/>
    <w:rsid w:val="00D35066"/>
    <w:rsid w:val="00D36A88"/>
    <w:rsid w:val="00D428D8"/>
    <w:rsid w:val="00D4661D"/>
    <w:rsid w:val="00D46B42"/>
    <w:rsid w:val="00D47407"/>
    <w:rsid w:val="00D5388C"/>
    <w:rsid w:val="00D61586"/>
    <w:rsid w:val="00D63979"/>
    <w:rsid w:val="00D87ED9"/>
    <w:rsid w:val="00DA5E35"/>
    <w:rsid w:val="00DC112E"/>
    <w:rsid w:val="00DD2A00"/>
    <w:rsid w:val="00DE3119"/>
    <w:rsid w:val="00DF4684"/>
    <w:rsid w:val="00E00FDF"/>
    <w:rsid w:val="00E02FA6"/>
    <w:rsid w:val="00E064DB"/>
    <w:rsid w:val="00E128A4"/>
    <w:rsid w:val="00E27954"/>
    <w:rsid w:val="00E302B2"/>
    <w:rsid w:val="00E34726"/>
    <w:rsid w:val="00E35A97"/>
    <w:rsid w:val="00E368E7"/>
    <w:rsid w:val="00E36C16"/>
    <w:rsid w:val="00E41B9B"/>
    <w:rsid w:val="00E4361A"/>
    <w:rsid w:val="00E47908"/>
    <w:rsid w:val="00E52A14"/>
    <w:rsid w:val="00E63EDB"/>
    <w:rsid w:val="00E6694D"/>
    <w:rsid w:val="00E71301"/>
    <w:rsid w:val="00E8366A"/>
    <w:rsid w:val="00E95DB9"/>
    <w:rsid w:val="00ED0236"/>
    <w:rsid w:val="00EE4B93"/>
    <w:rsid w:val="00EF1EA1"/>
    <w:rsid w:val="00EF5335"/>
    <w:rsid w:val="00F118CC"/>
    <w:rsid w:val="00F1727A"/>
    <w:rsid w:val="00F36BC0"/>
    <w:rsid w:val="00F44397"/>
    <w:rsid w:val="00F52B78"/>
    <w:rsid w:val="00F52F06"/>
    <w:rsid w:val="00F63B8B"/>
    <w:rsid w:val="00F748ED"/>
    <w:rsid w:val="00F77D3E"/>
    <w:rsid w:val="00F85068"/>
    <w:rsid w:val="00F95811"/>
    <w:rsid w:val="00FA5E72"/>
    <w:rsid w:val="00FA70AE"/>
    <w:rsid w:val="00FB1E14"/>
    <w:rsid w:val="00FB436B"/>
    <w:rsid w:val="00FC3D56"/>
    <w:rsid w:val="00FC53FA"/>
    <w:rsid w:val="00FD41C1"/>
    <w:rsid w:val="00FE52BE"/>
    <w:rsid w:val="00FF34BD"/>
    <w:rsid w:val="00FF35CA"/>
    <w:rsid w:val="00FF4EDF"/>
    <w:rsid w:val="00FF58A1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47126"/>
  <w15:chartTrackingRefBased/>
  <w15:docId w15:val="{037E5080-C014-4EA6-9943-54DD7566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AE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3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0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0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0AE"/>
    <w:rPr>
      <w:sz w:val="18"/>
      <w:szCs w:val="18"/>
    </w:rPr>
  </w:style>
  <w:style w:type="paragraph" w:customStyle="1" w:styleId="005">
    <w:name w:val="005正文"/>
    <w:basedOn w:val="a"/>
    <w:qFormat/>
    <w:rsid w:val="00FA70AE"/>
    <w:pPr>
      <w:adjustRightInd w:val="0"/>
      <w:snapToGrid w:val="0"/>
      <w:spacing w:beforeLines="50" w:after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a7">
    <w:name w:val="List Paragraph"/>
    <w:basedOn w:val="a"/>
    <w:uiPriority w:val="34"/>
    <w:unhideWhenUsed/>
    <w:qFormat/>
    <w:rsid w:val="00613663"/>
    <w:pPr>
      <w:spacing w:line="360" w:lineRule="auto"/>
      <w:ind w:firstLineChars="200" w:firstLine="420"/>
    </w:pPr>
    <w:rPr>
      <w:rFonts w:ascii="宋体" w:eastAsia="宋体" w:hAnsi="宋体" w:cs="Times New Roman"/>
      <w:color w:val="000000" w:themeColor="text1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1C49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1C49A1"/>
    <w:rPr>
      <w:i/>
      <w:iCs/>
    </w:rPr>
  </w:style>
  <w:style w:type="character" w:customStyle="1" w:styleId="10">
    <w:name w:val="标题 1 字符"/>
    <w:basedOn w:val="a0"/>
    <w:link w:val="1"/>
    <w:uiPriority w:val="9"/>
    <w:rsid w:val="00B413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Go</dc:creator>
  <cp:keywords/>
  <dc:description/>
  <cp:lastModifiedBy>far Go</cp:lastModifiedBy>
  <cp:revision>25</cp:revision>
  <cp:lastPrinted>2024-05-24T00:32:00Z</cp:lastPrinted>
  <dcterms:created xsi:type="dcterms:W3CDTF">2024-05-23T09:00:00Z</dcterms:created>
  <dcterms:modified xsi:type="dcterms:W3CDTF">2026-01-30T02:14:00Z</dcterms:modified>
</cp:coreProperties>
</file>