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DC6"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金诚信矿业管理股份有限公司</w:t>
      </w:r>
    </w:p>
    <w:p w14:paraId="65E719A0"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投资者关系月度记录</w:t>
      </w:r>
    </w:p>
    <w:p w14:paraId="6DCF0356" w14:textId="5F7D5FEB" w:rsidR="00F01EA1" w:rsidRDefault="00551C9C">
      <w:pPr>
        <w:tabs>
          <w:tab w:val="left" w:pos="1440"/>
        </w:tabs>
        <w:spacing w:after="240" w:line="14" w:lineRule="auto"/>
        <w:jc w:val="center"/>
        <w:rPr>
          <w:rFonts w:asciiTheme="minorEastAsia" w:hAnsiTheme="minorEastAsia" w:hint="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FE5794">
        <w:rPr>
          <w:rFonts w:asciiTheme="minorEastAsia" w:hAnsiTheme="minorEastAsia" w:hint="eastAsia"/>
          <w:sz w:val="24"/>
          <w:szCs w:val="28"/>
        </w:rPr>
        <w:t>26</w:t>
      </w:r>
      <w:r w:rsidR="00DA47AD">
        <w:rPr>
          <w:rFonts w:asciiTheme="minorEastAsia" w:hAnsiTheme="minorEastAsia"/>
          <w:sz w:val="24"/>
          <w:szCs w:val="28"/>
        </w:rPr>
        <w:t>年</w:t>
      </w:r>
      <w:r w:rsidR="004B6C64">
        <w:rPr>
          <w:rFonts w:asciiTheme="minorEastAsia" w:hAnsiTheme="minorEastAsia" w:hint="eastAsia"/>
          <w:sz w:val="24"/>
          <w:szCs w:val="28"/>
        </w:rPr>
        <w:t>1</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14:paraId="06A7CD6B" w14:textId="77777777" w:rsidTr="00977CC6">
        <w:trPr>
          <w:trHeight w:val="2402"/>
        </w:trPr>
        <w:tc>
          <w:tcPr>
            <w:tcW w:w="1410" w:type="dxa"/>
            <w:vAlign w:val="center"/>
          </w:tcPr>
          <w:p w14:paraId="39BFEFE1" w14:textId="77777777" w:rsidR="00F01EA1" w:rsidRDefault="00551C9C">
            <w:pPr>
              <w:pStyle w:val="TableParagraph"/>
              <w:ind w:left="113"/>
              <w:rPr>
                <w:rFonts w:asciiTheme="minorEastAsia" w:eastAsiaTheme="minorEastAsia" w:hAnsiTheme="minorEastAsia" w:hint="eastAsia"/>
                <w:sz w:val="24"/>
                <w:szCs w:val="24"/>
              </w:rPr>
            </w:pPr>
            <w:r>
              <w:rPr>
                <w:rFonts w:asciiTheme="minorEastAsia" w:eastAsiaTheme="minorEastAsia" w:hAnsiTheme="minorEastAsia"/>
                <w:sz w:val="24"/>
                <w:szCs w:val="24"/>
              </w:rPr>
              <w:t>活动类别</w:t>
            </w:r>
          </w:p>
        </w:tc>
        <w:tc>
          <w:tcPr>
            <w:tcW w:w="7270" w:type="dxa"/>
            <w:vAlign w:val="center"/>
          </w:tcPr>
          <w:p w14:paraId="13626B79" w14:textId="77777777"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14:paraId="41C1C78A"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14:paraId="4210D705"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14:paraId="1B15A526"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□现场参观</w:t>
            </w:r>
          </w:p>
          <w:p w14:paraId="286D5D7A" w14:textId="77777777" w:rsidR="00F01EA1" w:rsidRDefault="00551C9C">
            <w:pPr>
              <w:pStyle w:val="TableParagraph"/>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14:paraId="489F7AE7" w14:textId="77777777" w:rsidTr="00977CC6">
        <w:trPr>
          <w:trHeight w:val="897"/>
        </w:trPr>
        <w:tc>
          <w:tcPr>
            <w:tcW w:w="1410" w:type="dxa"/>
            <w:vAlign w:val="center"/>
          </w:tcPr>
          <w:p w14:paraId="6E8028E8" w14:textId="77777777" w:rsidR="00F01EA1" w:rsidRPr="005523F9" w:rsidRDefault="00551C9C">
            <w:pPr>
              <w:pStyle w:val="TableParagraph"/>
              <w:spacing w:line="276" w:lineRule="auto"/>
              <w:ind w:left="113"/>
              <w:rPr>
                <w:rFonts w:cs="Arial" w:hint="eastAsia"/>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14:paraId="45AE3E79" w14:textId="21D93F7D" w:rsidR="00CA569E" w:rsidRPr="00E25EEC" w:rsidRDefault="00186019" w:rsidP="00361FFE">
            <w:pPr>
              <w:pStyle w:val="TableParagraph"/>
              <w:spacing w:line="360" w:lineRule="auto"/>
              <w:ind w:left="112"/>
              <w:jc w:val="both"/>
              <w:rPr>
                <w:rFonts w:cs="Arial" w:hint="eastAsia"/>
                <w:sz w:val="24"/>
                <w:szCs w:val="24"/>
                <w:lang w:eastAsia="zh-CN"/>
              </w:rPr>
            </w:pPr>
            <w:r w:rsidRPr="00186019">
              <w:rPr>
                <w:rFonts w:cs="Arial"/>
                <w:bCs/>
                <w:sz w:val="24"/>
                <w:szCs w:val="24"/>
                <w:lang w:val="en-US" w:eastAsia="zh-CN"/>
              </w:rPr>
              <w:t>国联民生</w:t>
            </w:r>
            <w:r>
              <w:rPr>
                <w:rFonts w:cs="Arial" w:hint="eastAsia"/>
                <w:bCs/>
                <w:sz w:val="24"/>
                <w:szCs w:val="24"/>
                <w:lang w:val="en-US" w:eastAsia="zh-CN"/>
              </w:rPr>
              <w:t>、</w:t>
            </w:r>
            <w:r w:rsidRPr="00186019">
              <w:rPr>
                <w:rFonts w:cs="Arial"/>
                <w:bCs/>
                <w:sz w:val="24"/>
                <w:szCs w:val="24"/>
                <w:lang w:val="en-US" w:eastAsia="zh-CN"/>
              </w:rPr>
              <w:t>汇添富</w:t>
            </w:r>
            <w:r>
              <w:rPr>
                <w:rFonts w:cs="Arial" w:hint="eastAsia"/>
                <w:bCs/>
                <w:sz w:val="24"/>
                <w:szCs w:val="24"/>
                <w:lang w:val="en-US" w:eastAsia="zh-CN"/>
              </w:rPr>
              <w:t>、</w:t>
            </w:r>
            <w:r w:rsidR="0081247D" w:rsidRPr="0081247D">
              <w:rPr>
                <w:rFonts w:cs="Arial"/>
                <w:bCs/>
                <w:sz w:val="24"/>
                <w:szCs w:val="24"/>
                <w:lang w:val="en-US" w:eastAsia="zh-CN"/>
              </w:rPr>
              <w:t>国盛证券</w:t>
            </w:r>
            <w:r w:rsidR="0081247D">
              <w:rPr>
                <w:rFonts w:cs="Arial" w:hint="eastAsia"/>
                <w:bCs/>
                <w:sz w:val="24"/>
                <w:szCs w:val="24"/>
                <w:lang w:val="en-US" w:eastAsia="zh-CN"/>
              </w:rPr>
              <w:t>、</w:t>
            </w:r>
            <w:r w:rsidR="0081247D" w:rsidRPr="0081247D">
              <w:rPr>
                <w:rFonts w:cs="Arial"/>
                <w:bCs/>
                <w:sz w:val="24"/>
                <w:szCs w:val="24"/>
                <w:lang w:val="en-US" w:eastAsia="zh-CN"/>
              </w:rPr>
              <w:t>盛宇投资</w:t>
            </w:r>
            <w:r w:rsidR="0081247D">
              <w:rPr>
                <w:rFonts w:cs="Arial" w:hint="eastAsia"/>
                <w:bCs/>
                <w:sz w:val="24"/>
                <w:szCs w:val="24"/>
                <w:lang w:val="en-US" w:eastAsia="zh-CN"/>
              </w:rPr>
              <w:t>、</w:t>
            </w:r>
            <w:r w:rsidR="0081247D" w:rsidRPr="0081247D">
              <w:rPr>
                <w:rFonts w:cs="Arial"/>
                <w:bCs/>
                <w:sz w:val="24"/>
                <w:szCs w:val="24"/>
                <w:lang w:val="en-US" w:eastAsia="zh-CN"/>
              </w:rPr>
              <w:t>高信百诺</w:t>
            </w:r>
            <w:r w:rsidR="0081247D">
              <w:rPr>
                <w:rFonts w:cs="Arial" w:hint="eastAsia"/>
                <w:bCs/>
                <w:sz w:val="24"/>
                <w:szCs w:val="24"/>
                <w:lang w:val="en-US" w:eastAsia="zh-CN"/>
              </w:rPr>
              <w:t>、</w:t>
            </w:r>
            <w:r w:rsidR="0081247D" w:rsidRPr="0081247D">
              <w:rPr>
                <w:rFonts w:cs="Arial"/>
                <w:bCs/>
                <w:sz w:val="24"/>
                <w:szCs w:val="24"/>
                <w:lang w:val="en-US" w:eastAsia="zh-CN"/>
              </w:rPr>
              <w:t>平安基金</w:t>
            </w:r>
            <w:r w:rsidR="0081247D">
              <w:rPr>
                <w:rFonts w:cs="Arial" w:hint="eastAsia"/>
                <w:bCs/>
                <w:sz w:val="24"/>
                <w:szCs w:val="24"/>
                <w:lang w:val="en-US" w:eastAsia="zh-CN"/>
              </w:rPr>
              <w:t>、</w:t>
            </w:r>
            <w:r w:rsidR="0081247D" w:rsidRPr="0081247D">
              <w:rPr>
                <w:rFonts w:cs="Arial"/>
                <w:bCs/>
                <w:sz w:val="24"/>
                <w:szCs w:val="24"/>
                <w:lang w:val="en-US" w:eastAsia="zh-CN"/>
              </w:rPr>
              <w:t>国寿安保</w:t>
            </w:r>
            <w:r w:rsidR="0081247D">
              <w:rPr>
                <w:rFonts w:cs="Arial" w:hint="eastAsia"/>
                <w:bCs/>
                <w:sz w:val="24"/>
                <w:szCs w:val="24"/>
                <w:lang w:val="en-US" w:eastAsia="zh-CN"/>
              </w:rPr>
              <w:t>、</w:t>
            </w:r>
            <w:r w:rsidR="0081247D" w:rsidRPr="0081247D">
              <w:rPr>
                <w:rFonts w:cs="Arial"/>
                <w:bCs/>
                <w:sz w:val="24"/>
                <w:szCs w:val="24"/>
                <w:lang w:val="en-US" w:eastAsia="zh-CN"/>
              </w:rPr>
              <w:t>易方达</w:t>
            </w:r>
          </w:p>
        </w:tc>
      </w:tr>
      <w:tr w:rsidR="00F01EA1" w14:paraId="3A6951EE" w14:textId="77777777" w:rsidTr="00977CC6">
        <w:trPr>
          <w:trHeight w:val="625"/>
        </w:trPr>
        <w:tc>
          <w:tcPr>
            <w:tcW w:w="1410" w:type="dxa"/>
            <w:vAlign w:val="center"/>
          </w:tcPr>
          <w:p w14:paraId="293ACCAE" w14:textId="77777777" w:rsidR="00F01EA1" w:rsidRPr="00895496" w:rsidRDefault="00551C9C">
            <w:pPr>
              <w:pStyle w:val="TableParagraph"/>
              <w:spacing w:before="4"/>
              <w:ind w:left="112"/>
              <w:rPr>
                <w:rFonts w:asciiTheme="minorEastAsia" w:eastAsiaTheme="minorEastAsia" w:hAnsiTheme="minorEastAsia" w:cstheme="minorEastAsia" w:hint="eastAsia"/>
                <w:sz w:val="24"/>
                <w:szCs w:val="24"/>
                <w:lang w:val="en-US"/>
              </w:rPr>
            </w:pPr>
            <w:r w:rsidRPr="00895496">
              <w:rPr>
                <w:rFonts w:asciiTheme="minorEastAsia" w:eastAsiaTheme="minorEastAsia" w:hAnsiTheme="minorEastAsia" w:cstheme="minorEastAsia" w:hint="eastAsia"/>
                <w:sz w:val="24"/>
                <w:szCs w:val="24"/>
                <w:lang w:val="en-US"/>
              </w:rPr>
              <w:t>时间</w:t>
            </w:r>
          </w:p>
        </w:tc>
        <w:tc>
          <w:tcPr>
            <w:tcW w:w="7270" w:type="dxa"/>
            <w:vAlign w:val="center"/>
          </w:tcPr>
          <w:p w14:paraId="4FCB041B" w14:textId="2ED64A75" w:rsidR="0081247D" w:rsidRPr="00895496" w:rsidRDefault="0081247D" w:rsidP="0081247D">
            <w:pPr>
              <w:pStyle w:val="TableParagraph"/>
              <w:spacing w:before="4" w:line="360" w:lineRule="auto"/>
              <w:ind w:left="112"/>
              <w:jc w:val="both"/>
              <w:rPr>
                <w:rFonts w:asciiTheme="minorEastAsia" w:eastAsiaTheme="minorEastAsia" w:hAnsiTheme="minorEastAsia" w:cs="Arial" w:hint="eastAsia"/>
                <w:sz w:val="24"/>
                <w:szCs w:val="24"/>
                <w:lang w:val="en-US" w:eastAsia="zh-CN"/>
              </w:rPr>
            </w:pPr>
            <w:r>
              <w:rPr>
                <w:rFonts w:asciiTheme="minorEastAsia" w:eastAsiaTheme="minorEastAsia" w:hAnsiTheme="minorEastAsia" w:cs="Arial" w:hint="eastAsia"/>
                <w:sz w:val="24"/>
                <w:szCs w:val="24"/>
                <w:lang w:val="en-US" w:eastAsia="zh-CN"/>
              </w:rPr>
              <w:t>2026年1月5日、1月12日、1月30日</w:t>
            </w:r>
          </w:p>
        </w:tc>
      </w:tr>
      <w:tr w:rsidR="00F01EA1" w14:paraId="2063671C" w14:textId="77777777" w:rsidTr="00977CC6">
        <w:trPr>
          <w:trHeight w:val="699"/>
        </w:trPr>
        <w:tc>
          <w:tcPr>
            <w:tcW w:w="1410" w:type="dxa"/>
            <w:vAlign w:val="center"/>
          </w:tcPr>
          <w:p w14:paraId="7578F44B" w14:textId="77777777" w:rsidR="00F01EA1" w:rsidRDefault="00551C9C">
            <w:pPr>
              <w:pStyle w:val="TableParagraph"/>
              <w:spacing w:before="120"/>
              <w:ind w:left="113"/>
              <w:rPr>
                <w:rFonts w:asciiTheme="minorEastAsia" w:eastAsiaTheme="minorEastAsia" w:hAnsiTheme="minorEastAsia" w:hint="eastAsia"/>
                <w:sz w:val="24"/>
                <w:szCs w:val="24"/>
              </w:rPr>
            </w:pPr>
            <w:r>
              <w:rPr>
                <w:rFonts w:asciiTheme="minorEastAsia" w:eastAsiaTheme="minorEastAsia" w:hAnsiTheme="minorEastAsia"/>
                <w:sz w:val="24"/>
                <w:szCs w:val="24"/>
              </w:rPr>
              <w:t>地点</w:t>
            </w:r>
          </w:p>
        </w:tc>
        <w:tc>
          <w:tcPr>
            <w:tcW w:w="7270" w:type="dxa"/>
            <w:vAlign w:val="center"/>
          </w:tcPr>
          <w:p w14:paraId="3C40E379" w14:textId="77777777"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14:paraId="5570F9F4" w14:textId="77777777" w:rsidTr="00977CC6">
        <w:trPr>
          <w:trHeight w:val="961"/>
        </w:trPr>
        <w:tc>
          <w:tcPr>
            <w:tcW w:w="1410" w:type="dxa"/>
            <w:vAlign w:val="center"/>
          </w:tcPr>
          <w:p w14:paraId="207761F5" w14:textId="77777777" w:rsidR="00F01EA1" w:rsidRDefault="00551C9C">
            <w:pPr>
              <w:pStyle w:val="TableParagraph"/>
              <w:spacing w:before="4"/>
              <w:ind w:left="112"/>
              <w:rPr>
                <w:rFonts w:asciiTheme="minorEastAsia" w:eastAsiaTheme="minorEastAsia" w:hAnsiTheme="minorEastAsia" w:hint="eastAsia"/>
                <w:sz w:val="24"/>
                <w:szCs w:val="24"/>
              </w:rPr>
            </w:pPr>
            <w:r>
              <w:rPr>
                <w:rFonts w:asciiTheme="minorEastAsia" w:eastAsiaTheme="minorEastAsia" w:hAnsiTheme="minorEastAsia"/>
                <w:sz w:val="24"/>
                <w:szCs w:val="24"/>
              </w:rPr>
              <w:t>上市公司接待人员</w:t>
            </w:r>
          </w:p>
        </w:tc>
        <w:tc>
          <w:tcPr>
            <w:tcW w:w="7270" w:type="dxa"/>
            <w:vAlign w:val="center"/>
          </w:tcPr>
          <w:p w14:paraId="1EF5C41B" w14:textId="77777777"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14:paraId="4F2FA0BA" w14:textId="77777777" w:rsidTr="00977CC6">
        <w:trPr>
          <w:trHeight w:val="694"/>
        </w:trPr>
        <w:tc>
          <w:tcPr>
            <w:tcW w:w="1410" w:type="dxa"/>
            <w:vAlign w:val="center"/>
          </w:tcPr>
          <w:p w14:paraId="6A31DDAE" w14:textId="77777777" w:rsidR="00F01EA1" w:rsidRDefault="00551C9C">
            <w:pPr>
              <w:pStyle w:val="TableParagraph"/>
              <w:spacing w:before="4"/>
              <w:ind w:left="112"/>
              <w:rPr>
                <w:rFonts w:asciiTheme="minorEastAsia" w:eastAsiaTheme="minorEastAsia" w:hAnsiTheme="minorEastAsia" w:hint="eastAsia"/>
                <w:sz w:val="24"/>
                <w:szCs w:val="24"/>
                <w:lang w:val="en-US"/>
              </w:rPr>
            </w:pPr>
            <w:r>
              <w:rPr>
                <w:rFonts w:asciiTheme="minorEastAsia" w:eastAsiaTheme="minorEastAsia" w:hAnsiTheme="minorEastAsia" w:hint="eastAsia"/>
                <w:sz w:val="24"/>
                <w:szCs w:val="24"/>
                <w:lang w:val="en-US"/>
              </w:rPr>
              <w:t>调研主要内容汇总</w:t>
            </w:r>
          </w:p>
        </w:tc>
        <w:tc>
          <w:tcPr>
            <w:tcW w:w="7270" w:type="dxa"/>
            <w:vAlign w:val="center"/>
          </w:tcPr>
          <w:p w14:paraId="66352BC4" w14:textId="77777777" w:rsidR="0081247D" w:rsidRPr="0081247D" w:rsidRDefault="0081247D" w:rsidP="0081247D">
            <w:pPr>
              <w:widowControl/>
              <w:spacing w:line="360" w:lineRule="auto"/>
              <w:ind w:firstLineChars="200" w:firstLine="482"/>
              <w:rPr>
                <w:rFonts w:asciiTheme="minorEastAsia" w:hAnsiTheme="minorEastAsia"/>
                <w:b/>
                <w:bCs/>
                <w:sz w:val="24"/>
                <w:szCs w:val="24"/>
                <w:lang w:eastAsia="zh-CN"/>
              </w:rPr>
            </w:pPr>
            <w:r w:rsidRPr="0081247D">
              <w:rPr>
                <w:rFonts w:asciiTheme="minorEastAsia" w:hAnsiTheme="minorEastAsia"/>
                <w:b/>
                <w:bCs/>
                <w:sz w:val="24"/>
                <w:szCs w:val="24"/>
                <w:lang w:eastAsia="zh-CN"/>
              </w:rPr>
              <w:t>1、铜资源板块生产情况</w:t>
            </w:r>
          </w:p>
          <w:p w14:paraId="20DCEA54" w14:textId="77777777" w:rsidR="0081247D" w:rsidRPr="0081247D" w:rsidRDefault="0081247D" w:rsidP="0081247D">
            <w:pPr>
              <w:widowControl/>
              <w:spacing w:line="360" w:lineRule="auto"/>
              <w:ind w:firstLineChars="200" w:firstLine="480"/>
              <w:rPr>
                <w:rFonts w:asciiTheme="minorEastAsia" w:hAnsiTheme="minorEastAsia"/>
                <w:sz w:val="24"/>
                <w:szCs w:val="24"/>
                <w:lang w:eastAsia="zh-CN"/>
              </w:rPr>
            </w:pPr>
            <w:r w:rsidRPr="0081247D">
              <w:rPr>
                <w:rFonts w:asciiTheme="minorEastAsia" w:hAnsiTheme="minorEastAsia"/>
                <w:sz w:val="24"/>
                <w:szCs w:val="24"/>
                <w:lang w:eastAsia="zh-CN"/>
              </w:rPr>
              <w:t>2025年前三季度，公司Dikulushi铜矿、Lonshi铜矿、Lubambe铜矿合计生产64,053.11吨铜金属（当量），销售68,227.35吨铜金属（当量）。</w:t>
            </w:r>
          </w:p>
          <w:p w14:paraId="4EDD1E34" w14:textId="17F18FFA"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Pr>
                <w:rFonts w:asciiTheme="minorEastAsia" w:hAnsiTheme="minorEastAsia" w:hint="eastAsia"/>
                <w:b/>
                <w:bCs/>
                <w:sz w:val="24"/>
                <w:szCs w:val="24"/>
                <w:lang w:eastAsia="zh-CN"/>
              </w:rPr>
              <w:t>2</w:t>
            </w:r>
            <w:r w:rsidRPr="0081247D">
              <w:rPr>
                <w:rFonts w:asciiTheme="minorEastAsia" w:hAnsiTheme="minorEastAsia" w:hint="eastAsia"/>
                <w:b/>
                <w:bCs/>
                <w:sz w:val="24"/>
                <w:szCs w:val="24"/>
                <w:lang w:eastAsia="zh-CN"/>
              </w:rPr>
              <w:t xml:space="preserve">、哥伦比亚San Matias 铜金银矿的项目进展 </w:t>
            </w:r>
          </w:p>
          <w:p w14:paraId="13DC9CB7" w14:textId="77777777"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hint="eastAsia"/>
                <w:sz w:val="24"/>
                <w:szCs w:val="24"/>
                <w:lang w:eastAsia="zh-CN"/>
              </w:rPr>
              <w:t>该项目Alacran矿床的开采计划（PTO）已通过哥伦比亚国家矿业局（ANM）审批；其环境影响评估报告（EIA）已提交至哥伦比亚国家环境许可证管理局（ANLA），目前处于待批状态。需注意的是，EIA获批是San Matias项目进入建设阶段的关键前提，而该许可能否顺利取得及具体耗时仍存在一定不确定性。</w:t>
            </w:r>
          </w:p>
          <w:p w14:paraId="1174DA92" w14:textId="77777777"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sidRPr="0081247D">
              <w:rPr>
                <w:rFonts w:asciiTheme="minorEastAsia" w:hAnsiTheme="minorEastAsia" w:hint="eastAsia"/>
                <w:b/>
                <w:bCs/>
                <w:sz w:val="24"/>
                <w:szCs w:val="24"/>
                <w:lang w:eastAsia="zh-CN"/>
              </w:rPr>
              <w:t xml:space="preserve">3、Lubambe铜矿项目技改情况 </w:t>
            </w:r>
          </w:p>
          <w:p w14:paraId="4AF1CE75" w14:textId="77777777" w:rsidR="0081247D" w:rsidRDefault="0081247D" w:rsidP="0081247D">
            <w:pPr>
              <w:widowControl/>
              <w:spacing w:line="360" w:lineRule="auto"/>
              <w:ind w:firstLineChars="200" w:firstLine="480"/>
              <w:rPr>
                <w:rFonts w:asciiTheme="minorEastAsia" w:hAnsiTheme="minorEastAsia"/>
                <w:sz w:val="24"/>
                <w:szCs w:val="24"/>
                <w:lang w:eastAsia="zh-CN"/>
              </w:rPr>
            </w:pPr>
            <w:r w:rsidRPr="0081247D">
              <w:rPr>
                <w:rFonts w:asciiTheme="minorEastAsia" w:hAnsiTheme="minorEastAsia" w:hint="eastAsia"/>
                <w:sz w:val="24"/>
                <w:szCs w:val="24"/>
                <w:lang w:eastAsia="zh-CN"/>
              </w:rPr>
              <w:t>自2024年下半年完成对赞比亚Lubambe铜矿的收购后，公司持续强化其经营管理，同步推进地质勘探、采掘生产、选矿生产及井下辅助</w:t>
            </w:r>
            <w:r w:rsidRPr="0081247D">
              <w:rPr>
                <w:rFonts w:asciiTheme="minorEastAsia" w:hAnsiTheme="minorEastAsia" w:hint="eastAsia"/>
                <w:sz w:val="24"/>
                <w:szCs w:val="24"/>
                <w:lang w:eastAsia="zh-CN"/>
              </w:rPr>
              <w:lastRenderedPageBreak/>
              <w:t>系统改造等工作。随着技改方案逐步落地，预计Lubambe铜矿的经营效益将实现持续提升。</w:t>
            </w:r>
          </w:p>
          <w:p w14:paraId="4F4A8C63" w14:textId="44C3A785" w:rsidR="0081247D" w:rsidRPr="0081247D" w:rsidRDefault="0081247D" w:rsidP="0081247D">
            <w:pPr>
              <w:widowControl/>
              <w:spacing w:line="360" w:lineRule="auto"/>
              <w:ind w:left="482"/>
              <w:rPr>
                <w:rFonts w:asciiTheme="minorEastAsia" w:hAnsiTheme="minorEastAsia"/>
                <w:b/>
                <w:sz w:val="24"/>
                <w:szCs w:val="24"/>
                <w:lang w:eastAsia="zh-CN"/>
              </w:rPr>
            </w:pPr>
            <w:r>
              <w:rPr>
                <w:rFonts w:asciiTheme="minorEastAsia" w:hAnsiTheme="minorEastAsia" w:hint="eastAsia"/>
                <w:b/>
                <w:sz w:val="24"/>
                <w:szCs w:val="24"/>
                <w:lang w:eastAsia="zh-CN"/>
              </w:rPr>
              <w:t>4、</w:t>
            </w:r>
            <w:r w:rsidRPr="0081247D">
              <w:rPr>
                <w:rFonts w:asciiTheme="minorEastAsia" w:hAnsiTheme="minorEastAsia"/>
                <w:b/>
                <w:sz w:val="24"/>
                <w:szCs w:val="24"/>
                <w:lang w:eastAsia="zh-CN"/>
              </w:rPr>
              <w:t xml:space="preserve">科马考铜矿地下采矿业务的情况 </w:t>
            </w:r>
          </w:p>
          <w:p w14:paraId="79F88BBA" w14:textId="77777777" w:rsidR="0081247D" w:rsidRPr="0081247D" w:rsidRDefault="0081247D" w:rsidP="0081247D">
            <w:pPr>
              <w:widowControl/>
              <w:spacing w:line="360" w:lineRule="auto"/>
              <w:ind w:firstLineChars="200" w:firstLine="480"/>
              <w:rPr>
                <w:rFonts w:asciiTheme="minorEastAsia" w:hAnsiTheme="minorEastAsia"/>
                <w:bCs/>
                <w:sz w:val="24"/>
                <w:szCs w:val="24"/>
                <w:lang w:eastAsia="zh-CN"/>
              </w:rPr>
            </w:pPr>
            <w:r w:rsidRPr="0081247D">
              <w:rPr>
                <w:rFonts w:asciiTheme="minorEastAsia" w:hAnsiTheme="minorEastAsia"/>
                <w:bCs/>
                <w:sz w:val="24"/>
                <w:szCs w:val="24"/>
                <w:lang w:eastAsia="zh-CN"/>
              </w:rPr>
              <w:t xml:space="preserve">科马考项目是金诚信在博茨瓦纳承接的首个矿山开发服务项目，合同总价款约8.05亿美元。详细情况已于2025年5月20日发布相关公告。 </w:t>
            </w:r>
          </w:p>
          <w:p w14:paraId="4F154FA3" w14:textId="77777777" w:rsidR="0081247D" w:rsidRPr="0081247D" w:rsidRDefault="0081247D" w:rsidP="0081247D">
            <w:pPr>
              <w:widowControl/>
              <w:numPr>
                <w:ilvl w:val="0"/>
                <w:numId w:val="4"/>
              </w:numPr>
              <w:spacing w:line="360" w:lineRule="auto"/>
              <w:ind w:firstLineChars="200" w:firstLine="482"/>
              <w:rPr>
                <w:rFonts w:asciiTheme="minorEastAsia" w:hAnsiTheme="minorEastAsia"/>
                <w:b/>
                <w:sz w:val="24"/>
                <w:szCs w:val="24"/>
                <w:lang w:eastAsia="zh-CN"/>
              </w:rPr>
            </w:pPr>
            <w:r w:rsidRPr="0081247D">
              <w:rPr>
                <w:rFonts w:asciiTheme="minorEastAsia" w:hAnsiTheme="minorEastAsia"/>
                <w:b/>
                <w:sz w:val="24"/>
                <w:szCs w:val="24"/>
                <w:lang w:eastAsia="zh-CN"/>
              </w:rPr>
              <w:t xml:space="preserve">卡库拉矿段作业的情况 </w:t>
            </w:r>
          </w:p>
          <w:p w14:paraId="7F9CFDCC" w14:textId="77777777" w:rsidR="0081247D" w:rsidRPr="0081247D" w:rsidRDefault="0081247D" w:rsidP="0081247D">
            <w:pPr>
              <w:widowControl/>
              <w:spacing w:line="360" w:lineRule="auto"/>
              <w:ind w:firstLineChars="200" w:firstLine="480"/>
              <w:rPr>
                <w:rFonts w:asciiTheme="minorEastAsia" w:hAnsiTheme="minorEastAsia"/>
                <w:bCs/>
                <w:sz w:val="24"/>
                <w:szCs w:val="24"/>
                <w:lang w:eastAsia="zh-CN"/>
              </w:rPr>
            </w:pPr>
            <w:r w:rsidRPr="0081247D">
              <w:rPr>
                <w:rFonts w:asciiTheme="minorEastAsia" w:hAnsiTheme="minorEastAsia"/>
                <w:bCs/>
                <w:sz w:val="24"/>
                <w:szCs w:val="24"/>
                <w:lang w:eastAsia="zh-CN"/>
              </w:rPr>
              <w:t xml:space="preserve">2025 年 5 月 27 日公司发布《金诚信关于暂停卡莫阿-卡库拉铜矿地下采矿作业服务的公告》，公司承接部分地下采矿作业服务的刚果（金）卡莫阿-卡库拉铜矿的卡库拉矿段接连发生多次矿震，该矿段东区发生多处冒顶片帮，虽然公司承接的主要为卡库拉矿段西区地下采矿作业，但出于安全考虑，经与业主方充分沟通协商，公司对相关作业区域实施阶段性停工。 </w:t>
            </w:r>
          </w:p>
          <w:p w14:paraId="6CED3C50" w14:textId="20FE764E"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bCs/>
                <w:sz w:val="24"/>
                <w:szCs w:val="24"/>
                <w:lang w:eastAsia="zh-CN"/>
              </w:rPr>
              <w:t>2025年6月初以来，根据业主方的统一安排，公司积极调整生产方案，重新规划采掘生产作业区域，优化施工技术参数，逐步在卡库拉矿段西区的北侧和南侧恢复采矿作业，目前作业量正在逐步恢复。</w:t>
            </w:r>
          </w:p>
          <w:p w14:paraId="6C4B1E3B" w14:textId="6306DEB0" w:rsidR="0081247D" w:rsidRPr="0081247D" w:rsidRDefault="0081247D" w:rsidP="0081247D">
            <w:pPr>
              <w:widowControl/>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6</w:t>
            </w:r>
            <w:r w:rsidRPr="0081247D">
              <w:rPr>
                <w:rFonts w:asciiTheme="minorEastAsia" w:hAnsiTheme="minorEastAsia"/>
                <w:b/>
                <w:sz w:val="24"/>
                <w:szCs w:val="24"/>
                <w:lang w:eastAsia="zh-CN"/>
              </w:rPr>
              <w:t>、矿服业务的增长潜力</w:t>
            </w:r>
          </w:p>
          <w:p w14:paraId="2688111A" w14:textId="119A1205"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bCs/>
                <w:sz w:val="24"/>
                <w:szCs w:val="24"/>
                <w:lang w:eastAsia="zh-CN"/>
              </w:rPr>
              <w:t xml:space="preserve"> 矿服的业务增量，一方面是新承接的项目；另一方面是存量业务的新增业务量，大矿山往往有很多矿体，项目也会分成多期开发。一期干到一定的阶段，二期会开始启动。面对复杂的地质条件和工艺，在现有服务商遇到瓶颈时，业主也有择优选择服务商的意愿。</w:t>
            </w:r>
          </w:p>
          <w:p w14:paraId="398A39EB" w14:textId="3FC8BFDA"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Pr>
                <w:rFonts w:asciiTheme="minorEastAsia" w:hAnsiTheme="minorEastAsia" w:hint="eastAsia"/>
                <w:b/>
                <w:bCs/>
                <w:sz w:val="24"/>
                <w:szCs w:val="24"/>
                <w:lang w:eastAsia="zh-CN"/>
              </w:rPr>
              <w:t>7</w:t>
            </w:r>
            <w:r w:rsidRPr="0081247D">
              <w:rPr>
                <w:rFonts w:asciiTheme="minorEastAsia" w:hAnsiTheme="minorEastAsia" w:hint="eastAsia"/>
                <w:b/>
                <w:bCs/>
                <w:sz w:val="24"/>
                <w:szCs w:val="24"/>
                <w:lang w:eastAsia="zh-CN"/>
              </w:rPr>
              <w:t xml:space="preserve">、是否还有并购矿山的规划？ </w:t>
            </w:r>
          </w:p>
          <w:p w14:paraId="06DCB6EE" w14:textId="77777777"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hint="eastAsia"/>
                <w:sz w:val="24"/>
                <w:szCs w:val="24"/>
                <w:lang w:eastAsia="zh-CN"/>
              </w:rPr>
              <w:t>从长期战略看，公司关注与自身规模匹配、具备价值投资潜力的资源类项目。当前，公司已拥有5个矿山资源项目，因此更倾向于通过现有项目的勘探工作实现储量增长，认为这是更经济的资源获取方式。</w:t>
            </w:r>
          </w:p>
          <w:p w14:paraId="5C6271AC" w14:textId="076C4DA5"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Pr>
                <w:rFonts w:asciiTheme="minorEastAsia" w:hAnsiTheme="minorEastAsia" w:hint="eastAsia"/>
                <w:b/>
                <w:bCs/>
                <w:sz w:val="24"/>
                <w:szCs w:val="24"/>
                <w:lang w:eastAsia="zh-CN"/>
              </w:rPr>
              <w:t>8</w:t>
            </w:r>
            <w:r w:rsidRPr="0081247D">
              <w:rPr>
                <w:rFonts w:asciiTheme="minorEastAsia" w:hAnsiTheme="minorEastAsia" w:hint="eastAsia"/>
                <w:b/>
                <w:bCs/>
                <w:sz w:val="24"/>
                <w:szCs w:val="24"/>
                <w:lang w:eastAsia="zh-CN"/>
              </w:rPr>
              <w:t xml:space="preserve">、Lonshi铜矿东区的扩产建设情况 </w:t>
            </w:r>
          </w:p>
          <w:p w14:paraId="47AFA994" w14:textId="77777777" w:rsidR="0081247D" w:rsidRDefault="0081247D" w:rsidP="0081247D">
            <w:pPr>
              <w:widowControl/>
              <w:spacing w:line="360" w:lineRule="auto"/>
              <w:ind w:firstLineChars="200" w:firstLine="480"/>
              <w:rPr>
                <w:rFonts w:asciiTheme="minorEastAsia" w:hAnsiTheme="minorEastAsia"/>
                <w:sz w:val="24"/>
                <w:szCs w:val="24"/>
                <w:lang w:eastAsia="zh-CN"/>
              </w:rPr>
            </w:pPr>
            <w:r w:rsidRPr="0081247D">
              <w:rPr>
                <w:rFonts w:asciiTheme="minorEastAsia" w:hAnsiTheme="minorEastAsia" w:hint="eastAsia"/>
                <w:sz w:val="24"/>
                <w:szCs w:val="24"/>
                <w:lang w:eastAsia="zh-CN"/>
              </w:rPr>
              <w:t>据公司2025年1月发布的《刚果（金）龙溪铜矿东区采选工程可行性研究》，东区采用地下开采方式，设计年开采规模250-350万吨，计划</w:t>
            </w:r>
            <w:r w:rsidRPr="0081247D">
              <w:rPr>
                <w:rFonts w:asciiTheme="minorEastAsia" w:hAnsiTheme="minorEastAsia" w:hint="eastAsia"/>
                <w:sz w:val="24"/>
                <w:szCs w:val="24"/>
                <w:lang w:eastAsia="zh-CN"/>
              </w:rPr>
              <w:lastRenderedPageBreak/>
              <w:t>基建期4.5年；投产后第4年达产，总服务年限12年。为平衡东西区服务周期，东区投产后西区将逐年减产，两区井下最大年出矿量合计450万吨。东区达产后，龙溪铜矿东西区合计年铜金属产量约10万吨。</w:t>
            </w:r>
          </w:p>
          <w:p w14:paraId="3A0CF82A" w14:textId="3F60A417"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sidRPr="0081247D">
              <w:rPr>
                <w:rFonts w:asciiTheme="minorEastAsia" w:hAnsiTheme="minorEastAsia" w:hint="eastAsia"/>
                <w:b/>
                <w:bCs/>
                <w:sz w:val="24"/>
                <w:szCs w:val="24"/>
                <w:lang w:eastAsia="zh-CN"/>
              </w:rPr>
              <w:t>9</w:t>
            </w:r>
            <w:r w:rsidRPr="0081247D">
              <w:rPr>
                <w:rFonts w:asciiTheme="minorEastAsia" w:hAnsiTheme="minorEastAsia" w:hint="eastAsia"/>
                <w:b/>
                <w:bCs/>
                <w:sz w:val="24"/>
                <w:szCs w:val="24"/>
                <w:lang w:eastAsia="zh-CN"/>
              </w:rPr>
              <w:t xml:space="preserve">、如何看待未来铜价走势 </w:t>
            </w:r>
          </w:p>
          <w:p w14:paraId="0CFDAF6F" w14:textId="1E9934DB"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hint="eastAsia"/>
                <w:sz w:val="24"/>
                <w:szCs w:val="24"/>
                <w:lang w:eastAsia="zh-CN"/>
              </w:rPr>
              <w:t>从当前和未来一段时间看，随着全球铜矿平均品位的下降以及持续低位的资本开支，铜的供给量预计将受到限制，同时，全球新能源领域和部分新兴市场的基础设施建设对于铜可能会产生持续需求。在矿端扰动加剧、新能源需求韧性支撑价格的情况下，铜价在中长期紧平衡中维持震荡上行的趋势。</w:t>
            </w:r>
          </w:p>
          <w:p w14:paraId="3909614B" w14:textId="7DC4C787" w:rsidR="0081247D" w:rsidRPr="0081247D" w:rsidRDefault="0081247D" w:rsidP="0081247D">
            <w:pPr>
              <w:widowControl/>
              <w:spacing w:line="360" w:lineRule="auto"/>
              <w:ind w:firstLineChars="200" w:firstLine="482"/>
              <w:rPr>
                <w:rFonts w:asciiTheme="minorEastAsia" w:hAnsiTheme="minorEastAsia" w:hint="eastAsia"/>
                <w:b/>
                <w:bCs/>
                <w:sz w:val="24"/>
                <w:szCs w:val="24"/>
                <w:lang w:eastAsia="zh-CN"/>
              </w:rPr>
            </w:pPr>
            <w:r>
              <w:rPr>
                <w:rFonts w:asciiTheme="minorEastAsia" w:hAnsiTheme="minorEastAsia" w:hint="eastAsia"/>
                <w:b/>
                <w:bCs/>
                <w:sz w:val="24"/>
                <w:szCs w:val="24"/>
                <w:lang w:eastAsia="zh-CN"/>
              </w:rPr>
              <w:t>10</w:t>
            </w:r>
            <w:r w:rsidRPr="0081247D">
              <w:rPr>
                <w:rFonts w:asciiTheme="minorEastAsia" w:hAnsiTheme="minorEastAsia" w:hint="eastAsia"/>
                <w:b/>
                <w:bCs/>
                <w:sz w:val="24"/>
                <w:szCs w:val="24"/>
                <w:lang w:eastAsia="zh-CN"/>
              </w:rPr>
              <w:t>、公司业务的发展趋势</w:t>
            </w:r>
          </w:p>
          <w:p w14:paraId="37E63B82" w14:textId="77777777" w:rsidR="0081247D" w:rsidRPr="0081247D"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hint="eastAsia"/>
                <w:sz w:val="24"/>
                <w:szCs w:val="24"/>
                <w:lang w:eastAsia="zh-CN"/>
              </w:rPr>
              <w:t>公司以矿山服务业务为稳定基本盘，依托多年积累的管理、技术及品牌优势，向资源开发领域拓展，逐步构建“矿山服务+资源开发”双轮驱动的“服务+资源”特色业务模式。</w:t>
            </w:r>
          </w:p>
          <w:p w14:paraId="66470FA2" w14:textId="1685CC16" w:rsidR="00587DFE" w:rsidRPr="00587DFE" w:rsidRDefault="0081247D" w:rsidP="0081247D">
            <w:pPr>
              <w:widowControl/>
              <w:spacing w:line="360" w:lineRule="auto"/>
              <w:ind w:firstLineChars="200" w:firstLine="480"/>
              <w:rPr>
                <w:rFonts w:asciiTheme="minorEastAsia" w:hAnsiTheme="minorEastAsia" w:hint="eastAsia"/>
                <w:sz w:val="24"/>
                <w:szCs w:val="24"/>
                <w:lang w:eastAsia="zh-CN"/>
              </w:rPr>
            </w:pPr>
            <w:r w:rsidRPr="0081247D">
              <w:rPr>
                <w:rFonts w:asciiTheme="minorEastAsia" w:hAnsiTheme="minorEastAsia" w:hint="eastAsia"/>
                <w:sz w:val="24"/>
                <w:szCs w:val="24"/>
                <w:lang w:eastAsia="zh-CN"/>
              </w:rPr>
              <w:t>同时，顺应行业发展趋势，公司率先推动井下无轨设备机械化作业，以机械替代人工、自动化减少操作环节，重视矿山智能化开采研发。</w:t>
            </w:r>
          </w:p>
        </w:tc>
      </w:tr>
    </w:tbl>
    <w:p w14:paraId="7135E878" w14:textId="77777777" w:rsidR="00F01EA1" w:rsidRDefault="00F01EA1" w:rsidP="00680CBC">
      <w:pPr>
        <w:widowControl/>
        <w:jc w:val="left"/>
        <w:rPr>
          <w:rFonts w:asciiTheme="minorEastAsia" w:hAnsiTheme="minorEastAsia" w:hint="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0134" w14:textId="77777777" w:rsidR="00CD6469" w:rsidRDefault="00CD6469">
      <w:r>
        <w:separator/>
      </w:r>
    </w:p>
  </w:endnote>
  <w:endnote w:type="continuationSeparator" w:id="0">
    <w:p w14:paraId="40221B9B" w14:textId="77777777" w:rsidR="00CD6469" w:rsidRDefault="00CD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9FF8" w14:textId="77777777" w:rsidR="00CD6469" w:rsidRDefault="00CD6469">
      <w:r>
        <w:separator/>
      </w:r>
    </w:p>
  </w:footnote>
  <w:footnote w:type="continuationSeparator" w:id="0">
    <w:p w14:paraId="5E45B3BA" w14:textId="77777777" w:rsidR="00CD6469" w:rsidRDefault="00CD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672" w14:textId="77777777"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14:paraId="012B6DE6" w14:textId="77777777" w:rsidR="00F01EA1" w:rsidRDefault="008351FE">
    <w:pPr>
      <w:tabs>
        <w:tab w:val="left" w:pos="1440"/>
      </w:tabs>
      <w:spacing w:beforeLines="50" w:before="120" w:afterLines="50" w:after="120"/>
      <w:ind w:right="480"/>
      <w:rPr>
        <w:rFonts w:ascii="Arial" w:hAnsi="Arial" w:cs="Arial"/>
        <w:sz w:val="20"/>
        <w:szCs w:val="28"/>
      </w:rPr>
    </w:pPr>
    <w:r>
      <w:rPr>
        <w:rFonts w:ascii="Arial" w:hAnsi="Arial" w:cs="Arial" w:hint="eastAsia"/>
        <w:sz w:val="20"/>
        <w:szCs w:val="28"/>
      </w:rPr>
      <w:t>转债</w:t>
    </w:r>
    <w:r w:rsidR="00551C9C">
      <w:rPr>
        <w:rFonts w:ascii="Arial" w:hAnsi="Arial" w:cs="Arial"/>
        <w:sz w:val="20"/>
        <w:szCs w:val="28"/>
      </w:rPr>
      <w:t>代码：</w:t>
    </w:r>
    <w:r w:rsidR="00551C9C">
      <w:rPr>
        <w:rFonts w:ascii="Arial" w:hAnsi="Arial" w:cs="Arial"/>
        <w:sz w:val="20"/>
        <w:szCs w:val="28"/>
      </w:rPr>
      <w:t xml:space="preserve">113615                                       </w:t>
    </w:r>
    <w:r>
      <w:rPr>
        <w:rFonts w:ascii="Arial" w:hAnsi="Arial" w:cs="Arial" w:hint="eastAsia"/>
        <w:sz w:val="20"/>
        <w:szCs w:val="28"/>
      </w:rPr>
      <w:t>转债</w:t>
    </w:r>
    <w:r w:rsidR="00551C9C">
      <w:rPr>
        <w:rFonts w:ascii="Arial" w:hAnsi="Arial" w:cs="Arial"/>
        <w:sz w:val="20"/>
        <w:szCs w:val="28"/>
      </w:rPr>
      <w:t>简称：金诚转债</w:t>
    </w:r>
  </w:p>
  <w:p w14:paraId="7A23B2CB" w14:textId="77777777" w:rsidR="008351FE" w:rsidRDefault="008351FE">
    <w:pPr>
      <w:tabs>
        <w:tab w:val="left" w:pos="1440"/>
      </w:tabs>
      <w:spacing w:beforeLines="50" w:before="120" w:afterLines="50" w:after="120"/>
      <w:ind w:right="480"/>
      <w:rPr>
        <w:rFonts w:ascii="Arial" w:hAnsi="Arial" w:cs="Arial"/>
        <w:sz w:val="20"/>
        <w:szCs w:val="28"/>
      </w:rPr>
    </w:pPr>
    <w:r>
      <w:rPr>
        <w:rFonts w:ascii="Arial" w:hAnsi="Arial" w:cs="Arial"/>
        <w:sz w:val="20"/>
        <w:szCs w:val="28"/>
      </w:rPr>
      <w:t>转债代码：</w:t>
    </w:r>
    <w:r>
      <w:rPr>
        <w:rFonts w:ascii="Arial" w:hAnsi="Arial" w:cs="Arial" w:hint="eastAsia"/>
        <w:sz w:val="20"/>
        <w:szCs w:val="28"/>
      </w:rPr>
      <w:t>1</w:t>
    </w:r>
    <w:r>
      <w:rPr>
        <w:rFonts w:ascii="Arial" w:hAnsi="Arial" w:cs="Arial"/>
        <w:sz w:val="20"/>
        <w:szCs w:val="28"/>
      </w:rPr>
      <w:t xml:space="preserve">13699                                       </w:t>
    </w:r>
    <w:r>
      <w:rPr>
        <w:rFonts w:ascii="Arial" w:hAnsi="Arial" w:cs="Arial"/>
        <w:sz w:val="20"/>
        <w:szCs w:val="28"/>
      </w:rPr>
      <w:t>转债简称：金</w:t>
    </w:r>
    <w:r>
      <w:rPr>
        <w:rFonts w:ascii="Arial" w:hAnsi="Arial" w:cs="Arial" w:hint="eastAsia"/>
        <w:sz w:val="20"/>
        <w:szCs w:val="28"/>
      </w:rPr>
      <w:t>2</w:t>
    </w:r>
    <w:r>
      <w:rPr>
        <w:rFonts w:ascii="Arial" w:hAnsi="Arial" w:cs="Arial"/>
        <w:sz w:val="20"/>
        <w:szCs w:val="28"/>
      </w:rPr>
      <w:t>5</w:t>
    </w:r>
    <w:r>
      <w:rPr>
        <w:rFonts w:ascii="Arial" w:hAnsi="Arial" w:cs="Arial"/>
        <w:sz w:val="20"/>
        <w:szCs w:val="28"/>
      </w:rPr>
      <w:t>转债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3A309"/>
    <w:multiLevelType w:val="singleLevel"/>
    <w:tmpl w:val="CF43A309"/>
    <w:lvl w:ilvl="0">
      <w:start w:val="5"/>
      <w:numFmt w:val="decimal"/>
      <w:suff w:val="nothing"/>
      <w:lvlText w:val="%1、"/>
      <w:lvlJc w:val="left"/>
      <w:pPr>
        <w:ind w:left="0" w:firstLine="0"/>
      </w:pPr>
    </w:lvl>
  </w:abstractNum>
  <w:abstractNum w:abstractNumId="1"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3" w15:restartNumberingAfterBreak="0">
    <w:nsid w:val="3BF72278"/>
    <w:multiLevelType w:val="hybridMultilevel"/>
    <w:tmpl w:val="7FCAF818"/>
    <w:lvl w:ilvl="0" w:tplc="5E2AD538">
      <w:start w:val="7"/>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16cid:durableId="2125726828">
    <w:abstractNumId w:val="2"/>
  </w:num>
  <w:num w:numId="2" w16cid:durableId="762143862">
    <w:abstractNumId w:val="4"/>
  </w:num>
  <w:num w:numId="3" w16cid:durableId="246689888">
    <w:abstractNumId w:val="1"/>
  </w:num>
  <w:num w:numId="4" w16cid:durableId="1623611914">
    <w:abstractNumId w:val="0"/>
    <w:lvlOverride w:ilvl="0">
      <w:startOverride w:val="5"/>
    </w:lvlOverride>
  </w:num>
  <w:num w:numId="5" w16cid:durableId="33129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D618F"/>
    <w:rsid w:val="000E1DAB"/>
    <w:rsid w:val="000E2F2F"/>
    <w:rsid w:val="000E66D8"/>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57DAD"/>
    <w:rsid w:val="0016124A"/>
    <w:rsid w:val="00162D58"/>
    <w:rsid w:val="0016491F"/>
    <w:rsid w:val="00172045"/>
    <w:rsid w:val="0017241B"/>
    <w:rsid w:val="001730A2"/>
    <w:rsid w:val="00174D1C"/>
    <w:rsid w:val="001759F1"/>
    <w:rsid w:val="00186019"/>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30DB"/>
    <w:rsid w:val="00254649"/>
    <w:rsid w:val="0025747C"/>
    <w:rsid w:val="00260A44"/>
    <w:rsid w:val="00262D1B"/>
    <w:rsid w:val="002649DC"/>
    <w:rsid w:val="0026560E"/>
    <w:rsid w:val="00267111"/>
    <w:rsid w:val="0027244C"/>
    <w:rsid w:val="002738DA"/>
    <w:rsid w:val="00282FA9"/>
    <w:rsid w:val="00285AEC"/>
    <w:rsid w:val="0028603A"/>
    <w:rsid w:val="00292936"/>
    <w:rsid w:val="0029417C"/>
    <w:rsid w:val="002A5535"/>
    <w:rsid w:val="002B0E73"/>
    <w:rsid w:val="002C14E6"/>
    <w:rsid w:val="002C2C1C"/>
    <w:rsid w:val="002C3A6D"/>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1C50"/>
    <w:rsid w:val="00355FD7"/>
    <w:rsid w:val="003566BA"/>
    <w:rsid w:val="00361FFE"/>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4D93"/>
    <w:rsid w:val="003E4E58"/>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B6C64"/>
    <w:rsid w:val="004C06FE"/>
    <w:rsid w:val="004C2EF9"/>
    <w:rsid w:val="004D0AE9"/>
    <w:rsid w:val="004D1E8C"/>
    <w:rsid w:val="004D4CB1"/>
    <w:rsid w:val="004D7E3E"/>
    <w:rsid w:val="004E3A32"/>
    <w:rsid w:val="004E482C"/>
    <w:rsid w:val="004E6B82"/>
    <w:rsid w:val="004F1288"/>
    <w:rsid w:val="004F1485"/>
    <w:rsid w:val="004F1642"/>
    <w:rsid w:val="005030E3"/>
    <w:rsid w:val="00511E24"/>
    <w:rsid w:val="00513606"/>
    <w:rsid w:val="00521952"/>
    <w:rsid w:val="00525465"/>
    <w:rsid w:val="00526A32"/>
    <w:rsid w:val="00530FA1"/>
    <w:rsid w:val="00531186"/>
    <w:rsid w:val="00540C52"/>
    <w:rsid w:val="0054117C"/>
    <w:rsid w:val="00541608"/>
    <w:rsid w:val="00544AB6"/>
    <w:rsid w:val="00547C0D"/>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87DFE"/>
    <w:rsid w:val="00596061"/>
    <w:rsid w:val="00597676"/>
    <w:rsid w:val="005A66D7"/>
    <w:rsid w:val="005A6AB7"/>
    <w:rsid w:val="005B2DC9"/>
    <w:rsid w:val="005B4018"/>
    <w:rsid w:val="005C250A"/>
    <w:rsid w:val="005C584F"/>
    <w:rsid w:val="005D2E82"/>
    <w:rsid w:val="005D37A0"/>
    <w:rsid w:val="005D522B"/>
    <w:rsid w:val="005D7147"/>
    <w:rsid w:val="005E3131"/>
    <w:rsid w:val="005E530E"/>
    <w:rsid w:val="006017C8"/>
    <w:rsid w:val="00603C1A"/>
    <w:rsid w:val="00606323"/>
    <w:rsid w:val="00606C53"/>
    <w:rsid w:val="00615C15"/>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1E4"/>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17C02"/>
    <w:rsid w:val="007210C6"/>
    <w:rsid w:val="00726132"/>
    <w:rsid w:val="00731B71"/>
    <w:rsid w:val="007343A5"/>
    <w:rsid w:val="0073634A"/>
    <w:rsid w:val="00737BC4"/>
    <w:rsid w:val="007412A9"/>
    <w:rsid w:val="00743746"/>
    <w:rsid w:val="00744678"/>
    <w:rsid w:val="007511C8"/>
    <w:rsid w:val="00751560"/>
    <w:rsid w:val="00754844"/>
    <w:rsid w:val="0075595B"/>
    <w:rsid w:val="00755B97"/>
    <w:rsid w:val="007633C4"/>
    <w:rsid w:val="00766280"/>
    <w:rsid w:val="007735E3"/>
    <w:rsid w:val="00775880"/>
    <w:rsid w:val="00780598"/>
    <w:rsid w:val="007838AB"/>
    <w:rsid w:val="00787608"/>
    <w:rsid w:val="00792C2C"/>
    <w:rsid w:val="00796FF1"/>
    <w:rsid w:val="007A37EE"/>
    <w:rsid w:val="007B4371"/>
    <w:rsid w:val="007C1746"/>
    <w:rsid w:val="007C55EE"/>
    <w:rsid w:val="007C6CC1"/>
    <w:rsid w:val="007C6D09"/>
    <w:rsid w:val="007D0CC4"/>
    <w:rsid w:val="007E3FFB"/>
    <w:rsid w:val="007F1554"/>
    <w:rsid w:val="00800934"/>
    <w:rsid w:val="008033D9"/>
    <w:rsid w:val="00805D59"/>
    <w:rsid w:val="0081247D"/>
    <w:rsid w:val="00814B28"/>
    <w:rsid w:val="00814E60"/>
    <w:rsid w:val="008241F5"/>
    <w:rsid w:val="00824C56"/>
    <w:rsid w:val="008351FE"/>
    <w:rsid w:val="00851DE8"/>
    <w:rsid w:val="008579DC"/>
    <w:rsid w:val="00875F70"/>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05B8B"/>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626C"/>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0DC4"/>
    <w:rsid w:val="009E67A5"/>
    <w:rsid w:val="009F4B9D"/>
    <w:rsid w:val="00A01B1A"/>
    <w:rsid w:val="00A01C7F"/>
    <w:rsid w:val="00A02D2F"/>
    <w:rsid w:val="00A055E3"/>
    <w:rsid w:val="00A0715B"/>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551B4"/>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19E5"/>
    <w:rsid w:val="00AE4770"/>
    <w:rsid w:val="00AE6BA4"/>
    <w:rsid w:val="00AF7433"/>
    <w:rsid w:val="00B02E19"/>
    <w:rsid w:val="00B03E0B"/>
    <w:rsid w:val="00B06300"/>
    <w:rsid w:val="00B07AFF"/>
    <w:rsid w:val="00B22260"/>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2D4A"/>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A569E"/>
    <w:rsid w:val="00CB4364"/>
    <w:rsid w:val="00CB78D7"/>
    <w:rsid w:val="00CC1132"/>
    <w:rsid w:val="00CC12FE"/>
    <w:rsid w:val="00CC17C9"/>
    <w:rsid w:val="00CC2510"/>
    <w:rsid w:val="00CC5EEA"/>
    <w:rsid w:val="00CC6EFA"/>
    <w:rsid w:val="00CC774D"/>
    <w:rsid w:val="00CD0C48"/>
    <w:rsid w:val="00CD5F26"/>
    <w:rsid w:val="00CD6469"/>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114C"/>
    <w:rsid w:val="00D92B4D"/>
    <w:rsid w:val="00DA2DD3"/>
    <w:rsid w:val="00DA47AD"/>
    <w:rsid w:val="00DB4EFC"/>
    <w:rsid w:val="00DE09F0"/>
    <w:rsid w:val="00DE619C"/>
    <w:rsid w:val="00DF31A0"/>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66FCD"/>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236A0"/>
    <w:rsid w:val="00F33CFD"/>
    <w:rsid w:val="00F37414"/>
    <w:rsid w:val="00F37EB4"/>
    <w:rsid w:val="00F42EF3"/>
    <w:rsid w:val="00F4512E"/>
    <w:rsid w:val="00F458B5"/>
    <w:rsid w:val="00F50D66"/>
    <w:rsid w:val="00F53C41"/>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E5794"/>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C585"/>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5E2C-5F48-4EB0-825E-08D3CFC4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张 思莹</cp:lastModifiedBy>
  <cp:revision>351</cp:revision>
  <cp:lastPrinted>2023-08-01T08:51:00Z</cp:lastPrinted>
  <dcterms:created xsi:type="dcterms:W3CDTF">2022-04-22T07:41:00Z</dcterms:created>
  <dcterms:modified xsi:type="dcterms:W3CDTF">2026-02-02T02:11:00Z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