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80B7">
      <w:pPr>
        <w:pStyle w:val="2"/>
        <w:spacing w:before="40"/>
        <w:ind w:left="0" w:leftChars="0" w:firstLine="240" w:firstLineChars="100"/>
        <w:jc w:val="left"/>
        <w:rPr>
          <w:rFonts w:hint="default" w:eastAsia="宋体"/>
          <w:lang w:val="en-US" w:eastAsia="zh-CN"/>
        </w:rPr>
      </w:pPr>
      <w:r>
        <w:t>证券代码：</w:t>
      </w:r>
      <w:r>
        <w:rPr>
          <w:rFonts w:hint="eastAsia"/>
          <w:lang w:val="en-US" w:eastAsia="zh-CN"/>
        </w:rPr>
        <w:t>688380</w:t>
      </w:r>
      <w:r>
        <w:t xml:space="preserve"> </w:t>
      </w:r>
      <w:r>
        <w:rPr>
          <w:rFonts w:hint="eastAsia"/>
          <w:lang w:val="en-US" w:eastAsia="zh-CN"/>
        </w:rPr>
        <w:t xml:space="preserve">                                           </w:t>
      </w:r>
      <w:r>
        <w:t>证券简称：</w:t>
      </w:r>
      <w:r>
        <w:rPr>
          <w:rFonts w:hint="eastAsia"/>
          <w:lang w:val="en-US" w:eastAsia="zh-CN"/>
        </w:rPr>
        <w:t>中微半导</w:t>
      </w:r>
    </w:p>
    <w:p w14:paraId="1F057622">
      <w:pPr>
        <w:pStyle w:val="2"/>
        <w:rPr>
          <w:sz w:val="29"/>
        </w:rPr>
      </w:pPr>
    </w:p>
    <w:p w14:paraId="33664230">
      <w:pPr>
        <w:spacing w:before="54"/>
        <w:ind w:left="1943" w:right="1782" w:firstLine="0"/>
        <w:jc w:val="center"/>
        <w:rPr>
          <w:b/>
          <w:sz w:val="32"/>
        </w:rPr>
      </w:pPr>
      <w:r>
        <w:rPr>
          <w:rFonts w:hint="eastAsia"/>
          <w:b/>
          <w:sz w:val="32"/>
          <w:lang w:val="en-US" w:eastAsia="zh-CN"/>
        </w:rPr>
        <w:t>中微半导体（深圳）</w:t>
      </w:r>
      <w:r>
        <w:rPr>
          <w:b/>
          <w:sz w:val="32"/>
        </w:rPr>
        <w:t>股份有限公司</w:t>
      </w:r>
    </w:p>
    <w:p w14:paraId="1973570D">
      <w:pPr>
        <w:spacing w:before="54"/>
        <w:ind w:left="1943" w:right="1782" w:firstLine="0"/>
        <w:jc w:val="center"/>
        <w:rPr>
          <w:rFonts w:hint="default"/>
          <w:b/>
          <w:sz w:val="32"/>
          <w:lang w:val="en-US"/>
        </w:rPr>
      </w:pPr>
      <w:r>
        <w:rPr>
          <w:b/>
          <w:sz w:val="32"/>
        </w:rPr>
        <w:t>投资者关系活动记录表</w:t>
      </w:r>
      <w:r>
        <w:rPr>
          <w:b/>
          <w:w w:val="98"/>
          <w:sz w:val="32"/>
        </w:rPr>
        <w:t xml:space="preserve"> </w:t>
      </w:r>
    </w:p>
    <w:p w14:paraId="04D080E8">
      <w:pPr>
        <w:keepNext w:val="0"/>
        <w:keepLines w:val="0"/>
        <w:pageBreakBefore w:val="0"/>
        <w:widowControl w:val="0"/>
        <w:kinsoku/>
        <w:wordWrap/>
        <w:overflowPunct/>
        <w:topLinePunct w:val="0"/>
        <w:autoSpaceDE w:val="0"/>
        <w:autoSpaceDN w:val="0"/>
        <w:bidi w:val="0"/>
        <w:adjustRightInd/>
        <w:snapToGrid/>
        <w:spacing w:before="132" w:after="21"/>
        <w:ind w:left="0" w:right="0" w:firstLine="0"/>
        <w:jc w:val="center"/>
        <w:textAlignment w:val="auto"/>
        <w:rPr>
          <w:rFonts w:hint="default"/>
          <w:sz w:val="24"/>
          <w:szCs w:val="28"/>
          <w:highlight w:val="yellow"/>
          <w:lang w:val="en-US"/>
        </w:rPr>
      </w:pPr>
      <w:r>
        <w:rPr>
          <w:rFonts w:hint="eastAsia"/>
          <w:sz w:val="24"/>
          <w:szCs w:val="28"/>
          <w:highlight w:val="none"/>
          <w:lang w:val="en-US" w:eastAsia="zh-CN"/>
        </w:rPr>
        <w:t xml:space="preserve">                                                                 </w:t>
      </w:r>
      <w:r>
        <w:rPr>
          <w:sz w:val="24"/>
          <w:szCs w:val="28"/>
          <w:highlight w:val="none"/>
        </w:rPr>
        <w:t>编号</w:t>
      </w:r>
      <w:r>
        <w:rPr>
          <w:rFonts w:hint="eastAsia"/>
          <w:sz w:val="24"/>
          <w:szCs w:val="28"/>
          <w:highlight w:val="none"/>
          <w:lang w:eastAsia="zh-CN"/>
        </w:rPr>
        <w:t>：</w:t>
      </w:r>
      <w:r>
        <w:rPr>
          <w:sz w:val="24"/>
          <w:szCs w:val="28"/>
          <w:highlight w:val="none"/>
        </w:rPr>
        <w:t>202</w:t>
      </w:r>
      <w:r>
        <w:rPr>
          <w:rFonts w:hint="eastAsia"/>
          <w:sz w:val="24"/>
          <w:szCs w:val="28"/>
          <w:highlight w:val="none"/>
          <w:lang w:val="en-US" w:eastAsia="zh-CN"/>
        </w:rPr>
        <w:t>6</w:t>
      </w:r>
      <w:r>
        <w:rPr>
          <w:sz w:val="24"/>
          <w:szCs w:val="28"/>
          <w:highlight w:val="none"/>
        </w:rPr>
        <w:t>-</w:t>
      </w:r>
      <w:r>
        <w:rPr>
          <w:rFonts w:hint="eastAsia"/>
          <w:sz w:val="24"/>
          <w:szCs w:val="28"/>
          <w:highlight w:val="none"/>
          <w:lang w:val="en-US" w:eastAsia="zh-CN"/>
        </w:rPr>
        <w:t>0</w:t>
      </w:r>
      <w:r>
        <w:rPr>
          <w:rFonts w:hint="default"/>
          <w:sz w:val="24"/>
          <w:szCs w:val="28"/>
          <w:highlight w:val="none"/>
          <w:lang w:val="en-US" w:eastAsia="zh-CN"/>
        </w:rPr>
        <w:t>0</w:t>
      </w:r>
      <w:r>
        <w:rPr>
          <w:rFonts w:hint="eastAsia"/>
          <w:sz w:val="24"/>
          <w:szCs w:val="28"/>
          <w:highlight w:val="none"/>
          <w:lang w:val="en-US" w:eastAsia="zh-CN"/>
        </w:rPr>
        <w:t>1</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8220"/>
      </w:tblGrid>
      <w:tr w14:paraId="51DE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2" w:hRule="atLeast"/>
          <w:jc w:val="center"/>
        </w:trPr>
        <w:tc>
          <w:tcPr>
            <w:tcW w:w="1524" w:type="dxa"/>
            <w:tcMar>
              <w:top w:w="0" w:type="dxa"/>
              <w:left w:w="113" w:type="dxa"/>
              <w:bottom w:w="0" w:type="dxa"/>
              <w:right w:w="113" w:type="dxa"/>
            </w:tcMar>
            <w:vAlign w:val="center"/>
          </w:tcPr>
          <w:p w14:paraId="5C30FA51">
            <w:pPr>
              <w:pStyle w:val="8"/>
              <w:spacing w:line="242" w:lineRule="auto"/>
              <w:ind w:left="0" w:leftChars="0" w:right="72" w:firstLine="0" w:firstLineChars="0"/>
              <w:jc w:val="center"/>
              <w:rPr>
                <w:b w:val="0"/>
                <w:bCs w:val="0"/>
                <w:sz w:val="24"/>
                <w:szCs w:val="24"/>
              </w:rPr>
            </w:pPr>
            <w:r>
              <w:rPr>
                <w:b w:val="0"/>
                <w:bCs w:val="0"/>
                <w:sz w:val="24"/>
                <w:szCs w:val="24"/>
              </w:rPr>
              <w:t>投资者来访类别</w:t>
            </w:r>
          </w:p>
        </w:tc>
        <w:tc>
          <w:tcPr>
            <w:tcW w:w="8220" w:type="dxa"/>
            <w:vAlign w:val="center"/>
          </w:tcPr>
          <w:p w14:paraId="786097AF">
            <w:pPr>
              <w:pStyle w:val="8"/>
              <w:numPr>
                <w:ilvl w:val="0"/>
                <w:numId w:val="0"/>
              </w:numPr>
              <w:tabs>
                <w:tab w:val="left" w:pos="390"/>
              </w:tabs>
              <w:spacing w:before="132" w:after="0" w:line="240" w:lineRule="auto"/>
              <w:ind w:right="0" w:rightChars="0" w:firstLine="236" w:firstLineChars="100"/>
              <w:jc w:val="both"/>
              <w:rPr>
                <w:sz w:val="24"/>
                <w:szCs w:val="24"/>
              </w:rPr>
            </w:pPr>
            <w:r>
              <w:rPr>
                <w:spacing w:val="-2"/>
                <w:sz w:val="24"/>
                <w:szCs w:val="24"/>
              </w:rPr>
              <w:sym w:font="Wingdings 2" w:char="0052"/>
            </w:r>
            <w:r>
              <w:rPr>
                <w:spacing w:val="-2"/>
                <w:sz w:val="24"/>
                <w:szCs w:val="24"/>
              </w:rPr>
              <w:t xml:space="preserve"> 特定对象调研 </w:t>
            </w:r>
            <w:r>
              <w:rPr>
                <w:rFonts w:hint="eastAsia"/>
                <w:spacing w:val="-2"/>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pacing w:val="-2"/>
                <w:sz w:val="24"/>
                <w:szCs w:val="24"/>
              </w:rPr>
              <w:t>分析师会议</w:t>
            </w:r>
          </w:p>
          <w:p w14:paraId="6CDE1B41">
            <w:pPr>
              <w:pStyle w:val="8"/>
              <w:spacing w:before="9"/>
              <w:ind w:left="0"/>
              <w:jc w:val="both"/>
              <w:rPr>
                <w:sz w:val="24"/>
                <w:szCs w:val="24"/>
              </w:rPr>
            </w:pPr>
          </w:p>
          <w:p w14:paraId="732BB210">
            <w:pPr>
              <w:pStyle w:val="8"/>
              <w:ind w:left="0" w:leftChars="0" w:firstLine="240" w:firstLineChars="100"/>
              <w:jc w:val="both"/>
              <w:rPr>
                <w:sz w:val="24"/>
                <w:szCs w:val="24"/>
              </w:rPr>
            </w:pPr>
            <w:r>
              <w:rPr>
                <w:sz w:val="24"/>
                <w:szCs w:val="24"/>
              </w:rPr>
              <w:sym w:font="Wingdings 2" w:char="00A3"/>
            </w:r>
            <w:r>
              <w:rPr>
                <w:sz w:val="24"/>
                <w:szCs w:val="24"/>
              </w:rPr>
              <w:t xml:space="preserve"> 媒体采访 </w:t>
            </w:r>
            <w:r>
              <w:rPr>
                <w:rFonts w:hint="eastAsia"/>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z w:val="24"/>
                <w:szCs w:val="24"/>
              </w:rPr>
              <w:t>业绩说明会</w:t>
            </w:r>
          </w:p>
          <w:p w14:paraId="1B424389">
            <w:pPr>
              <w:pStyle w:val="8"/>
              <w:spacing w:before="9"/>
              <w:ind w:left="0"/>
              <w:jc w:val="both"/>
              <w:rPr>
                <w:sz w:val="24"/>
                <w:szCs w:val="24"/>
              </w:rPr>
            </w:pPr>
          </w:p>
          <w:p w14:paraId="2EDC7824">
            <w:pPr>
              <w:pStyle w:val="8"/>
              <w:ind w:left="0" w:leftChars="0" w:firstLine="240" w:firstLineChars="100"/>
              <w:jc w:val="both"/>
              <w:rPr>
                <w:sz w:val="24"/>
                <w:szCs w:val="24"/>
              </w:rPr>
            </w:pPr>
            <w:r>
              <w:rPr>
                <w:sz w:val="24"/>
                <w:szCs w:val="24"/>
              </w:rPr>
              <w:sym w:font="Wingdings 2" w:char="00A3"/>
            </w:r>
            <w:r>
              <w:rPr>
                <w:rFonts w:hint="eastAsia"/>
                <w:sz w:val="24"/>
                <w:szCs w:val="24"/>
                <w:lang w:val="en-US" w:eastAsia="zh-CN"/>
              </w:rPr>
              <w:t xml:space="preserve"> </w:t>
            </w:r>
            <w:r>
              <w:rPr>
                <w:sz w:val="24"/>
                <w:szCs w:val="24"/>
              </w:rPr>
              <w:t>新闻发布会</w:t>
            </w:r>
            <w:r>
              <w:rPr>
                <w:rFonts w:hint="eastAsia"/>
                <w:sz w:val="24"/>
                <w:szCs w:val="24"/>
                <w:lang w:val="en-US" w:eastAsia="zh-CN"/>
              </w:rPr>
              <w:t xml:space="preserve">                       </w:t>
            </w:r>
            <w:r>
              <w:rPr>
                <w:sz w:val="24"/>
                <w:szCs w:val="24"/>
              </w:rPr>
              <w:sym w:font="Wingdings 2" w:char="0052"/>
            </w:r>
            <w:r>
              <w:rPr>
                <w:rFonts w:hint="eastAsia"/>
                <w:sz w:val="24"/>
                <w:szCs w:val="24"/>
                <w:lang w:val="en-US" w:eastAsia="zh-CN"/>
              </w:rPr>
              <w:t xml:space="preserve"> </w:t>
            </w:r>
            <w:r>
              <w:rPr>
                <w:sz w:val="24"/>
                <w:szCs w:val="24"/>
              </w:rPr>
              <w:t>路演活动</w:t>
            </w:r>
          </w:p>
          <w:p w14:paraId="10160FA8">
            <w:pPr>
              <w:pStyle w:val="8"/>
              <w:spacing w:before="9"/>
              <w:ind w:left="0"/>
              <w:jc w:val="both"/>
              <w:rPr>
                <w:sz w:val="24"/>
                <w:szCs w:val="24"/>
              </w:rPr>
            </w:pPr>
          </w:p>
          <w:p w14:paraId="691182BC">
            <w:pPr>
              <w:pStyle w:val="8"/>
              <w:ind w:left="0" w:leftChars="0" w:firstLine="236" w:firstLineChars="100"/>
              <w:jc w:val="both"/>
              <w:rPr>
                <w:rFonts w:hint="default" w:eastAsia="宋体"/>
                <w:sz w:val="24"/>
                <w:lang w:val="en-US" w:eastAsia="zh-CN"/>
              </w:rPr>
            </w:pPr>
            <w:r>
              <w:rPr>
                <w:spacing w:val="-2"/>
                <w:sz w:val="24"/>
                <w:szCs w:val="24"/>
              </w:rPr>
              <w:sym w:font="Wingdings 2" w:char="00A3"/>
            </w:r>
            <w:r>
              <w:rPr>
                <w:rFonts w:hint="eastAsia"/>
                <w:spacing w:val="-2"/>
                <w:sz w:val="24"/>
                <w:szCs w:val="24"/>
                <w:lang w:val="en-US" w:eastAsia="zh-CN"/>
              </w:rPr>
              <w:t xml:space="preserve"> </w:t>
            </w:r>
            <w:r>
              <w:rPr>
                <w:sz w:val="24"/>
                <w:szCs w:val="24"/>
              </w:rPr>
              <w:t>现场参观</w:t>
            </w:r>
            <w:r>
              <w:rPr>
                <w:rFonts w:hint="eastAsia"/>
                <w:sz w:val="24"/>
                <w:szCs w:val="24"/>
                <w:lang w:val="en-US" w:eastAsia="zh-CN"/>
              </w:rPr>
              <w:t xml:space="preserve">                         </w:t>
            </w:r>
            <w:r>
              <w:rPr>
                <w:sz w:val="24"/>
                <w:szCs w:val="24"/>
              </w:rPr>
              <w:sym w:font="Wingdings 2" w:char="0052"/>
            </w:r>
            <w:r>
              <w:rPr>
                <w:sz w:val="24"/>
                <w:szCs w:val="24"/>
              </w:rPr>
              <w:t xml:space="preserve"> 其他 </w:t>
            </w:r>
            <w:r>
              <w:rPr>
                <w:rFonts w:hint="eastAsia"/>
                <w:sz w:val="24"/>
                <w:szCs w:val="24"/>
                <w:lang w:eastAsia="zh-CN"/>
              </w:rPr>
              <w:t>（</w:t>
            </w:r>
            <w:r>
              <w:rPr>
                <w:rFonts w:hint="eastAsia"/>
                <w:sz w:val="24"/>
                <w:szCs w:val="24"/>
                <w:lang w:val="en-US" w:eastAsia="zh-CN"/>
              </w:rPr>
              <w:t>线上调研）</w:t>
            </w:r>
          </w:p>
        </w:tc>
      </w:tr>
      <w:tr w14:paraId="7220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1524" w:type="dxa"/>
            <w:tcMar>
              <w:top w:w="0" w:type="dxa"/>
              <w:left w:w="113" w:type="dxa"/>
              <w:bottom w:w="0" w:type="dxa"/>
              <w:right w:w="113" w:type="dxa"/>
            </w:tcMar>
            <w:vAlign w:val="center"/>
          </w:tcPr>
          <w:p w14:paraId="48FE3DEB">
            <w:pPr>
              <w:pStyle w:val="8"/>
              <w:spacing w:before="156" w:line="242" w:lineRule="auto"/>
              <w:ind w:left="107" w:right="71"/>
              <w:jc w:val="center"/>
              <w:rPr>
                <w:b w:val="0"/>
                <w:bCs w:val="0"/>
                <w:sz w:val="24"/>
                <w:szCs w:val="24"/>
              </w:rPr>
            </w:pPr>
            <w:r>
              <w:rPr>
                <w:b w:val="0"/>
                <w:bCs w:val="0"/>
                <w:sz w:val="24"/>
                <w:szCs w:val="24"/>
              </w:rPr>
              <w:t>参与单位名称</w:t>
            </w:r>
          </w:p>
        </w:tc>
        <w:tc>
          <w:tcPr>
            <w:tcW w:w="8220" w:type="dxa"/>
            <w:vAlign w:val="center"/>
          </w:tcPr>
          <w:p w14:paraId="2E0D6A33">
            <w:pPr>
              <w:jc w:val="both"/>
              <w:rPr>
                <w:rFonts w:hint="default"/>
                <w:sz w:val="24"/>
                <w:lang w:val="en-US" w:eastAsia="zh-CN"/>
              </w:rPr>
            </w:pPr>
            <w:r>
              <w:rPr>
                <w:rFonts w:hint="eastAsia"/>
                <w:sz w:val="24"/>
                <w:lang w:val="en-US" w:eastAsia="zh-CN"/>
              </w:rPr>
              <w:t xml:space="preserve"> 中邮证券、易方达、中泰电子、东方阿尔法基金、北京禧悦私募、申万电子、华富证券、国富基金、浦银安盛、财通基金、万家基金、西部利得基金、晋江和铭资产、中庚基金、西南证券、中银基金、西南证券、西南证券研发中心、海富通基金、进门财经、西南证券</w:t>
            </w:r>
          </w:p>
        </w:tc>
      </w:tr>
      <w:tr w14:paraId="139FA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21BBEB87">
            <w:pPr>
              <w:pStyle w:val="8"/>
              <w:spacing w:before="170" w:line="289" w:lineRule="exact"/>
              <w:ind w:left="107"/>
              <w:jc w:val="center"/>
              <w:rPr>
                <w:b w:val="0"/>
                <w:bCs w:val="0"/>
                <w:sz w:val="24"/>
                <w:szCs w:val="24"/>
              </w:rPr>
            </w:pPr>
            <w:r>
              <w:rPr>
                <w:b w:val="0"/>
                <w:bCs w:val="0"/>
                <w:sz w:val="24"/>
                <w:szCs w:val="24"/>
              </w:rPr>
              <w:t>时间</w:t>
            </w:r>
          </w:p>
        </w:tc>
        <w:tc>
          <w:tcPr>
            <w:tcW w:w="8220" w:type="dxa"/>
            <w:vAlign w:val="center"/>
          </w:tcPr>
          <w:p w14:paraId="075846D8">
            <w:pPr>
              <w:pStyle w:val="8"/>
              <w:spacing w:before="170" w:line="289" w:lineRule="exact"/>
              <w:jc w:val="both"/>
              <w:rPr>
                <w:rFonts w:hint="default" w:eastAsia="宋体"/>
                <w:sz w:val="24"/>
                <w:lang w:val="en-US" w:eastAsia="zh-CN"/>
              </w:rPr>
            </w:pPr>
            <w:r>
              <w:rPr>
                <w:rFonts w:hint="eastAsia"/>
                <w:sz w:val="24"/>
                <w:lang w:val="en-US" w:eastAsia="zh-CN"/>
              </w:rPr>
              <w:t>2026</w:t>
            </w:r>
            <w:r>
              <w:rPr>
                <w:sz w:val="24"/>
              </w:rPr>
              <w:t>年</w:t>
            </w:r>
            <w:r>
              <w:rPr>
                <w:rFonts w:hint="eastAsia"/>
                <w:sz w:val="24"/>
                <w:lang w:val="en-US" w:eastAsia="zh-CN"/>
              </w:rPr>
              <w:t>1月30日、2月2日</w:t>
            </w:r>
          </w:p>
        </w:tc>
      </w:tr>
      <w:tr w14:paraId="77F45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39EB5C8F">
            <w:pPr>
              <w:pStyle w:val="8"/>
              <w:spacing w:before="170" w:line="289" w:lineRule="exact"/>
              <w:ind w:left="107"/>
              <w:jc w:val="center"/>
              <w:rPr>
                <w:b w:val="0"/>
                <w:bCs w:val="0"/>
                <w:sz w:val="24"/>
                <w:szCs w:val="24"/>
              </w:rPr>
            </w:pPr>
            <w:r>
              <w:rPr>
                <w:b w:val="0"/>
                <w:bCs w:val="0"/>
                <w:sz w:val="24"/>
                <w:szCs w:val="24"/>
              </w:rPr>
              <w:t>地点</w:t>
            </w:r>
          </w:p>
        </w:tc>
        <w:tc>
          <w:tcPr>
            <w:tcW w:w="8220" w:type="dxa"/>
            <w:vAlign w:val="center"/>
          </w:tcPr>
          <w:p w14:paraId="53186284">
            <w:pPr>
              <w:pStyle w:val="8"/>
              <w:spacing w:before="170" w:line="289" w:lineRule="exact"/>
              <w:jc w:val="both"/>
              <w:rPr>
                <w:rFonts w:hint="default" w:eastAsia="宋体"/>
                <w:sz w:val="24"/>
                <w:lang w:val="en-US" w:eastAsia="zh-CN"/>
              </w:rPr>
            </w:pPr>
            <w:r>
              <w:rPr>
                <w:rFonts w:hint="eastAsia"/>
                <w:sz w:val="24"/>
                <w:lang w:val="en-US" w:eastAsia="zh-CN"/>
              </w:rPr>
              <w:t>深圳</w:t>
            </w:r>
          </w:p>
        </w:tc>
      </w:tr>
      <w:tr w14:paraId="2CDE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28421AAF">
            <w:pPr>
              <w:pStyle w:val="8"/>
              <w:spacing w:before="60" w:line="242" w:lineRule="auto"/>
              <w:ind w:left="107" w:right="72"/>
              <w:jc w:val="center"/>
              <w:rPr>
                <w:b w:val="0"/>
                <w:bCs w:val="0"/>
                <w:sz w:val="24"/>
                <w:szCs w:val="24"/>
              </w:rPr>
            </w:pPr>
            <w:r>
              <w:rPr>
                <w:b w:val="0"/>
                <w:bCs w:val="0"/>
                <w:sz w:val="24"/>
                <w:szCs w:val="24"/>
              </w:rPr>
              <w:t>上市公司接待人员姓名</w:t>
            </w:r>
          </w:p>
        </w:tc>
        <w:tc>
          <w:tcPr>
            <w:tcW w:w="8220" w:type="dxa"/>
            <w:vAlign w:val="center"/>
          </w:tcPr>
          <w:p w14:paraId="0EB18801">
            <w:pPr>
              <w:pStyle w:val="8"/>
              <w:spacing w:before="170"/>
              <w:jc w:val="both"/>
              <w:rPr>
                <w:rFonts w:hint="default"/>
                <w:sz w:val="24"/>
                <w:lang w:val="en-US" w:eastAsia="zh-CN"/>
              </w:rPr>
            </w:pPr>
            <w:r>
              <w:rPr>
                <w:rFonts w:hint="eastAsia"/>
                <w:sz w:val="24"/>
                <w:lang w:val="en-US" w:eastAsia="zh-CN"/>
              </w:rPr>
              <w:t>董事会秘书吴新元</w:t>
            </w:r>
          </w:p>
        </w:tc>
      </w:tr>
      <w:tr w14:paraId="421F5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17AA6BEC">
            <w:pPr>
              <w:pStyle w:val="8"/>
              <w:spacing w:before="60" w:line="242" w:lineRule="auto"/>
              <w:ind w:left="107" w:right="72"/>
              <w:jc w:val="center"/>
              <w:rPr>
                <w:b w:val="0"/>
                <w:bCs w:val="0"/>
                <w:sz w:val="24"/>
                <w:szCs w:val="24"/>
              </w:rPr>
            </w:pPr>
            <w:r>
              <w:rPr>
                <w:rFonts w:hint="eastAsia"/>
                <w:b w:val="0"/>
                <w:bCs w:val="0"/>
                <w:sz w:val="24"/>
                <w:szCs w:val="24"/>
              </w:rPr>
              <w:t>投资者关系活动主要内容介绍</w:t>
            </w:r>
          </w:p>
        </w:tc>
        <w:tc>
          <w:tcPr>
            <w:tcW w:w="8220" w:type="dxa"/>
            <w:tcMar>
              <w:top w:w="170" w:type="dxa"/>
              <w:left w:w="170" w:type="dxa"/>
              <w:bottom w:w="170" w:type="dxa"/>
              <w:right w:w="170" w:type="dxa"/>
            </w:tcMar>
            <w:vAlign w:val="center"/>
          </w:tcPr>
          <w:p w14:paraId="00CF228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right="0" w:rightChars="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交流问答</w:t>
            </w:r>
          </w:p>
          <w:p w14:paraId="1C73D120">
            <w:pPr>
              <w:ind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1.关于公司发出MCU和NOR Flash的产品涨价15%-50%的通知，请问涨价原因和具体涨价情况</w:t>
            </w:r>
            <w:r>
              <w:rPr>
                <w:rFonts w:hint="default" w:ascii="仿宋" w:hAnsi="仿宋" w:eastAsia="仿宋" w:cs="仿宋"/>
                <w:sz w:val="24"/>
                <w:szCs w:val="24"/>
                <w:lang w:val="en-US" w:eastAsia="zh-CN"/>
              </w:rPr>
              <w:t>？</w:t>
            </w:r>
          </w:p>
          <w:p w14:paraId="084EBB3D">
            <w:pPr>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涨价原因大致有三个方面：一是受上游加工环节涨价所致，晶圆厂因产能紧张上调了晶圆单价，封装测试厂因原材料涨价上调封测单价，上述涨价超出公司技术改造消化承受范围，且严重影响到公司盈利状况，公司被迫涨价；二是代工交期加长、部分产品缺货严重，涨价以调节产能，缓解交货压力；三是芯片行业这几年一直处于毛利低谷期，整个行业需要走出利润低位。</w:t>
            </w:r>
          </w:p>
          <w:p w14:paraId="505FFDA8">
            <w:pPr>
              <w:ind w:firstLine="480" w:firstLineChars="200"/>
              <w:jc w:val="both"/>
              <w:rPr>
                <w:rFonts w:hint="eastAsia" w:ascii="仿宋" w:hAnsi="仿宋" w:eastAsia="仿宋" w:cs="仿宋"/>
                <w:sz w:val="24"/>
                <w:szCs w:val="24"/>
                <w:lang w:val="en-US" w:eastAsia="zh-CN"/>
              </w:rPr>
            </w:pPr>
          </w:p>
          <w:p w14:paraId="50B7F184">
            <w:pPr>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发出涨价通知后，已经停止接受订单，待价格调整完成后再接受新的订单；具体产品的涨价情况会根据产品上游加工成本涨价幅度和该产品毛利状况有所区别，低毛利产品涨价幅度大一些，高毛利产品涨价幅度小一些。</w:t>
            </w:r>
          </w:p>
          <w:p w14:paraId="134E24E7">
            <w:pPr>
              <w:ind w:firstLine="480" w:firstLineChars="200"/>
              <w:jc w:val="both"/>
              <w:rPr>
                <w:rFonts w:hint="eastAsia" w:ascii="仿宋" w:hAnsi="仿宋" w:eastAsia="仿宋" w:cs="仿宋"/>
                <w:sz w:val="24"/>
                <w:szCs w:val="24"/>
                <w:lang w:val="en-US" w:eastAsia="zh-CN"/>
              </w:rPr>
            </w:pPr>
          </w:p>
          <w:p w14:paraId="3EF16405">
            <w:pPr>
              <w:numPr>
                <w:ilvl w:val="0"/>
                <w:numId w:val="2"/>
              </w:numPr>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公司和下游代理商、终端客户库存情况如何？</w:t>
            </w:r>
          </w:p>
          <w:p w14:paraId="48017E89">
            <w:pPr>
              <w:numPr>
                <w:ilvl w:val="0"/>
                <w:numId w:val="0"/>
              </w:numPr>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答：公司库存经过过去一两年优化，库存大幅减少，多数在销品库存量在6个月的销售量之内；公司下游客户，无论是经销商还是终端客户，他们的库存水位不高，甚至说低于行业平均水平。</w:t>
            </w:r>
          </w:p>
          <w:p w14:paraId="4EDBA971">
            <w:pPr>
              <w:numPr>
                <w:ilvl w:val="0"/>
                <w:numId w:val="0"/>
              </w:numPr>
              <w:ind w:right="0" w:rightChars="0" w:firstLine="480" w:firstLineChars="200"/>
              <w:jc w:val="both"/>
              <w:rPr>
                <w:rFonts w:hint="eastAsia" w:ascii="仿宋" w:hAnsi="仿宋" w:eastAsia="仿宋" w:cs="仿宋"/>
                <w:sz w:val="24"/>
                <w:szCs w:val="24"/>
                <w:lang w:val="en-US" w:eastAsia="zh-CN"/>
              </w:rPr>
            </w:pPr>
          </w:p>
          <w:p w14:paraId="62F289F7">
            <w:pPr>
              <w:numPr>
                <w:ilvl w:val="0"/>
                <w:numId w:val="2"/>
              </w:numPr>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目前公司供货情况如何，下游需求有无明显变化？</w:t>
            </w:r>
          </w:p>
          <w:p w14:paraId="7C077C10">
            <w:pPr>
              <w:numPr>
                <w:ilvl w:val="0"/>
                <w:numId w:val="0"/>
              </w:numPr>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答：下游需求总体是在增长的，MCU作为自动化、智能化的基础元器件，随着社会的发展，需求总是在不断增大。公司总体供货正常，也有部分料号处于供货紧张之中，存在客户等货的情况。</w:t>
            </w:r>
          </w:p>
          <w:p w14:paraId="241B2447">
            <w:pPr>
              <w:numPr>
                <w:ilvl w:val="0"/>
                <w:numId w:val="0"/>
              </w:numPr>
              <w:ind w:right="0" w:rightChars="0" w:firstLine="480" w:firstLineChars="200"/>
              <w:jc w:val="both"/>
              <w:rPr>
                <w:rFonts w:hint="default" w:ascii="仿宋" w:hAnsi="仿宋" w:eastAsia="仿宋" w:cs="仿宋"/>
                <w:sz w:val="24"/>
                <w:szCs w:val="24"/>
                <w:lang w:val="en-US" w:eastAsia="zh-CN"/>
              </w:rPr>
            </w:pPr>
          </w:p>
          <w:p w14:paraId="0190CB9B">
            <w:pPr>
              <w:numPr>
                <w:ilvl w:val="0"/>
                <w:numId w:val="2"/>
              </w:numPr>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请拆分一下公司营收结构？</w:t>
            </w:r>
          </w:p>
          <w:p w14:paraId="63A71E59">
            <w:pPr>
              <w:numPr>
                <w:ilvl w:val="0"/>
                <w:numId w:val="0"/>
              </w:numPr>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答：从应用领域拆分公司营收结构，大概比例是：消费电子占40%、家电占30%、工业控制占23%、汽车电子占7%左右。总之是工业控制和汽车电子领域营收占比在增加。</w:t>
            </w:r>
          </w:p>
          <w:p w14:paraId="13750904">
            <w:pPr>
              <w:widowControl w:val="0"/>
              <w:numPr>
                <w:ilvl w:val="0"/>
                <w:numId w:val="0"/>
              </w:numPr>
              <w:autoSpaceDE w:val="0"/>
              <w:autoSpaceDN w:val="0"/>
              <w:spacing w:before="0" w:after="0" w:line="240" w:lineRule="auto"/>
              <w:ind w:right="0" w:rightChars="0"/>
              <w:jc w:val="both"/>
              <w:rPr>
                <w:rFonts w:hint="eastAsia" w:ascii="仿宋" w:hAnsi="仿宋" w:eastAsia="仿宋" w:cs="仿宋"/>
                <w:sz w:val="24"/>
                <w:szCs w:val="24"/>
                <w:lang w:val="en-US" w:eastAsia="zh-CN"/>
              </w:rPr>
            </w:pPr>
          </w:p>
          <w:p w14:paraId="41D8D0A2">
            <w:pPr>
              <w:numPr>
                <w:ilvl w:val="0"/>
                <w:numId w:val="2"/>
              </w:numPr>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公司NOR采取的什么工艺？产能如何？是否形成营收？</w:t>
            </w:r>
          </w:p>
          <w:p w14:paraId="724C79F0">
            <w:pPr>
              <w:numPr>
                <w:ilvl w:val="0"/>
                <w:numId w:val="0"/>
              </w:numPr>
              <w:ind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答：公司NOR采取NORD工艺，是面向NOR Flash的高密度存储制造工艺，属于最新工艺。产能属于商业秘密，暂时不便公布。不过，NOR 和MCU 的工艺共线，公司可以在MCU 和NOR 的产能上做一定的调节。公司 NOR产品还在量产生产中，尚未形成销售收入。</w:t>
            </w:r>
          </w:p>
          <w:p w14:paraId="447F26C2">
            <w:pPr>
              <w:numPr>
                <w:ilvl w:val="0"/>
                <w:numId w:val="0"/>
              </w:numPr>
              <w:ind w:leftChars="200" w:right="0" w:rightChars="0"/>
              <w:jc w:val="both"/>
              <w:rPr>
                <w:rFonts w:hint="default" w:ascii="仿宋" w:hAnsi="仿宋" w:eastAsia="仿宋" w:cs="仿宋"/>
                <w:sz w:val="24"/>
                <w:szCs w:val="24"/>
                <w:lang w:val="en-US" w:eastAsia="zh-CN"/>
              </w:rPr>
            </w:pPr>
          </w:p>
          <w:p w14:paraId="0F09F115">
            <w:pPr>
              <w:numPr>
                <w:ilvl w:val="0"/>
                <w:numId w:val="2"/>
              </w:numPr>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公司主要晶圆代工厂是哪个厂？</w:t>
            </w:r>
          </w:p>
          <w:p w14:paraId="150AB18A">
            <w:pPr>
              <w:numPr>
                <w:ilvl w:val="0"/>
                <w:numId w:val="0"/>
              </w:numPr>
              <w:ind w:leftChars="20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答：公司的主要晶圆代工厂是华虹半导体。</w:t>
            </w:r>
          </w:p>
          <w:p w14:paraId="12A805C2">
            <w:pPr>
              <w:numPr>
                <w:ilvl w:val="0"/>
                <w:numId w:val="0"/>
              </w:numPr>
              <w:ind w:leftChars="200" w:right="0" w:rightChars="0"/>
              <w:jc w:val="both"/>
              <w:rPr>
                <w:rFonts w:hint="default" w:ascii="仿宋" w:hAnsi="仿宋" w:eastAsia="仿宋" w:cs="仿宋"/>
                <w:sz w:val="24"/>
                <w:szCs w:val="24"/>
                <w:lang w:val="en-US" w:eastAsia="zh-CN"/>
              </w:rPr>
            </w:pPr>
          </w:p>
          <w:p w14:paraId="494B5BB3">
            <w:pPr>
              <w:numPr>
                <w:ilvl w:val="0"/>
                <w:numId w:val="2"/>
              </w:numPr>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2025年公司产品毛利水平？</w:t>
            </w:r>
          </w:p>
          <w:p w14:paraId="45679542">
            <w:pPr>
              <w:numPr>
                <w:ilvl w:val="0"/>
                <w:numId w:val="0"/>
              </w:numPr>
              <w:ind w:leftChars="20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答：2025年公司产品综合毛利有所提升，大概34%左右。</w:t>
            </w:r>
          </w:p>
          <w:p w14:paraId="409F3B3F">
            <w:pPr>
              <w:numPr>
                <w:ilvl w:val="0"/>
                <w:numId w:val="0"/>
              </w:numPr>
              <w:ind w:leftChars="200" w:right="0" w:rightChars="0"/>
              <w:jc w:val="both"/>
              <w:rPr>
                <w:rFonts w:hint="default" w:ascii="仿宋" w:hAnsi="仿宋" w:eastAsia="仿宋" w:cs="仿宋"/>
                <w:sz w:val="24"/>
                <w:szCs w:val="24"/>
                <w:lang w:val="en-US" w:eastAsia="zh-CN"/>
              </w:rPr>
            </w:pPr>
          </w:p>
          <w:p w14:paraId="6E60B264">
            <w:pPr>
              <w:numPr>
                <w:ilvl w:val="0"/>
                <w:numId w:val="2"/>
              </w:numPr>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公司产品32位、8位MCU产品数量和营收占比？</w:t>
            </w:r>
          </w:p>
          <w:p w14:paraId="1C40EF54">
            <w:pPr>
              <w:widowControl w:val="0"/>
              <w:numPr>
                <w:ilvl w:val="0"/>
                <w:numId w:val="0"/>
              </w:numPr>
              <w:autoSpaceDE w:val="0"/>
              <w:autoSpaceDN w:val="0"/>
              <w:spacing w:before="0" w:after="0" w:line="240" w:lineRule="auto"/>
              <w:ind w:right="0" w:rightChars="0" w:firstLine="44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答：公司MCU产品8位和32位机的数量占比是10:1，营收占比是6:4。</w:t>
            </w:r>
          </w:p>
          <w:p w14:paraId="41F6EA87">
            <w:pPr>
              <w:widowControl w:val="0"/>
              <w:numPr>
                <w:ilvl w:val="0"/>
                <w:numId w:val="0"/>
              </w:numPr>
              <w:autoSpaceDE w:val="0"/>
              <w:autoSpaceDN w:val="0"/>
              <w:spacing w:before="0" w:after="0" w:line="240" w:lineRule="auto"/>
              <w:ind w:right="0" w:rightChars="0" w:firstLine="440"/>
              <w:jc w:val="both"/>
              <w:rPr>
                <w:rFonts w:hint="default" w:ascii="仿宋" w:hAnsi="仿宋" w:eastAsia="仿宋" w:cs="仿宋"/>
                <w:sz w:val="24"/>
                <w:szCs w:val="24"/>
                <w:lang w:val="en-US" w:eastAsia="zh-CN"/>
              </w:rPr>
            </w:pPr>
          </w:p>
          <w:p w14:paraId="37948631">
            <w:pPr>
              <w:widowControl w:val="0"/>
              <w:numPr>
                <w:ilvl w:val="0"/>
                <w:numId w:val="2"/>
              </w:numPr>
              <w:autoSpaceDE w:val="0"/>
              <w:autoSpaceDN w:val="0"/>
              <w:spacing w:before="0" w:after="0" w:line="24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公司车规级MCU出货量如何？</w:t>
            </w:r>
          </w:p>
          <w:p w14:paraId="1345506F">
            <w:pPr>
              <w:widowControl w:val="0"/>
              <w:numPr>
                <w:ilvl w:val="0"/>
                <w:numId w:val="0"/>
              </w:numPr>
              <w:autoSpaceDE w:val="0"/>
              <w:autoSpaceDN w:val="0"/>
              <w:spacing w:before="0" w:after="0" w:line="240" w:lineRule="auto"/>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答：2025年公司车规级MCU出货较上年度增长一倍以上，大约有1700万</w:t>
            </w:r>
            <w:bookmarkStart w:id="0" w:name="_GoBack"/>
            <w:bookmarkEnd w:id="0"/>
            <w:r>
              <w:rPr>
                <w:rFonts w:hint="eastAsia" w:ascii="仿宋" w:hAnsi="仿宋" w:eastAsia="仿宋" w:cs="仿宋"/>
                <w:sz w:val="24"/>
                <w:szCs w:val="24"/>
                <w:lang w:val="en-US" w:eastAsia="zh-CN"/>
              </w:rPr>
              <w:t>—1800万颗。</w:t>
            </w:r>
          </w:p>
          <w:p w14:paraId="1845F961">
            <w:pPr>
              <w:widowControl w:val="0"/>
              <w:numPr>
                <w:ilvl w:val="0"/>
                <w:numId w:val="0"/>
              </w:numPr>
              <w:autoSpaceDE w:val="0"/>
              <w:autoSpaceDN w:val="0"/>
              <w:spacing w:before="0" w:after="0" w:line="240" w:lineRule="auto"/>
              <w:ind w:right="0" w:rightChars="0" w:firstLine="480" w:firstLineChars="200"/>
              <w:jc w:val="both"/>
              <w:rPr>
                <w:rFonts w:hint="eastAsia" w:ascii="仿宋" w:hAnsi="仿宋" w:eastAsia="仿宋" w:cs="仿宋"/>
                <w:sz w:val="24"/>
                <w:szCs w:val="24"/>
                <w:lang w:val="en-US" w:eastAsia="zh-CN"/>
              </w:rPr>
            </w:pPr>
          </w:p>
          <w:p w14:paraId="616C88AB">
            <w:pPr>
              <w:widowControl w:val="0"/>
              <w:numPr>
                <w:ilvl w:val="0"/>
                <w:numId w:val="0"/>
              </w:numPr>
              <w:autoSpaceDE w:val="0"/>
              <w:autoSpaceDN w:val="0"/>
              <w:spacing w:before="0" w:after="0" w:line="240" w:lineRule="auto"/>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10.公司H股进展情况？</w:t>
            </w:r>
          </w:p>
          <w:p w14:paraId="0EA69235">
            <w:pPr>
              <w:widowControl w:val="0"/>
              <w:numPr>
                <w:ilvl w:val="0"/>
                <w:numId w:val="0"/>
              </w:numPr>
              <w:autoSpaceDE w:val="0"/>
              <w:autoSpaceDN w:val="0"/>
              <w:spacing w:before="0" w:after="0" w:line="240" w:lineRule="auto"/>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答：公司赴H股在有序推进中，公司对联交所和证监会国际司问询均已回复。</w:t>
            </w:r>
          </w:p>
          <w:p w14:paraId="4646B9A6">
            <w:pPr>
              <w:widowControl w:val="0"/>
              <w:numPr>
                <w:ilvl w:val="0"/>
                <w:numId w:val="0"/>
              </w:numPr>
              <w:autoSpaceDE w:val="0"/>
              <w:autoSpaceDN w:val="0"/>
              <w:spacing w:before="0" w:after="0" w:line="240" w:lineRule="auto"/>
              <w:ind w:right="0" w:rightChars="0" w:firstLine="480" w:firstLineChars="200"/>
              <w:jc w:val="both"/>
              <w:rPr>
                <w:rFonts w:hint="default" w:ascii="仿宋" w:hAnsi="仿宋" w:eastAsia="仿宋" w:cs="仿宋"/>
                <w:sz w:val="24"/>
                <w:szCs w:val="24"/>
                <w:lang w:val="en-US" w:eastAsia="zh-CN"/>
              </w:rPr>
            </w:pPr>
          </w:p>
          <w:p w14:paraId="25E3A97D">
            <w:pPr>
              <w:widowControl w:val="0"/>
              <w:numPr>
                <w:ilvl w:val="0"/>
                <w:numId w:val="0"/>
              </w:numPr>
              <w:autoSpaceDE w:val="0"/>
              <w:autoSpaceDN w:val="0"/>
              <w:spacing w:before="0" w:after="0" w:line="240" w:lineRule="auto"/>
              <w:ind w:leftChars="20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11.2月5日，公司有大股东解禁，他们会减持吗？或如何减持？</w:t>
            </w:r>
          </w:p>
          <w:p w14:paraId="2A1D5A5E">
            <w:pPr>
              <w:widowControl w:val="0"/>
              <w:numPr>
                <w:ilvl w:val="0"/>
                <w:numId w:val="0"/>
              </w:numPr>
              <w:autoSpaceDE w:val="0"/>
              <w:autoSpaceDN w:val="0"/>
              <w:spacing w:before="0" w:after="0" w:line="240" w:lineRule="auto"/>
              <w:ind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答：我得到公司创始人、董事长杨勇先生明确答复，他暂时不会减持！他看好公司长远发展，而且兼任公司总经理。其他股东为改善居住条件会安排部分减持，但他们首先会采取对二级市场影响最小的方式减持，比如询价转让方式，股份不直接流入二级市场，同时引入公募、私募、保险等长期机构，改善股东结构。</w:t>
            </w:r>
          </w:p>
          <w:p w14:paraId="7500F4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default" w:cs="宋体"/>
                <w:b w:val="0"/>
                <w:bCs w:val="0"/>
                <w:sz w:val="24"/>
                <w:szCs w:val="24"/>
                <w:lang w:val="en-US" w:eastAsia="zh-CN" w:bidi="zh-CN"/>
              </w:rPr>
            </w:pPr>
          </w:p>
        </w:tc>
      </w:tr>
    </w:tbl>
    <w:p w14:paraId="544850EF">
      <w:pPr>
        <w:spacing w:before="23"/>
        <w:ind w:right="0"/>
        <w:jc w:val="left"/>
        <w:rPr>
          <w:sz w:val="21"/>
        </w:rPr>
      </w:pPr>
    </w:p>
    <w:sectPr>
      <w:pgSz w:w="11910" w:h="16840"/>
      <w:pgMar w:top="1417" w:right="1134" w:bottom="1417" w:left="1134"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6F90C"/>
    <w:multiLevelType w:val="singleLevel"/>
    <w:tmpl w:val="B3C6F90C"/>
    <w:lvl w:ilvl="0" w:tentative="0">
      <w:start w:val="2"/>
      <w:numFmt w:val="decimal"/>
      <w:lvlText w:val="%1."/>
      <w:lvlJc w:val="left"/>
      <w:pPr>
        <w:tabs>
          <w:tab w:val="left" w:pos="312"/>
        </w:tabs>
      </w:pPr>
    </w:lvl>
  </w:abstractNum>
  <w:abstractNum w:abstractNumId="1">
    <w:nsid w:val="7580FB9B"/>
    <w:multiLevelType w:val="singleLevel"/>
    <w:tmpl w:val="7580FB9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MDY5ZWU5ZTU1NWY2ODBmOTlkNmNjYWI5MGJjNTAifQ=="/>
  </w:docVars>
  <w:rsids>
    <w:rsidRoot w:val="00000000"/>
    <w:rsid w:val="00FD233D"/>
    <w:rsid w:val="034E33FD"/>
    <w:rsid w:val="049B5140"/>
    <w:rsid w:val="04B97099"/>
    <w:rsid w:val="062260D2"/>
    <w:rsid w:val="06B7310D"/>
    <w:rsid w:val="078F23D8"/>
    <w:rsid w:val="0BCE5827"/>
    <w:rsid w:val="0DDA5BAA"/>
    <w:rsid w:val="0E561013"/>
    <w:rsid w:val="0E842633"/>
    <w:rsid w:val="103109BE"/>
    <w:rsid w:val="1047628F"/>
    <w:rsid w:val="10CC52F7"/>
    <w:rsid w:val="140D0007"/>
    <w:rsid w:val="144018FC"/>
    <w:rsid w:val="1BA42A8E"/>
    <w:rsid w:val="1E491273"/>
    <w:rsid w:val="1E6B5B60"/>
    <w:rsid w:val="1F0D324E"/>
    <w:rsid w:val="204505AD"/>
    <w:rsid w:val="20E85DAE"/>
    <w:rsid w:val="22140B6D"/>
    <w:rsid w:val="23152DEF"/>
    <w:rsid w:val="23EE6D8C"/>
    <w:rsid w:val="246905AF"/>
    <w:rsid w:val="24E24D18"/>
    <w:rsid w:val="24EC5A02"/>
    <w:rsid w:val="26CB631A"/>
    <w:rsid w:val="275135B6"/>
    <w:rsid w:val="28064645"/>
    <w:rsid w:val="296C29CE"/>
    <w:rsid w:val="2D600F4C"/>
    <w:rsid w:val="2E567099"/>
    <w:rsid w:val="2ED94800"/>
    <w:rsid w:val="300657FD"/>
    <w:rsid w:val="302C44F1"/>
    <w:rsid w:val="319A2CFD"/>
    <w:rsid w:val="32954240"/>
    <w:rsid w:val="332F1B40"/>
    <w:rsid w:val="337066A2"/>
    <w:rsid w:val="33CF2630"/>
    <w:rsid w:val="351376E1"/>
    <w:rsid w:val="36CF10AF"/>
    <w:rsid w:val="37B625EF"/>
    <w:rsid w:val="380A05F1"/>
    <w:rsid w:val="38213B8C"/>
    <w:rsid w:val="39F5707E"/>
    <w:rsid w:val="3A0A3E69"/>
    <w:rsid w:val="3B073DC4"/>
    <w:rsid w:val="3CC11A84"/>
    <w:rsid w:val="3DC65BE7"/>
    <w:rsid w:val="402D334F"/>
    <w:rsid w:val="417A669A"/>
    <w:rsid w:val="42417305"/>
    <w:rsid w:val="42DD6902"/>
    <w:rsid w:val="437368FD"/>
    <w:rsid w:val="44E37ACA"/>
    <w:rsid w:val="46DB063D"/>
    <w:rsid w:val="47F941DE"/>
    <w:rsid w:val="4F3A3B86"/>
    <w:rsid w:val="50374B15"/>
    <w:rsid w:val="51CD61A5"/>
    <w:rsid w:val="58B36C53"/>
    <w:rsid w:val="58B91A1A"/>
    <w:rsid w:val="5A903F3C"/>
    <w:rsid w:val="5E056C86"/>
    <w:rsid w:val="61AB2679"/>
    <w:rsid w:val="63A63D26"/>
    <w:rsid w:val="64360FA4"/>
    <w:rsid w:val="645218B2"/>
    <w:rsid w:val="64E10284"/>
    <w:rsid w:val="65864EAB"/>
    <w:rsid w:val="65AC0BA1"/>
    <w:rsid w:val="684E7F52"/>
    <w:rsid w:val="6860573C"/>
    <w:rsid w:val="69007D35"/>
    <w:rsid w:val="69814922"/>
    <w:rsid w:val="6A8F2D01"/>
    <w:rsid w:val="6AA221E0"/>
    <w:rsid w:val="6AFE35FB"/>
    <w:rsid w:val="6BF33738"/>
    <w:rsid w:val="6C060AF4"/>
    <w:rsid w:val="6E5114E1"/>
    <w:rsid w:val="6F441EB0"/>
    <w:rsid w:val="6F8659FF"/>
    <w:rsid w:val="70852816"/>
    <w:rsid w:val="73187DD2"/>
    <w:rsid w:val="73C82B32"/>
    <w:rsid w:val="78471C35"/>
    <w:rsid w:val="79213DD0"/>
    <w:rsid w:val="7A117945"/>
    <w:rsid w:val="7A456C8B"/>
    <w:rsid w:val="7B3152AC"/>
    <w:rsid w:val="7BC17493"/>
    <w:rsid w:val="7D2045FF"/>
    <w:rsid w:val="7E1C5F55"/>
    <w:rsid w:val="7E652935"/>
    <w:rsid w:val="7F0A2251"/>
    <w:rsid w:val="7FBF4709"/>
    <w:rsid w:val="7FE743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6"/>
    </w:pPr>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rPr>
      <w:lang w:val="zh-CN" w:eastAsia="zh-CN" w:bidi="zh-CN"/>
    </w:rPr>
  </w:style>
  <w:style w:type="paragraph" w:customStyle="1" w:styleId="8">
    <w:name w:val="Table Paragraph"/>
    <w:basedOn w:val="1"/>
    <w:autoRedefine/>
    <w:qFormat/>
    <w:uiPriority w:val="1"/>
    <w:pPr>
      <w:ind w:left="108"/>
    </w:pPr>
    <w:rPr>
      <w:rFonts w:ascii="宋体" w:hAnsi="宋体" w:eastAsia="宋体" w:cs="宋体"/>
      <w:lang w:val="zh-CN" w:eastAsia="zh-CN" w:bidi="zh-CN"/>
    </w:rPr>
  </w:style>
  <w:style w:type="paragraph" w:customStyle="1" w:styleId="9">
    <w:name w:val="12"/>
    <w:autoRedefine/>
    <w:qFormat/>
    <w:uiPriority w:val="0"/>
    <w:pPr>
      <w:widowControl w:val="0"/>
      <w:jc w:val="both"/>
    </w:pPr>
    <w:rPr>
      <w:rFonts w:ascii="Calibri" w:hAnsi="Calibri" w:eastAsia="宋体" w:cs="Times New Roman"/>
      <w:kern w:val="2"/>
      <w:lang w:val="en-US" w:eastAsia="zh-CN" w:bidi="ar-SA"/>
    </w:rPr>
  </w:style>
  <w:style w:type="paragraph" w:customStyle="1" w:styleId="10">
    <w:name w:val="正文5"/>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070156c2-c684-421c-b051-53458ac0a737</errorID>
      <errorWord>证劵</errorWord>
      <group>L1_Word</group>
      <groupName>字词问题</groupName>
      <ability>L2_Typo</ability>
      <abilityName>字词错误</abilityName>
      <candidateList>
        <item>证券</item>
      </candidateList>
      <explain>〈名〉有价证券：～市场｜～交易所。</explain>
      <paraID>2E0D6A33</paraID>
      <start>36</start>
      <end>38</end>
      <status>modified</status>
      <modifiedWord>证券</modifiedWord>
      <trackRevisions>false</trackRevisions>
    </reviewItem>
    <reviewItem>
      <errorID>dd18c844-3354-4afe-ac68-0bc7ac98ab57</errorID>
      <errorWord>15%-50%</errorWord>
      <group>L1_Knowledge</group>
      <groupName>知识性问题</groupName>
      <ability>L2_Knowledge</ability>
      <abilityName>其他知识</abilityName>
      <candidateList>
        <item>15%—50%</item>
      </candidateList>
      <explain>1. “15%-50%”中的单位“%”仅出现在后一个数字上，容易引起歧义；根据《现代汉语标点符号数字用法规范手册》，数字表示范围两边需要使用统一的格式。2. 根据标点国标 4.13 中的规则，数字、时间或地域连接符应使用（视觉上更长的）“—”或“～”。</explain>
      <paraID>1C73D120</paraID>
      <start>26</start>
      <end>33</end>
      <status>ignored</status>
      <modifiedWord/>
      <trackRevisions>false</trackRevisions>
    </reviewItem>
    <reviewItem>
      <errorID>04722443-c083-41e5-bf67-4eb158ceab25</errorID>
      <errorWord>1700—1800万</errorWord>
      <group>L1_Knowledge</group>
      <groupName>知识性问题</groupName>
      <ability>L2_Knowledge</ability>
      <abilityName>其他知识</abilityName>
      <candidateList>
        <item>1700万—1800万</item>
      </candidateList>
      <explain>1. “1700—1800万”中的单位“万”仅出现在后一个数字上，容易引起歧义；根据《现代汉语标点符号数字用法规范手册》，数字表示范围两边需要使用统一的格式。2.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1345506F</paraID>
      <start>31</start>
      <end>41</end>
      <status>ignored</status>
      <modifiedWord/>
      <trackRevisions>false</trackRevisions>
    </reviewItem>
  </reviewItems>
  <config/>
</contractReview>
</file>

<file path=customXml/itemProps1.xml><?xml version="1.0" encoding="utf-8"?>
<ds:datastoreItem xmlns:ds="http://schemas.openxmlformats.org/officeDocument/2006/customXml" ds:itemID="{78b793b1-fd06-4b27-bd37-86b00c754af7}">
  <ds:schemaRefs/>
</ds:datastoreItem>
</file>

<file path=docProps/app.xml><?xml version="1.0" encoding="utf-8"?>
<Properties xmlns="http://schemas.openxmlformats.org/officeDocument/2006/extended-properties" xmlns:vt="http://schemas.openxmlformats.org/officeDocument/2006/docPropsVTypes">
  <Template>Normal</Template>
  <Pages>2</Pages>
  <Words>1303</Words>
  <Characters>1403</Characters>
  <TotalTime>57</TotalTime>
  <ScaleCrop>false</ScaleCrop>
  <LinksUpToDate>false</LinksUpToDate>
  <CharactersWithSpaces>1624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dc:creator>
  <cp:lastModifiedBy>中微 ZYH</cp:lastModifiedBy>
  <cp:lastPrinted>2022-09-29T09:35:00Z</cp:lastPrinted>
  <dcterms:created xsi:type="dcterms:W3CDTF">2022-08-11T01:07:00Z</dcterms:created>
  <dcterms:modified xsi:type="dcterms:W3CDTF">2026-02-02T07:57:33Z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Word 2010</vt:lpwstr>
  </property>
  <property fmtid="{D5CDD505-2E9C-101B-9397-08002B2CF9AE}" pid="4" name="LastSaved">
    <vt:filetime>2022-08-11T00:00:00Z</vt:filetime>
  </property>
  <property fmtid="{D5CDD505-2E9C-101B-9397-08002B2CF9AE}" pid="5" name="KSOProductBuildVer">
    <vt:lpwstr>2052-12.1.0.24657</vt:lpwstr>
  </property>
  <property fmtid="{D5CDD505-2E9C-101B-9397-08002B2CF9AE}" pid="6" name="ICV">
    <vt:lpwstr>49E2DE002F26495E88A1C95854D5DBB0_13</vt:lpwstr>
  </property>
  <property fmtid="{D5CDD505-2E9C-101B-9397-08002B2CF9AE}" pid="7" name="KSOTemplateDocerSaveRecord">
    <vt:lpwstr>eyJoZGlkIjoiZTQ4ODQwNThiYTg4YTBlNDhkZDRmNGNiNWM5NWE1YzAiLCJ1c2VySWQiOiIyNDk3MTA2NDYifQ==</vt:lpwstr>
  </property>
</Properties>
</file>