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15F85B" w14:textId="77777777" w:rsidR="00654ECD" w:rsidRDefault="004A17DF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</w:rPr>
        <w:t>浙江龙盛集团股份有限公司</w:t>
      </w:r>
    </w:p>
    <w:p w14:paraId="5CE59472" w14:textId="77777777" w:rsidR="00654ECD" w:rsidRDefault="004A17DF">
      <w:pPr>
        <w:jc w:val="center"/>
      </w:pPr>
      <w:r>
        <w:rPr>
          <w:rFonts w:eastAsia="黑体"/>
          <w:b/>
          <w:bCs/>
          <w:sz w:val="30"/>
        </w:rPr>
        <w:t>公司及高管接待机构调研情况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730"/>
        <w:gridCol w:w="2713"/>
        <w:gridCol w:w="1608"/>
        <w:gridCol w:w="2654"/>
      </w:tblGrid>
      <w:tr w:rsidR="00654ECD" w14:paraId="4D748E89" w14:textId="77777777">
        <w:trPr>
          <w:trHeight w:hRule="exact" w:val="467"/>
        </w:trPr>
        <w:tc>
          <w:tcPr>
            <w:tcW w:w="1547" w:type="dxa"/>
            <w:gridSpan w:val="2"/>
            <w:vAlign w:val="center"/>
          </w:tcPr>
          <w:p w14:paraId="6E7CCE00" w14:textId="77777777" w:rsidR="00654ECD" w:rsidRDefault="004A17DF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日期</w:t>
            </w:r>
          </w:p>
        </w:tc>
        <w:tc>
          <w:tcPr>
            <w:tcW w:w="2713" w:type="dxa"/>
            <w:vAlign w:val="center"/>
          </w:tcPr>
          <w:p w14:paraId="44F7C81E" w14:textId="77777777" w:rsidR="00654ECD" w:rsidRDefault="004A17D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  <w:r>
              <w:rPr>
                <w:rFonts w:ascii="宋体" w:hAnsi="宋体"/>
                <w:sz w:val="24"/>
              </w:rPr>
              <w:t>26</w:t>
            </w:r>
            <w:r>
              <w:rPr>
                <w:rFonts w:ascii="宋体" w:hAnsi="宋体" w:hint="eastAsia"/>
                <w:sz w:val="24"/>
              </w:rPr>
              <w:t>-</w:t>
            </w:r>
            <w:r>
              <w:rPr>
                <w:rFonts w:ascii="宋体" w:hAnsi="宋体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-</w:t>
            </w:r>
            <w:r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1608" w:type="dxa"/>
            <w:vAlign w:val="center"/>
          </w:tcPr>
          <w:p w14:paraId="70C4F2F3" w14:textId="77777777" w:rsidR="00654ECD" w:rsidRDefault="004A17DF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时间</w:t>
            </w:r>
          </w:p>
        </w:tc>
        <w:tc>
          <w:tcPr>
            <w:tcW w:w="2654" w:type="dxa"/>
            <w:vAlign w:val="center"/>
          </w:tcPr>
          <w:p w14:paraId="4EA93C21" w14:textId="77777777" w:rsidR="00654ECD" w:rsidRDefault="004A17DF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>：00-1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:</w:t>
            </w:r>
            <w:r>
              <w:rPr>
                <w:rFonts w:ascii="宋体" w:hAnsi="宋体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0</w:t>
            </w:r>
          </w:p>
        </w:tc>
      </w:tr>
      <w:tr w:rsidR="00654ECD" w14:paraId="265BCBF3" w14:textId="77777777">
        <w:trPr>
          <w:trHeight w:hRule="exact" w:val="870"/>
        </w:trPr>
        <w:tc>
          <w:tcPr>
            <w:tcW w:w="1547" w:type="dxa"/>
            <w:gridSpan w:val="2"/>
            <w:vAlign w:val="center"/>
          </w:tcPr>
          <w:p w14:paraId="0B8D01BA" w14:textId="77777777" w:rsidR="00654ECD" w:rsidRDefault="004A17DF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接待人</w:t>
            </w:r>
            <w:r>
              <w:rPr>
                <w:rFonts w:ascii="宋体" w:hAnsi="宋体" w:hint="eastAsia"/>
                <w:b/>
                <w:bCs/>
                <w:sz w:val="24"/>
              </w:rPr>
              <w:t>姓名</w:t>
            </w:r>
          </w:p>
        </w:tc>
        <w:tc>
          <w:tcPr>
            <w:tcW w:w="2713" w:type="dxa"/>
            <w:vAlign w:val="center"/>
          </w:tcPr>
          <w:p w14:paraId="3B87FBE3" w14:textId="77777777" w:rsidR="00654ECD" w:rsidRDefault="004A17D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姚建芳、陈国江</w:t>
            </w:r>
          </w:p>
        </w:tc>
        <w:tc>
          <w:tcPr>
            <w:tcW w:w="1608" w:type="dxa"/>
            <w:vAlign w:val="center"/>
          </w:tcPr>
          <w:p w14:paraId="6AD6F998" w14:textId="77777777" w:rsidR="00654ECD" w:rsidRDefault="004A17DF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接待人职务</w:t>
            </w:r>
          </w:p>
        </w:tc>
        <w:tc>
          <w:tcPr>
            <w:tcW w:w="2654" w:type="dxa"/>
            <w:vAlign w:val="center"/>
          </w:tcPr>
          <w:p w14:paraId="54323D05" w14:textId="77777777" w:rsidR="00654ECD" w:rsidRDefault="004A17D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董秘兼副总经理、证代</w:t>
            </w:r>
          </w:p>
        </w:tc>
      </w:tr>
      <w:tr w:rsidR="00654ECD" w14:paraId="7B78239B" w14:textId="77777777">
        <w:trPr>
          <w:trHeight w:hRule="exact" w:val="1252"/>
        </w:trPr>
        <w:tc>
          <w:tcPr>
            <w:tcW w:w="1547" w:type="dxa"/>
            <w:gridSpan w:val="2"/>
            <w:vAlign w:val="center"/>
          </w:tcPr>
          <w:p w14:paraId="2AABE8AB" w14:textId="77777777" w:rsidR="00654ECD" w:rsidRDefault="004A17DF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来访</w:t>
            </w:r>
            <w:r>
              <w:rPr>
                <w:rFonts w:ascii="宋体" w:hAnsi="宋体" w:hint="eastAsia"/>
                <w:b/>
                <w:bCs/>
                <w:sz w:val="24"/>
              </w:rPr>
              <w:t>单位及</w:t>
            </w:r>
            <w:r>
              <w:rPr>
                <w:rFonts w:ascii="宋体" w:hAnsi="宋体"/>
                <w:b/>
                <w:bCs/>
                <w:sz w:val="24"/>
              </w:rPr>
              <w:t>人</w:t>
            </w:r>
            <w:r>
              <w:rPr>
                <w:rFonts w:ascii="宋体" w:hAnsi="宋体" w:hint="eastAsia"/>
                <w:b/>
                <w:bCs/>
                <w:sz w:val="24"/>
              </w:rPr>
              <w:t>员姓名</w:t>
            </w:r>
          </w:p>
        </w:tc>
        <w:tc>
          <w:tcPr>
            <w:tcW w:w="6975" w:type="dxa"/>
            <w:gridSpan w:val="3"/>
            <w:vAlign w:val="center"/>
          </w:tcPr>
          <w:p w14:paraId="2009B539" w14:textId="0BD222F6" w:rsidR="00654ECD" w:rsidRDefault="008326DD" w:rsidP="008326DD">
            <w:pPr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（1）</w:t>
            </w:r>
            <w:r w:rsidR="004A17DF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易方达：杨协和</w:t>
            </w:r>
            <w:r w:rsidR="007875CD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等12人</w:t>
            </w:r>
            <w:r w:rsidR="004A17DF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 xml:space="preserve"> </w:t>
            </w:r>
          </w:p>
          <w:p w14:paraId="2F7A2207" w14:textId="53475A62" w:rsidR="00654ECD" w:rsidRDefault="004A17D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（2）中信建投：吴宇</w:t>
            </w:r>
            <w:r w:rsidR="007875CD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等3人</w:t>
            </w:r>
            <w:bookmarkStart w:id="0" w:name="_GoBack"/>
            <w:bookmarkEnd w:id="0"/>
          </w:p>
        </w:tc>
      </w:tr>
      <w:tr w:rsidR="00654ECD" w14:paraId="68267F64" w14:textId="77777777">
        <w:trPr>
          <w:trHeight w:hRule="exact" w:val="419"/>
        </w:trPr>
        <w:tc>
          <w:tcPr>
            <w:tcW w:w="1547" w:type="dxa"/>
            <w:gridSpan w:val="2"/>
          </w:tcPr>
          <w:p w14:paraId="4AFAF2EF" w14:textId="77777777" w:rsidR="00654ECD" w:rsidRDefault="004A17DF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调研形式</w:t>
            </w:r>
          </w:p>
        </w:tc>
        <w:tc>
          <w:tcPr>
            <w:tcW w:w="6975" w:type="dxa"/>
            <w:gridSpan w:val="3"/>
          </w:tcPr>
          <w:p w14:paraId="18469DF5" w14:textId="77777777" w:rsidR="00654ECD" w:rsidRDefault="004A17DF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</w:rPr>
              <w:t>（√）</w:t>
            </w:r>
            <w:r>
              <w:rPr>
                <w:rFonts w:ascii="宋体" w:hAnsi="宋体"/>
              </w:rPr>
              <w:t>公司现场接待</w:t>
            </w:r>
            <w:r>
              <w:rPr>
                <w:rFonts w:ascii="宋体" w:hAnsi="宋体" w:hint="eastAsia"/>
              </w:rPr>
              <w:t>（  ）</w:t>
            </w:r>
            <w:r>
              <w:rPr>
                <w:rFonts w:ascii="宋体" w:hAnsi="宋体"/>
              </w:rPr>
              <w:t>电话接待</w:t>
            </w:r>
            <w:r>
              <w:rPr>
                <w:rFonts w:ascii="宋体" w:hAnsi="宋体" w:hint="eastAsia"/>
              </w:rPr>
              <w:t>（  ）</w:t>
            </w:r>
            <w:r>
              <w:rPr>
                <w:rFonts w:ascii="宋体" w:hAnsi="宋体"/>
              </w:rPr>
              <w:t>其他场所接待</w:t>
            </w:r>
            <w:r>
              <w:rPr>
                <w:rFonts w:ascii="宋体" w:hAnsi="宋体" w:hint="eastAsia"/>
              </w:rPr>
              <w:t>（  ）</w:t>
            </w:r>
            <w:r>
              <w:rPr>
                <w:rFonts w:ascii="宋体" w:hAnsi="宋体"/>
              </w:rPr>
              <w:t>公开说明会</w:t>
            </w:r>
          </w:p>
        </w:tc>
      </w:tr>
      <w:tr w:rsidR="00654ECD" w14:paraId="67EC653D" w14:textId="77777777">
        <w:trPr>
          <w:trHeight w:hRule="exact" w:val="424"/>
        </w:trPr>
        <w:tc>
          <w:tcPr>
            <w:tcW w:w="817" w:type="dxa"/>
          </w:tcPr>
          <w:p w14:paraId="27F212CB" w14:textId="77777777" w:rsidR="00654ECD" w:rsidRDefault="004A17DF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7705" w:type="dxa"/>
            <w:gridSpan w:val="4"/>
          </w:tcPr>
          <w:p w14:paraId="0CC7CC11" w14:textId="77777777" w:rsidR="00654ECD" w:rsidRDefault="004A17DF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调研内容记录</w:t>
            </w:r>
          </w:p>
        </w:tc>
      </w:tr>
      <w:tr w:rsidR="00654ECD" w14:paraId="51F9E224" w14:textId="77777777">
        <w:trPr>
          <w:trHeight w:hRule="exact" w:val="2557"/>
        </w:trPr>
        <w:tc>
          <w:tcPr>
            <w:tcW w:w="817" w:type="dxa"/>
            <w:vAlign w:val="center"/>
          </w:tcPr>
          <w:p w14:paraId="72F4D6C9" w14:textId="77777777" w:rsidR="00654ECD" w:rsidRDefault="004A17D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7705" w:type="dxa"/>
            <w:gridSpan w:val="4"/>
            <w:vAlign w:val="center"/>
          </w:tcPr>
          <w:p w14:paraId="35E0C000" w14:textId="77777777" w:rsidR="00654ECD" w:rsidRDefault="004A17DF"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问：公司核心业务结构及优势？</w:t>
            </w:r>
          </w:p>
          <w:p w14:paraId="0A3297E5" w14:textId="41FC17E2" w:rsidR="00654ECD" w:rsidRDefault="004A17D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答：公司是全球染料与纺织化学品龙头，主业为染料和中间体，其它还有</w:t>
            </w:r>
            <w:r w:rsidR="00F26D10">
              <w:rPr>
                <w:rFonts w:ascii="宋体" w:hAnsi="宋体" w:hint="eastAsia"/>
                <w:sz w:val="24"/>
              </w:rPr>
              <w:t>助剂、</w:t>
            </w:r>
            <w:r>
              <w:rPr>
                <w:rFonts w:ascii="宋体" w:hAnsi="宋体" w:hint="eastAsia"/>
                <w:sz w:val="24"/>
              </w:rPr>
              <w:t>无机化工、地产、汽配与投资。染料总产能约30万吨、中间体约</w:t>
            </w:r>
            <w:r>
              <w:rPr>
                <w:rFonts w:ascii="宋体" w:hAnsi="宋体"/>
                <w:sz w:val="24"/>
              </w:rPr>
              <w:t>12</w:t>
            </w:r>
            <w:r>
              <w:rPr>
                <w:rFonts w:ascii="宋体" w:hAnsi="宋体" w:hint="eastAsia"/>
                <w:sz w:val="24"/>
              </w:rPr>
              <w:t>万吨，经过多年的技术积累，做到重要中间体自供与成本控制，一体化与成本壁垒显著。</w:t>
            </w:r>
          </w:p>
        </w:tc>
      </w:tr>
      <w:tr w:rsidR="00654ECD" w14:paraId="43F33939" w14:textId="77777777">
        <w:trPr>
          <w:trHeight w:hRule="exact" w:val="2273"/>
        </w:trPr>
        <w:tc>
          <w:tcPr>
            <w:tcW w:w="817" w:type="dxa"/>
            <w:vAlign w:val="center"/>
          </w:tcPr>
          <w:p w14:paraId="7A655086" w14:textId="77777777" w:rsidR="00654ECD" w:rsidRDefault="004A17D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7705" w:type="dxa"/>
            <w:gridSpan w:val="4"/>
            <w:vAlign w:val="center"/>
          </w:tcPr>
          <w:p w14:paraId="1BCF0F88" w14:textId="77777777" w:rsidR="00654ECD" w:rsidRDefault="004A17DF"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问：公司近期染料产品价格如何？</w:t>
            </w:r>
          </w:p>
          <w:p w14:paraId="719388C7" w14:textId="77777777" w:rsidR="00654ECD" w:rsidRDefault="004A17DF"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答：公司国内染料由于受诸多原料价格的上涨，分散染料</w:t>
            </w:r>
            <w:r w:rsidR="007875CD">
              <w:rPr>
                <w:rFonts w:ascii="宋体" w:hAnsi="宋体" w:hint="eastAsia"/>
                <w:sz w:val="24"/>
              </w:rPr>
              <w:t>、活性艳兰</w:t>
            </w:r>
            <w:r>
              <w:rPr>
                <w:rFonts w:ascii="宋体" w:hAnsi="宋体" w:hint="eastAsia"/>
                <w:sz w:val="24"/>
              </w:rPr>
              <w:t>和</w:t>
            </w:r>
            <w:r w:rsidR="007875CD">
              <w:rPr>
                <w:rFonts w:ascii="宋体" w:hAnsi="宋体" w:hint="eastAsia"/>
                <w:sz w:val="24"/>
              </w:rPr>
              <w:t>其他</w:t>
            </w:r>
            <w:r>
              <w:rPr>
                <w:rFonts w:ascii="宋体" w:hAnsi="宋体" w:hint="eastAsia"/>
                <w:sz w:val="24"/>
              </w:rPr>
              <w:t>活性染料产品均有一定幅度上涨，其中分散染料主要产品分散黑报价近期累计上涨3000元/吨。</w:t>
            </w:r>
          </w:p>
        </w:tc>
      </w:tr>
      <w:tr w:rsidR="00654ECD" w14:paraId="03BA7C85" w14:textId="77777777">
        <w:trPr>
          <w:trHeight w:hRule="exact" w:val="2555"/>
        </w:trPr>
        <w:tc>
          <w:tcPr>
            <w:tcW w:w="817" w:type="dxa"/>
            <w:vAlign w:val="center"/>
          </w:tcPr>
          <w:p w14:paraId="64E70E28" w14:textId="77777777" w:rsidR="00654ECD" w:rsidRDefault="004A17D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7705" w:type="dxa"/>
            <w:gridSpan w:val="4"/>
            <w:vAlign w:val="center"/>
          </w:tcPr>
          <w:p w14:paraId="0F16F531" w14:textId="7F2D0BAB" w:rsidR="00654ECD" w:rsidRDefault="004A17DF"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问：请介绍一下公司产品还原物的情况</w:t>
            </w:r>
            <w:r w:rsidR="00F26D10">
              <w:rPr>
                <w:rFonts w:ascii="宋体" w:hAnsi="宋体" w:hint="eastAsia"/>
                <w:b/>
                <w:sz w:val="24"/>
              </w:rPr>
              <w:t>。</w:t>
            </w:r>
          </w:p>
          <w:p w14:paraId="7EC91869" w14:textId="77777777" w:rsidR="00654ECD" w:rsidRDefault="004A17D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答：目前公司还原物的产能大概在2万吨/年，该产品目前主要是是本公司、浙江闰土股份有限公司和宁夏中盛新科技有限公司在生产。由于该产品前几年一直价格较低，近期产品价格报价有一定幅度的上调，目前市场上报价约5万元/吨。</w:t>
            </w:r>
          </w:p>
        </w:tc>
      </w:tr>
      <w:tr w:rsidR="00654ECD" w14:paraId="1278CD95" w14:textId="77777777">
        <w:trPr>
          <w:trHeight w:hRule="exact" w:val="1853"/>
        </w:trPr>
        <w:tc>
          <w:tcPr>
            <w:tcW w:w="817" w:type="dxa"/>
            <w:vAlign w:val="center"/>
          </w:tcPr>
          <w:p w14:paraId="24479DE9" w14:textId="77777777" w:rsidR="00654ECD" w:rsidRDefault="004A17D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7705" w:type="dxa"/>
            <w:gridSpan w:val="4"/>
            <w:vAlign w:val="center"/>
          </w:tcPr>
          <w:p w14:paraId="6A81B1D5" w14:textId="77777777" w:rsidR="00654ECD" w:rsidRDefault="004A17DF"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问：公司新业务布局如何？</w:t>
            </w:r>
          </w:p>
          <w:p w14:paraId="0C902F72" w14:textId="77777777" w:rsidR="00654ECD" w:rsidRDefault="004A17DF"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答：公司目前聚焦新材料、精细特种化学品等，如P</w:t>
            </w:r>
            <w:r>
              <w:rPr>
                <w:rFonts w:ascii="宋体" w:hAnsi="宋体"/>
                <w:sz w:val="24"/>
              </w:rPr>
              <w:t>I</w:t>
            </w:r>
            <w:r>
              <w:rPr>
                <w:rFonts w:ascii="宋体" w:hAnsi="宋体" w:hint="eastAsia"/>
                <w:sz w:val="24"/>
              </w:rPr>
              <w:t>漆、A</w:t>
            </w:r>
            <w:r>
              <w:rPr>
                <w:rFonts w:ascii="宋体" w:hAnsi="宋体"/>
                <w:sz w:val="24"/>
              </w:rPr>
              <w:t>SA</w:t>
            </w:r>
            <w:r>
              <w:rPr>
                <w:rFonts w:ascii="宋体" w:hAnsi="宋体" w:hint="eastAsia"/>
                <w:sz w:val="24"/>
              </w:rPr>
              <w:t>。</w:t>
            </w:r>
          </w:p>
        </w:tc>
      </w:tr>
      <w:tr w:rsidR="00654ECD" w14:paraId="31F7E05D" w14:textId="77777777">
        <w:trPr>
          <w:trHeight w:hRule="exact" w:val="3271"/>
        </w:trPr>
        <w:tc>
          <w:tcPr>
            <w:tcW w:w="817" w:type="dxa"/>
            <w:vAlign w:val="center"/>
          </w:tcPr>
          <w:p w14:paraId="3F738434" w14:textId="77777777" w:rsidR="00654ECD" w:rsidRDefault="004A17D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lastRenderedPageBreak/>
              <w:t>5</w:t>
            </w:r>
          </w:p>
        </w:tc>
        <w:tc>
          <w:tcPr>
            <w:tcW w:w="7705" w:type="dxa"/>
            <w:gridSpan w:val="4"/>
            <w:vAlign w:val="center"/>
          </w:tcPr>
          <w:p w14:paraId="4DA385C6" w14:textId="77777777" w:rsidR="00654ECD" w:rsidRDefault="004A17DF"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问：请介绍公司房地产项目的情况</w:t>
            </w:r>
          </w:p>
          <w:p w14:paraId="154FD054" w14:textId="77777777" w:rsidR="00654ECD" w:rsidRDefault="004A17D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答：公司房地产项目主要在上海，大部分项目已销售，其中华兴新城的“湾上”商品房已所剩无几，预计将在今年年底到明年上半年交房，到时将会根据交房进度确认销售收入，届时公司财务报表中的存货和合同负债会大幅度下降。到去年三季度末，公司的存货中有264亿是房地产业务。</w:t>
            </w:r>
          </w:p>
        </w:tc>
      </w:tr>
      <w:tr w:rsidR="00654ECD" w14:paraId="6689FB6D" w14:textId="77777777">
        <w:trPr>
          <w:trHeight w:hRule="exact" w:val="3118"/>
        </w:trPr>
        <w:tc>
          <w:tcPr>
            <w:tcW w:w="817" w:type="dxa"/>
            <w:vAlign w:val="center"/>
          </w:tcPr>
          <w:p w14:paraId="0D670BF5" w14:textId="77777777" w:rsidR="00654ECD" w:rsidRDefault="004A17D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6</w:t>
            </w:r>
          </w:p>
        </w:tc>
        <w:tc>
          <w:tcPr>
            <w:tcW w:w="7705" w:type="dxa"/>
            <w:gridSpan w:val="4"/>
            <w:vAlign w:val="center"/>
          </w:tcPr>
          <w:p w14:paraId="45426403" w14:textId="77777777" w:rsidR="00654ECD" w:rsidRDefault="004A17DF"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问：请问收购完成德司达少数股东权益后，后续公司有什么想法继续整合德司达。</w:t>
            </w:r>
          </w:p>
          <w:p w14:paraId="1F038ECC" w14:textId="055539C8" w:rsidR="00654ECD" w:rsidRDefault="004A17DF" w:rsidP="007875C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答：德司达自去年底成为公司的全资子公司，目前进行了董事人选的调整</w:t>
            </w:r>
            <w:r w:rsidR="007875CD">
              <w:rPr>
                <w:rFonts w:ascii="宋体" w:hAnsi="宋体" w:hint="eastAsia"/>
                <w:sz w:val="24"/>
              </w:rPr>
              <w:t>，</w:t>
            </w:r>
            <w:r w:rsidR="00F26D10">
              <w:rPr>
                <w:rFonts w:ascii="宋体" w:hAnsi="宋体" w:hint="eastAsia"/>
                <w:sz w:val="24"/>
              </w:rPr>
              <w:t>后续公司将与德司达更加紧密协同，</w:t>
            </w:r>
            <w:r>
              <w:rPr>
                <w:rFonts w:ascii="宋体" w:hAnsi="宋体" w:hint="eastAsia"/>
                <w:sz w:val="24"/>
              </w:rPr>
              <w:t>更好地运用德司达的全球性市场，促进公司染料市场的全球化运作。</w:t>
            </w:r>
          </w:p>
        </w:tc>
      </w:tr>
      <w:tr w:rsidR="00654ECD" w14:paraId="3604C535" w14:textId="77777777">
        <w:trPr>
          <w:trHeight w:hRule="exact" w:val="2401"/>
        </w:trPr>
        <w:tc>
          <w:tcPr>
            <w:tcW w:w="817" w:type="dxa"/>
            <w:vAlign w:val="center"/>
          </w:tcPr>
          <w:p w14:paraId="0FFA59FC" w14:textId="2CB4F2F6" w:rsidR="00654ECD" w:rsidRDefault="00F26D1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7</w:t>
            </w:r>
          </w:p>
        </w:tc>
        <w:tc>
          <w:tcPr>
            <w:tcW w:w="7705" w:type="dxa"/>
            <w:gridSpan w:val="4"/>
            <w:vAlign w:val="center"/>
          </w:tcPr>
          <w:p w14:paraId="125AC56F" w14:textId="77777777" w:rsidR="00654ECD" w:rsidRDefault="004A17DF"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问：公司作为行业中的“现金奶牛”，后续的发展如何？</w:t>
            </w:r>
          </w:p>
          <w:p w14:paraId="3F54DF3C" w14:textId="364DA2CC" w:rsidR="00654ECD" w:rsidRDefault="004A17DF" w:rsidP="007875C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答：经过多年的技术与产业投入，依托中间体与行业壁垒，我们认为染料格局会进行再梳理，我们的染料产能会得到进一步的释放；中间体会打造产品树，形成网格化布局；并充分利用好德司达这张牌，</w:t>
            </w:r>
            <w:r w:rsidR="00F26D10" w:rsidRPr="00F26D10">
              <w:rPr>
                <w:rFonts w:ascii="宋体" w:hAnsi="宋体" w:hint="eastAsia"/>
                <w:sz w:val="24"/>
              </w:rPr>
              <w:t>最终实现全球化战略目标</w:t>
            </w:r>
            <w:r w:rsidR="00F26D10">
              <w:rPr>
                <w:rFonts w:ascii="宋体" w:hAnsi="宋体" w:hint="eastAsia"/>
                <w:sz w:val="24"/>
              </w:rPr>
              <w:t>。</w:t>
            </w:r>
          </w:p>
        </w:tc>
      </w:tr>
      <w:tr w:rsidR="00654ECD" w14:paraId="3474A730" w14:textId="77777777">
        <w:trPr>
          <w:trHeight w:hRule="exact" w:val="2401"/>
        </w:trPr>
        <w:tc>
          <w:tcPr>
            <w:tcW w:w="817" w:type="dxa"/>
            <w:vAlign w:val="center"/>
          </w:tcPr>
          <w:p w14:paraId="700E55DF" w14:textId="180AEDF8" w:rsidR="00654ECD" w:rsidRDefault="00F26D1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8</w:t>
            </w:r>
          </w:p>
        </w:tc>
        <w:tc>
          <w:tcPr>
            <w:tcW w:w="7705" w:type="dxa"/>
            <w:gridSpan w:val="4"/>
            <w:vAlign w:val="center"/>
          </w:tcPr>
          <w:p w14:paraId="7101411F" w14:textId="77777777" w:rsidR="00654ECD" w:rsidRDefault="004A17DF"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问：公司今后的分红政策如何？</w:t>
            </w:r>
          </w:p>
          <w:p w14:paraId="582C3EDE" w14:textId="00E30A73" w:rsidR="00654ECD" w:rsidRDefault="004A17DF"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答：近两年公司都是一年两次分红，全年是0.45元/</w:t>
            </w:r>
            <w:r w:rsidR="00F26D10">
              <w:rPr>
                <w:rFonts w:ascii="宋体" w:hAnsi="宋体" w:hint="eastAsia"/>
                <w:sz w:val="24"/>
              </w:rPr>
              <w:t>股，后续公司的分红政策将结合公司的盈利</w:t>
            </w:r>
            <w:r>
              <w:rPr>
                <w:rFonts w:ascii="宋体" w:hAnsi="宋体" w:hint="eastAsia"/>
                <w:sz w:val="24"/>
              </w:rPr>
              <w:t>以及母公司可供股东分配的利润情况，努力让投资者获得更好的投资回报。</w:t>
            </w:r>
          </w:p>
        </w:tc>
      </w:tr>
    </w:tbl>
    <w:p w14:paraId="7A3E9C6C" w14:textId="77777777" w:rsidR="00654ECD" w:rsidRDefault="00654ECD"/>
    <w:sectPr w:rsidR="00654ECD" w:rsidSect="00654E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8B8A2E" w14:textId="77777777" w:rsidR="008C0560" w:rsidRDefault="008C0560" w:rsidP="007875CD">
      <w:r>
        <w:separator/>
      </w:r>
    </w:p>
  </w:endnote>
  <w:endnote w:type="continuationSeparator" w:id="0">
    <w:p w14:paraId="72D40B56" w14:textId="77777777" w:rsidR="008C0560" w:rsidRDefault="008C0560" w:rsidP="00787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A955F9" w14:textId="77777777" w:rsidR="008C0560" w:rsidRDefault="008C0560" w:rsidP="007875CD">
      <w:r>
        <w:separator/>
      </w:r>
    </w:p>
  </w:footnote>
  <w:footnote w:type="continuationSeparator" w:id="0">
    <w:p w14:paraId="1DB4D82A" w14:textId="77777777" w:rsidR="008C0560" w:rsidRDefault="008C0560" w:rsidP="007875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196A25"/>
    <w:multiLevelType w:val="multilevel"/>
    <w:tmpl w:val="7E196A25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EE5C67"/>
    <w:rsid w:val="00000403"/>
    <w:rsid w:val="00000A44"/>
    <w:rsid w:val="00002052"/>
    <w:rsid w:val="00003E38"/>
    <w:rsid w:val="00017EDE"/>
    <w:rsid w:val="00035378"/>
    <w:rsid w:val="00035CAB"/>
    <w:rsid w:val="00043A0D"/>
    <w:rsid w:val="0004731E"/>
    <w:rsid w:val="000528BF"/>
    <w:rsid w:val="0005335C"/>
    <w:rsid w:val="00060BB6"/>
    <w:rsid w:val="00064088"/>
    <w:rsid w:val="000666AC"/>
    <w:rsid w:val="00076023"/>
    <w:rsid w:val="00085381"/>
    <w:rsid w:val="000859F7"/>
    <w:rsid w:val="000909E9"/>
    <w:rsid w:val="000A7DA3"/>
    <w:rsid w:val="000C1A5E"/>
    <w:rsid w:val="000C2F3E"/>
    <w:rsid w:val="000C593A"/>
    <w:rsid w:val="000C5B0A"/>
    <w:rsid w:val="000D595C"/>
    <w:rsid w:val="000E1F52"/>
    <w:rsid w:val="000E309D"/>
    <w:rsid w:val="000E5C39"/>
    <w:rsid w:val="000E71D4"/>
    <w:rsid w:val="000F0622"/>
    <w:rsid w:val="000F21C2"/>
    <w:rsid w:val="0010051E"/>
    <w:rsid w:val="0011544F"/>
    <w:rsid w:val="001225B5"/>
    <w:rsid w:val="00133919"/>
    <w:rsid w:val="001407EB"/>
    <w:rsid w:val="00157651"/>
    <w:rsid w:val="00174B45"/>
    <w:rsid w:val="00183BED"/>
    <w:rsid w:val="00185C2E"/>
    <w:rsid w:val="00186372"/>
    <w:rsid w:val="00194BD6"/>
    <w:rsid w:val="001A42F9"/>
    <w:rsid w:val="001A579E"/>
    <w:rsid w:val="001A5F36"/>
    <w:rsid w:val="001D5585"/>
    <w:rsid w:val="0020014B"/>
    <w:rsid w:val="00211DE4"/>
    <w:rsid w:val="00215119"/>
    <w:rsid w:val="00217ACA"/>
    <w:rsid w:val="00233F4A"/>
    <w:rsid w:val="00241742"/>
    <w:rsid w:val="00252238"/>
    <w:rsid w:val="002534F9"/>
    <w:rsid w:val="002550CC"/>
    <w:rsid w:val="00264164"/>
    <w:rsid w:val="002954F3"/>
    <w:rsid w:val="002A1C85"/>
    <w:rsid w:val="002D1C28"/>
    <w:rsid w:val="002D1D9F"/>
    <w:rsid w:val="002E1093"/>
    <w:rsid w:val="002F0383"/>
    <w:rsid w:val="003065B1"/>
    <w:rsid w:val="00320DC0"/>
    <w:rsid w:val="0033414C"/>
    <w:rsid w:val="00341C26"/>
    <w:rsid w:val="00344A99"/>
    <w:rsid w:val="00344DBB"/>
    <w:rsid w:val="00350EBD"/>
    <w:rsid w:val="00363B8E"/>
    <w:rsid w:val="0037454D"/>
    <w:rsid w:val="00375738"/>
    <w:rsid w:val="00376847"/>
    <w:rsid w:val="003A61E7"/>
    <w:rsid w:val="003B4918"/>
    <w:rsid w:val="003C409F"/>
    <w:rsid w:val="003D4D60"/>
    <w:rsid w:val="003D78DB"/>
    <w:rsid w:val="003E2568"/>
    <w:rsid w:val="003F2109"/>
    <w:rsid w:val="003F3BCE"/>
    <w:rsid w:val="003F6CA5"/>
    <w:rsid w:val="00405B53"/>
    <w:rsid w:val="0041683E"/>
    <w:rsid w:val="00433E40"/>
    <w:rsid w:val="00433FB3"/>
    <w:rsid w:val="00436EAD"/>
    <w:rsid w:val="00455F32"/>
    <w:rsid w:val="00481343"/>
    <w:rsid w:val="00496544"/>
    <w:rsid w:val="004A0D5F"/>
    <w:rsid w:val="004A17DF"/>
    <w:rsid w:val="004A7DC7"/>
    <w:rsid w:val="004B746C"/>
    <w:rsid w:val="004B7E0B"/>
    <w:rsid w:val="004C40E3"/>
    <w:rsid w:val="004C4ADC"/>
    <w:rsid w:val="004D0CAF"/>
    <w:rsid w:val="004D226F"/>
    <w:rsid w:val="004E6D2D"/>
    <w:rsid w:val="004F1C14"/>
    <w:rsid w:val="004F5B32"/>
    <w:rsid w:val="00505E01"/>
    <w:rsid w:val="005066CE"/>
    <w:rsid w:val="00515344"/>
    <w:rsid w:val="0052165F"/>
    <w:rsid w:val="005260DC"/>
    <w:rsid w:val="00535AF9"/>
    <w:rsid w:val="00542C9E"/>
    <w:rsid w:val="00555F5E"/>
    <w:rsid w:val="00557CC9"/>
    <w:rsid w:val="00557E7F"/>
    <w:rsid w:val="00577AF0"/>
    <w:rsid w:val="00585AA1"/>
    <w:rsid w:val="0058769A"/>
    <w:rsid w:val="005A163D"/>
    <w:rsid w:val="005A2492"/>
    <w:rsid w:val="005B547C"/>
    <w:rsid w:val="005C3222"/>
    <w:rsid w:val="005D167A"/>
    <w:rsid w:val="005F6873"/>
    <w:rsid w:val="006054F5"/>
    <w:rsid w:val="00606C25"/>
    <w:rsid w:val="00607891"/>
    <w:rsid w:val="006239FC"/>
    <w:rsid w:val="006459A2"/>
    <w:rsid w:val="006460A3"/>
    <w:rsid w:val="00654ECD"/>
    <w:rsid w:val="006560FC"/>
    <w:rsid w:val="0066464C"/>
    <w:rsid w:val="00666DC9"/>
    <w:rsid w:val="006758BF"/>
    <w:rsid w:val="00675B11"/>
    <w:rsid w:val="00685406"/>
    <w:rsid w:val="00685A02"/>
    <w:rsid w:val="00696F5C"/>
    <w:rsid w:val="006D488E"/>
    <w:rsid w:val="006D67C7"/>
    <w:rsid w:val="006F56AE"/>
    <w:rsid w:val="006F7BC3"/>
    <w:rsid w:val="00710530"/>
    <w:rsid w:val="0071633D"/>
    <w:rsid w:val="007236A4"/>
    <w:rsid w:val="00733342"/>
    <w:rsid w:val="00741B97"/>
    <w:rsid w:val="00741DF2"/>
    <w:rsid w:val="00752CE4"/>
    <w:rsid w:val="00753970"/>
    <w:rsid w:val="0076781D"/>
    <w:rsid w:val="007712C4"/>
    <w:rsid w:val="00772FB4"/>
    <w:rsid w:val="00781833"/>
    <w:rsid w:val="00783F95"/>
    <w:rsid w:val="007849A7"/>
    <w:rsid w:val="007875CD"/>
    <w:rsid w:val="00793C62"/>
    <w:rsid w:val="007962BF"/>
    <w:rsid w:val="007A2B2F"/>
    <w:rsid w:val="007B0750"/>
    <w:rsid w:val="007B7543"/>
    <w:rsid w:val="007C7298"/>
    <w:rsid w:val="007D0375"/>
    <w:rsid w:val="007E08F3"/>
    <w:rsid w:val="007E152D"/>
    <w:rsid w:val="007E60CD"/>
    <w:rsid w:val="008020B6"/>
    <w:rsid w:val="008070BD"/>
    <w:rsid w:val="00811308"/>
    <w:rsid w:val="00813425"/>
    <w:rsid w:val="00821583"/>
    <w:rsid w:val="0082750B"/>
    <w:rsid w:val="008308A0"/>
    <w:rsid w:val="008326DD"/>
    <w:rsid w:val="008329AA"/>
    <w:rsid w:val="00842C04"/>
    <w:rsid w:val="008521C9"/>
    <w:rsid w:val="00854454"/>
    <w:rsid w:val="00855523"/>
    <w:rsid w:val="00864161"/>
    <w:rsid w:val="0086472D"/>
    <w:rsid w:val="0087380E"/>
    <w:rsid w:val="00874D74"/>
    <w:rsid w:val="00880DE7"/>
    <w:rsid w:val="008821F3"/>
    <w:rsid w:val="0088354D"/>
    <w:rsid w:val="008904B4"/>
    <w:rsid w:val="008932FC"/>
    <w:rsid w:val="008A10DA"/>
    <w:rsid w:val="008A131D"/>
    <w:rsid w:val="008A323E"/>
    <w:rsid w:val="008A7E6C"/>
    <w:rsid w:val="008B3485"/>
    <w:rsid w:val="008C0560"/>
    <w:rsid w:val="008D51BC"/>
    <w:rsid w:val="008E0EEE"/>
    <w:rsid w:val="008F0D47"/>
    <w:rsid w:val="008F17F8"/>
    <w:rsid w:val="008F42A8"/>
    <w:rsid w:val="008F670D"/>
    <w:rsid w:val="0091792E"/>
    <w:rsid w:val="009234B9"/>
    <w:rsid w:val="0092764A"/>
    <w:rsid w:val="00927C4F"/>
    <w:rsid w:val="009304EF"/>
    <w:rsid w:val="00936F0E"/>
    <w:rsid w:val="0094125E"/>
    <w:rsid w:val="00946716"/>
    <w:rsid w:val="00962E73"/>
    <w:rsid w:val="00975ED0"/>
    <w:rsid w:val="00982331"/>
    <w:rsid w:val="00985B39"/>
    <w:rsid w:val="0099232B"/>
    <w:rsid w:val="009A1C3E"/>
    <w:rsid w:val="009B439D"/>
    <w:rsid w:val="009B7256"/>
    <w:rsid w:val="009B7BE4"/>
    <w:rsid w:val="009C724F"/>
    <w:rsid w:val="009D1AB2"/>
    <w:rsid w:val="009D23DF"/>
    <w:rsid w:val="009D667D"/>
    <w:rsid w:val="009E7EA9"/>
    <w:rsid w:val="009F33DA"/>
    <w:rsid w:val="009F4140"/>
    <w:rsid w:val="009F49BF"/>
    <w:rsid w:val="009F7FDF"/>
    <w:rsid w:val="00A03CCE"/>
    <w:rsid w:val="00A11625"/>
    <w:rsid w:val="00A11C99"/>
    <w:rsid w:val="00A15B6B"/>
    <w:rsid w:val="00A20D68"/>
    <w:rsid w:val="00A24BAF"/>
    <w:rsid w:val="00A35411"/>
    <w:rsid w:val="00A3713A"/>
    <w:rsid w:val="00A40F49"/>
    <w:rsid w:val="00A425D0"/>
    <w:rsid w:val="00A528B2"/>
    <w:rsid w:val="00A53CE7"/>
    <w:rsid w:val="00A65FEA"/>
    <w:rsid w:val="00A668D8"/>
    <w:rsid w:val="00A77239"/>
    <w:rsid w:val="00A804BD"/>
    <w:rsid w:val="00A8370F"/>
    <w:rsid w:val="00A92C54"/>
    <w:rsid w:val="00A9308F"/>
    <w:rsid w:val="00A97986"/>
    <w:rsid w:val="00AA2377"/>
    <w:rsid w:val="00AC04D0"/>
    <w:rsid w:val="00AC1062"/>
    <w:rsid w:val="00AF0E9F"/>
    <w:rsid w:val="00AF5128"/>
    <w:rsid w:val="00B011FC"/>
    <w:rsid w:val="00B214BC"/>
    <w:rsid w:val="00B36F21"/>
    <w:rsid w:val="00B453C1"/>
    <w:rsid w:val="00B50BE6"/>
    <w:rsid w:val="00B55252"/>
    <w:rsid w:val="00B63165"/>
    <w:rsid w:val="00B646B7"/>
    <w:rsid w:val="00B65A70"/>
    <w:rsid w:val="00B70816"/>
    <w:rsid w:val="00B82A83"/>
    <w:rsid w:val="00B87783"/>
    <w:rsid w:val="00B902BE"/>
    <w:rsid w:val="00B95F1D"/>
    <w:rsid w:val="00BA2E45"/>
    <w:rsid w:val="00BB007B"/>
    <w:rsid w:val="00BB3BE3"/>
    <w:rsid w:val="00BD2C14"/>
    <w:rsid w:val="00BD5F4A"/>
    <w:rsid w:val="00BE0F17"/>
    <w:rsid w:val="00BE2E66"/>
    <w:rsid w:val="00BE4BCF"/>
    <w:rsid w:val="00BF02C6"/>
    <w:rsid w:val="00BF3FB9"/>
    <w:rsid w:val="00BF5EED"/>
    <w:rsid w:val="00BF7E0D"/>
    <w:rsid w:val="00C077EB"/>
    <w:rsid w:val="00C102C3"/>
    <w:rsid w:val="00C32F62"/>
    <w:rsid w:val="00C37D70"/>
    <w:rsid w:val="00C37E85"/>
    <w:rsid w:val="00C4645D"/>
    <w:rsid w:val="00C47F20"/>
    <w:rsid w:val="00C50247"/>
    <w:rsid w:val="00C61077"/>
    <w:rsid w:val="00C7479D"/>
    <w:rsid w:val="00C80025"/>
    <w:rsid w:val="00C81510"/>
    <w:rsid w:val="00C92A5C"/>
    <w:rsid w:val="00C94ED9"/>
    <w:rsid w:val="00C96651"/>
    <w:rsid w:val="00CA41F2"/>
    <w:rsid w:val="00CB1D06"/>
    <w:rsid w:val="00CB487F"/>
    <w:rsid w:val="00CB48C3"/>
    <w:rsid w:val="00CB4A9B"/>
    <w:rsid w:val="00CB5D1B"/>
    <w:rsid w:val="00CB68BB"/>
    <w:rsid w:val="00CB77E8"/>
    <w:rsid w:val="00CD1D88"/>
    <w:rsid w:val="00CD2148"/>
    <w:rsid w:val="00CE24CE"/>
    <w:rsid w:val="00CE2724"/>
    <w:rsid w:val="00CE6071"/>
    <w:rsid w:val="00CF289E"/>
    <w:rsid w:val="00CF334E"/>
    <w:rsid w:val="00D00A2D"/>
    <w:rsid w:val="00D11960"/>
    <w:rsid w:val="00D40EB8"/>
    <w:rsid w:val="00D44B11"/>
    <w:rsid w:val="00D54A65"/>
    <w:rsid w:val="00D56881"/>
    <w:rsid w:val="00D842A3"/>
    <w:rsid w:val="00D93706"/>
    <w:rsid w:val="00D9411A"/>
    <w:rsid w:val="00DA1B3E"/>
    <w:rsid w:val="00DA58A3"/>
    <w:rsid w:val="00DA611F"/>
    <w:rsid w:val="00DB024F"/>
    <w:rsid w:val="00DB025B"/>
    <w:rsid w:val="00DB2A7E"/>
    <w:rsid w:val="00DB3D00"/>
    <w:rsid w:val="00DC71F2"/>
    <w:rsid w:val="00DD338B"/>
    <w:rsid w:val="00DD5AF9"/>
    <w:rsid w:val="00DF3CD2"/>
    <w:rsid w:val="00DF4675"/>
    <w:rsid w:val="00E03D71"/>
    <w:rsid w:val="00E1436B"/>
    <w:rsid w:val="00E32595"/>
    <w:rsid w:val="00E634C9"/>
    <w:rsid w:val="00E63E73"/>
    <w:rsid w:val="00E6411D"/>
    <w:rsid w:val="00E81EB9"/>
    <w:rsid w:val="00EA7E1A"/>
    <w:rsid w:val="00EB0DAA"/>
    <w:rsid w:val="00EB28AA"/>
    <w:rsid w:val="00EC0464"/>
    <w:rsid w:val="00ED5A9F"/>
    <w:rsid w:val="00EE5C67"/>
    <w:rsid w:val="00EF7DFB"/>
    <w:rsid w:val="00F02378"/>
    <w:rsid w:val="00F1117F"/>
    <w:rsid w:val="00F1177F"/>
    <w:rsid w:val="00F16569"/>
    <w:rsid w:val="00F22853"/>
    <w:rsid w:val="00F26D10"/>
    <w:rsid w:val="00F3783A"/>
    <w:rsid w:val="00F4632B"/>
    <w:rsid w:val="00F506B4"/>
    <w:rsid w:val="00F50E3C"/>
    <w:rsid w:val="00F514E2"/>
    <w:rsid w:val="00F537F4"/>
    <w:rsid w:val="00F57C90"/>
    <w:rsid w:val="00F6044E"/>
    <w:rsid w:val="00F7568F"/>
    <w:rsid w:val="00F7606D"/>
    <w:rsid w:val="00F76AB7"/>
    <w:rsid w:val="00F853F3"/>
    <w:rsid w:val="00F85D5E"/>
    <w:rsid w:val="00F93507"/>
    <w:rsid w:val="00FA00A9"/>
    <w:rsid w:val="00FA25E1"/>
    <w:rsid w:val="00FA6FA8"/>
    <w:rsid w:val="00FA761C"/>
    <w:rsid w:val="00FB2B31"/>
    <w:rsid w:val="00FC6482"/>
    <w:rsid w:val="00FC76EF"/>
    <w:rsid w:val="00FE083A"/>
    <w:rsid w:val="00FE4DC1"/>
    <w:rsid w:val="00FE55EF"/>
    <w:rsid w:val="00FE5705"/>
    <w:rsid w:val="00FE6BC3"/>
    <w:rsid w:val="00FF0268"/>
    <w:rsid w:val="00FF2400"/>
    <w:rsid w:val="37A56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7205AA"/>
  <w15:docId w15:val="{7D0CDD76-9BA4-4DB8-956C-9A7BE40F3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E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654E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654E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sid w:val="00654EC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6">
    <w:name w:val="页眉 字符"/>
    <w:link w:val="a5"/>
    <w:uiPriority w:val="99"/>
    <w:qFormat/>
    <w:rsid w:val="00654ECD"/>
    <w:rPr>
      <w:kern w:val="2"/>
      <w:sz w:val="18"/>
      <w:szCs w:val="18"/>
    </w:rPr>
  </w:style>
  <w:style w:type="character" w:customStyle="1" w:styleId="a4">
    <w:name w:val="页脚 字符"/>
    <w:link w:val="a3"/>
    <w:uiPriority w:val="99"/>
    <w:qFormat/>
    <w:rsid w:val="00654ECD"/>
    <w:rPr>
      <w:kern w:val="2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7875C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875CD"/>
    <w:rPr>
      <w:kern w:val="2"/>
      <w:sz w:val="18"/>
      <w:szCs w:val="18"/>
    </w:rPr>
  </w:style>
  <w:style w:type="paragraph" w:styleId="aa">
    <w:name w:val="Revision"/>
    <w:hidden/>
    <w:uiPriority w:val="99"/>
    <w:unhideWhenUsed/>
    <w:rsid w:val="00233F4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915</Characters>
  <Application>Microsoft Office Word</Application>
  <DocSecurity>0</DocSecurity>
  <Lines>7</Lines>
  <Paragraphs>2</Paragraphs>
  <ScaleCrop>false</ScaleCrop>
  <Company>浙江龙盛集团股份有限公司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公司及高管接待机构调研情况</dc:title>
  <dc:creator>.XBRL.</dc:creator>
  <cp:lastModifiedBy>gh</cp:lastModifiedBy>
  <cp:revision>8</cp:revision>
  <cp:lastPrinted>2014-09-24T06:18:00Z</cp:lastPrinted>
  <dcterms:created xsi:type="dcterms:W3CDTF">2026-02-06T01:05:00Z</dcterms:created>
  <dcterms:modified xsi:type="dcterms:W3CDTF">2026-02-06T01:28:00Z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EEE57117292B4F569519447A2836FB48_13</vt:lpwstr>
  </property>
</Properties>
</file>